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Maison Doclar EOS S06D Dining Service Command</w:t>
      </w:r>
    </w:p>
    <w:p>
      <w:pPr>
        <w:pStyle w:val="Subtitle"/>
      </w:pPr>
      <w:r>
        <w:t>Data model permissions safety and integrations</w:t>
      </w:r>
    </w:p>
    <w:p>
      <w:r>
        <w:rPr>
          <w:b/>
          <w:color w:val="8C6623"/>
        </w:rPr>
        <w:t>CEO RATIFICATION DRAFT — IMPLEMENTATION NOT AUTHORISED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304"/>
            <w:shd w:fill="262626"/>
            <w:vAlign w:val="center"/>
            <w:tcMar>
              <w:top w:w="100" w:type="dxa"/>
              <w:start w:w="120" w:type="dxa"/>
              <w:bottom w:w="100" w:type="dxa"/>
              <w:end w:w="120" w:type="dxa"/>
            </w:tcMar>
          </w:tcPr>
          <w:p>
            <w:r>
              <w:rPr>
                <w:b/>
                <w:color w:val="FFFFFF"/>
                <w:sz w:val="18"/>
              </w:rPr>
              <w:t>Control</w:t>
            </w:r>
          </w:p>
        </w:tc>
        <w:tc>
          <w:tcPr>
            <w:tcW w:type="dxa" w:w="7200"/>
            <w:shd w:fill="262626"/>
            <w:vAlign w:val="center"/>
            <w:tcMar>
              <w:top w:w="100" w:type="dxa"/>
              <w:start w:w="120" w:type="dxa"/>
              <w:bottom w:w="100" w:type="dxa"/>
              <w:end w:w="120" w:type="dxa"/>
            </w:tcMar>
          </w:tcPr>
          <w:p>
            <w:r>
              <w:rPr>
                <w:b/>
                <w:color w:val="FFFFFF"/>
                <w:sz w:val="18"/>
              </w:rPr>
              <w:t>Value</w:t>
            </w:r>
          </w:p>
        </w:tc>
      </w:tr>
      <w:tr>
        <w:tc>
          <w:tcPr>
            <w:tcW w:type="dxa" w:w="2304"/>
            <w:vAlign w:val="center"/>
            <w:tcMar>
              <w:top w:w="100" w:type="dxa"/>
              <w:start w:w="120" w:type="dxa"/>
              <w:bottom w:w="100" w:type="dxa"/>
              <w:end w:w="120" w:type="dxa"/>
            </w:tcMar>
          </w:tcPr>
          <w:p>
            <w:r>
              <w:rPr>
                <w:color w:val="141414"/>
                <w:sz w:val="17"/>
              </w:rPr>
              <w:t>Document version</w:t>
            </w:r>
          </w:p>
        </w:tc>
        <w:tc>
          <w:tcPr>
            <w:tcW w:type="dxa" w:w="7200"/>
            <w:vAlign w:val="center"/>
            <w:tcMar>
              <w:top w:w="100" w:type="dxa"/>
              <w:start w:w="120" w:type="dxa"/>
              <w:bottom w:w="100" w:type="dxa"/>
              <w:end w:w="120" w:type="dxa"/>
            </w:tcMar>
          </w:tcPr>
          <w:p>
            <w:r>
              <w:rPr>
                <w:color w:val="141414"/>
                <w:sz w:val="17"/>
              </w:rPr>
              <w:t>1.0</w:t>
            </w:r>
          </w:p>
        </w:tc>
      </w:tr>
      <w:tr>
        <w:tc>
          <w:tcPr>
            <w:tcW w:type="dxa" w:w="2304"/>
            <w:vAlign w:val="center"/>
            <w:tcMar>
              <w:top w:w="100" w:type="dxa"/>
              <w:start w:w="120" w:type="dxa"/>
              <w:bottom w:w="100" w:type="dxa"/>
              <w:end w:w="120" w:type="dxa"/>
            </w:tcMar>
            <w:shd w:fill="F5F3EF"/>
          </w:tcPr>
          <w:p>
            <w:r>
              <w:rPr>
                <w:color w:val="141414"/>
                <w:sz w:val="17"/>
              </w:rPr>
              <w:t>Pack date</w:t>
            </w:r>
          </w:p>
        </w:tc>
        <w:tc>
          <w:tcPr>
            <w:tcW w:type="dxa" w:w="7200"/>
            <w:vAlign w:val="center"/>
            <w:tcMar>
              <w:top w:w="100" w:type="dxa"/>
              <w:start w:w="120" w:type="dxa"/>
              <w:bottom w:w="100" w:type="dxa"/>
              <w:end w:w="120" w:type="dxa"/>
            </w:tcMar>
            <w:shd w:fill="F5F3EF"/>
          </w:tcPr>
          <w:p>
            <w:r>
              <w:rPr>
                <w:color w:val="141414"/>
                <w:sz w:val="17"/>
              </w:rPr>
              <w:t>16 September 2026</w:t>
            </w:r>
          </w:p>
        </w:tc>
      </w:tr>
      <w:tr>
        <w:tc>
          <w:tcPr>
            <w:tcW w:type="dxa" w:w="2304"/>
            <w:vAlign w:val="center"/>
            <w:tcMar>
              <w:top w:w="100" w:type="dxa"/>
              <w:start w:w="120" w:type="dxa"/>
              <w:bottom w:w="100" w:type="dxa"/>
              <w:end w:w="120" w:type="dxa"/>
            </w:tcMar>
          </w:tcPr>
          <w:p>
            <w:r>
              <w:rPr>
                <w:color w:val="141414"/>
                <w:sz w:val="17"/>
              </w:rPr>
              <w:t>Authority state</w:t>
            </w:r>
          </w:p>
        </w:tc>
        <w:tc>
          <w:tcPr>
            <w:tcW w:type="dxa" w:w="7200"/>
            <w:vAlign w:val="center"/>
            <w:tcMar>
              <w:top w:w="100" w:type="dxa"/>
              <w:start w:w="120" w:type="dxa"/>
              <w:bottom w:w="100" w:type="dxa"/>
              <w:end w:w="120" w:type="dxa"/>
            </w:tcMar>
          </w:tcPr>
          <w:p>
            <w:r>
              <w:rPr>
                <w:color w:val="141414"/>
                <w:sz w:val="17"/>
              </w:rPr>
              <w:t>Draft for CEO ratification only</w:t>
            </w:r>
          </w:p>
        </w:tc>
      </w:tr>
      <w:tr>
        <w:tc>
          <w:tcPr>
            <w:tcW w:type="dxa" w:w="2304"/>
            <w:vAlign w:val="center"/>
            <w:tcMar>
              <w:top w:w="100" w:type="dxa"/>
              <w:start w:w="120" w:type="dxa"/>
              <w:bottom w:w="100" w:type="dxa"/>
              <w:end w:w="120" w:type="dxa"/>
            </w:tcMar>
            <w:shd w:fill="F5F3EF"/>
          </w:tcPr>
          <w:p>
            <w:r>
              <w:rPr>
                <w:color w:val="141414"/>
                <w:sz w:val="17"/>
              </w:rPr>
              <w:t>Implementation</w:t>
            </w:r>
          </w:p>
        </w:tc>
        <w:tc>
          <w:tcPr>
            <w:tcW w:type="dxa" w:w="7200"/>
            <w:vAlign w:val="center"/>
            <w:tcMar>
              <w:top w:w="100" w:type="dxa"/>
              <w:start w:w="120" w:type="dxa"/>
              <w:bottom w:w="100" w:type="dxa"/>
              <w:end w:w="120" w:type="dxa"/>
            </w:tcMar>
            <w:shd w:fill="F5F3EF"/>
          </w:tcPr>
          <w:p>
            <w:r>
              <w:rPr>
                <w:color w:val="141414"/>
                <w:sz w:val="17"/>
              </w:rPr>
              <w:t>Not authorised</w:t>
            </w:r>
          </w:p>
        </w:tc>
      </w:tr>
      <w:tr>
        <w:tc>
          <w:tcPr>
            <w:tcW w:type="dxa" w:w="2304"/>
            <w:vAlign w:val="center"/>
            <w:tcMar>
              <w:top w:w="100" w:type="dxa"/>
              <w:start w:w="120" w:type="dxa"/>
              <w:bottom w:w="100" w:type="dxa"/>
              <w:end w:w="120" w:type="dxa"/>
            </w:tcMar>
          </w:tcPr>
          <w:p>
            <w:r>
              <w:rPr>
                <w:color w:val="141414"/>
                <w:sz w:val="17"/>
              </w:rPr>
              <w:t>Production posture</w:t>
            </w:r>
          </w:p>
        </w:tc>
        <w:tc>
          <w:tcPr>
            <w:tcW w:type="dxa" w:w="7200"/>
            <w:vAlign w:val="center"/>
            <w:tcMar>
              <w:top w:w="100" w:type="dxa"/>
              <w:start w:w="120" w:type="dxa"/>
              <w:bottom w:w="100" w:type="dxa"/>
              <w:end w:w="120" w:type="dxa"/>
            </w:tcMar>
          </w:tcPr>
          <w:p>
            <w:r>
              <w:rPr>
                <w:color w:val="141414"/>
                <w:sz w:val="17"/>
              </w:rPr>
              <w:t>productionAuthorised:false; providers and communications inactive</w:t>
            </w:r>
          </w:p>
        </w:tc>
      </w:tr>
      <w:tr>
        <w:tc>
          <w:tcPr>
            <w:tcW w:type="dxa" w:w="2304"/>
            <w:vAlign w:val="center"/>
            <w:tcMar>
              <w:top w:w="100" w:type="dxa"/>
              <w:start w:w="120" w:type="dxa"/>
              <w:bottom w:w="100" w:type="dxa"/>
              <w:end w:w="120" w:type="dxa"/>
            </w:tcMar>
            <w:shd w:fill="F5F3EF"/>
          </w:tcPr>
          <w:p>
            <w:r>
              <w:rPr>
                <w:color w:val="141414"/>
                <w:sz w:val="17"/>
              </w:rPr>
              <w:t>Data boundary</w:t>
            </w:r>
          </w:p>
        </w:tc>
        <w:tc>
          <w:tcPr>
            <w:tcW w:type="dxa" w:w="7200"/>
            <w:vAlign w:val="center"/>
            <w:tcMar>
              <w:top w:w="100" w:type="dxa"/>
              <w:start w:w="120" w:type="dxa"/>
              <w:bottom w:w="100" w:type="dxa"/>
              <w:end w:w="120" w:type="dxa"/>
            </w:tcMar>
            <w:shd w:fill="F5F3EF"/>
          </w:tcPr>
          <w:p>
            <w:r>
              <w:rPr>
                <w:color w:val="141414"/>
                <w:sz w:val="17"/>
              </w:rPr>
              <w:t>Synthetic data only</w:t>
            </w:r>
          </w:p>
        </w:tc>
      </w:tr>
    </w:tbl>
    <w:p/>
    <w:p>
      <w:pPr>
        <w:pStyle w:val="Heading1"/>
      </w:pPr>
      <w:r>
        <w:t>Purpose and decision</w:t>
      </w:r>
    </w:p>
    <w:p>
      <w:r>
        <w:t>This document defines authority boundaries, core records, role permissions and compatibility rules so Dining Service Command extends Event OS without duplicating accepted truth.</w:t>
      </w:r>
    </w:p>
    <w:p>
      <w:pPr>
        <w:pStyle w:val="Heading1"/>
      </w:pPr>
      <w:r>
        <w:t>Authority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088"/>
            <w:shd w:fill="262626"/>
            <w:vAlign w:val="center"/>
            <w:tcMar>
              <w:top w:w="100" w:type="dxa"/>
              <w:start w:w="120" w:type="dxa"/>
              <w:bottom w:w="100" w:type="dxa"/>
              <w:end w:w="120" w:type="dxa"/>
            </w:tcMar>
          </w:tcPr>
          <w:p>
            <w:r>
              <w:rPr>
                <w:b/>
                <w:color w:val="FFFFFF"/>
                <w:sz w:val="18"/>
              </w:rPr>
              <w:t>Concern</w:t>
            </w:r>
          </w:p>
        </w:tc>
        <w:tc>
          <w:tcPr>
            <w:tcW w:type="dxa" w:w="3312"/>
            <w:shd w:fill="262626"/>
            <w:vAlign w:val="center"/>
            <w:tcMar>
              <w:top w:w="100" w:type="dxa"/>
              <w:start w:w="120" w:type="dxa"/>
              <w:bottom w:w="100" w:type="dxa"/>
              <w:end w:w="120" w:type="dxa"/>
            </w:tcMar>
          </w:tcPr>
          <w:p>
            <w:r>
              <w:rPr>
                <w:b/>
                <w:color w:val="FFFFFF"/>
                <w:sz w:val="18"/>
              </w:rPr>
              <w:t>Controlling authority</w:t>
            </w:r>
          </w:p>
        </w:tc>
        <w:tc>
          <w:tcPr>
            <w:tcW w:type="dxa" w:w="4248"/>
            <w:shd w:fill="262626"/>
            <w:vAlign w:val="center"/>
            <w:tcMar>
              <w:top w:w="100" w:type="dxa"/>
              <w:start w:w="120" w:type="dxa"/>
              <w:bottom w:w="100" w:type="dxa"/>
              <w:end w:w="120" w:type="dxa"/>
            </w:tcMar>
          </w:tcPr>
          <w:p>
            <w:r>
              <w:rPr>
                <w:b/>
                <w:color w:val="FFFFFF"/>
                <w:sz w:val="18"/>
              </w:rPr>
              <w:t>Dining representation</w:t>
            </w:r>
          </w:p>
        </w:tc>
      </w:tr>
      <w:tr>
        <w:tc>
          <w:tcPr>
            <w:tcW w:type="dxa" w:w="2088"/>
            <w:vAlign w:val="center"/>
            <w:tcMar>
              <w:top w:w="100" w:type="dxa"/>
              <w:start w:w="120" w:type="dxa"/>
              <w:bottom w:w="100" w:type="dxa"/>
              <w:end w:w="120" w:type="dxa"/>
            </w:tcMar>
          </w:tcPr>
          <w:p>
            <w:r>
              <w:rPr>
                <w:color w:val="141414"/>
                <w:sz w:val="17"/>
              </w:rPr>
              <w:t>Guest identity</w:t>
            </w:r>
          </w:p>
        </w:tc>
        <w:tc>
          <w:tcPr>
            <w:tcW w:type="dxa" w:w="3312"/>
            <w:vAlign w:val="center"/>
            <w:tcMar>
              <w:top w:w="100" w:type="dxa"/>
              <w:start w:w="120" w:type="dxa"/>
              <w:bottom w:w="100" w:type="dxa"/>
              <w:end w:w="120" w:type="dxa"/>
            </w:tcMar>
          </w:tcPr>
          <w:p>
            <w:r>
              <w:rPr>
                <w:color w:val="141414"/>
                <w:sz w:val="17"/>
              </w:rPr>
              <w:t>Operational Guest / governed intake</w:t>
            </w:r>
          </w:p>
        </w:tc>
        <w:tc>
          <w:tcPr>
            <w:tcW w:type="dxa" w:w="4248"/>
            <w:vAlign w:val="center"/>
            <w:tcMar>
              <w:top w:w="100" w:type="dxa"/>
              <w:start w:w="120" w:type="dxa"/>
              <w:bottom w:w="100" w:type="dxa"/>
              <w:end w:w="120" w:type="dxa"/>
            </w:tcMar>
          </w:tcPr>
          <w:p>
            <w:r>
              <w:rPr>
                <w:color w:val="141414"/>
                <w:sz w:val="17"/>
              </w:rPr>
              <w:t>Reference plus temporary dining subject where necessary</w:t>
            </w:r>
          </w:p>
        </w:tc>
      </w:tr>
      <w:tr>
        <w:tc>
          <w:tcPr>
            <w:tcW w:type="dxa" w:w="2088"/>
            <w:vAlign w:val="center"/>
            <w:tcMar>
              <w:top w:w="100" w:type="dxa"/>
              <w:start w:w="120" w:type="dxa"/>
              <w:bottom w:w="100" w:type="dxa"/>
              <w:end w:w="120" w:type="dxa"/>
            </w:tcMar>
            <w:shd w:fill="F5F3EF"/>
          </w:tcPr>
          <w:p>
            <w:r>
              <w:rPr>
                <w:color w:val="141414"/>
                <w:sz w:val="17"/>
              </w:rPr>
              <w:t>Arrival</w:t>
            </w:r>
          </w:p>
        </w:tc>
        <w:tc>
          <w:tcPr>
            <w:tcW w:type="dxa" w:w="3312"/>
            <w:vAlign w:val="center"/>
            <w:tcMar>
              <w:top w:w="100" w:type="dxa"/>
              <w:start w:w="120" w:type="dxa"/>
              <w:bottom w:w="100" w:type="dxa"/>
              <w:end w:w="120" w:type="dxa"/>
            </w:tcMar>
            <w:shd w:fill="F5F3EF"/>
          </w:tcPr>
          <w:p>
            <w:r>
              <w:rPr>
                <w:color w:val="141414"/>
                <w:sz w:val="17"/>
              </w:rPr>
              <w:t>Check-in authority</w:t>
            </w:r>
          </w:p>
        </w:tc>
        <w:tc>
          <w:tcPr>
            <w:tcW w:type="dxa" w:w="4248"/>
            <w:vAlign w:val="center"/>
            <w:tcMar>
              <w:top w:w="100" w:type="dxa"/>
              <w:start w:w="120" w:type="dxa"/>
              <w:bottom w:w="100" w:type="dxa"/>
              <w:end w:w="120" w:type="dxa"/>
            </w:tcMar>
            <w:shd w:fill="F5F3EF"/>
          </w:tcPr>
          <w:p>
            <w:r>
              <w:rPr>
                <w:color w:val="141414"/>
                <w:sz w:val="17"/>
              </w:rPr>
              <w:t>Read-only status and timestamp reference</w:t>
            </w:r>
          </w:p>
        </w:tc>
      </w:tr>
      <w:tr>
        <w:tc>
          <w:tcPr>
            <w:tcW w:type="dxa" w:w="2088"/>
            <w:vAlign w:val="center"/>
            <w:tcMar>
              <w:top w:w="100" w:type="dxa"/>
              <w:start w:w="120" w:type="dxa"/>
              <w:bottom w:w="100" w:type="dxa"/>
              <w:end w:w="120" w:type="dxa"/>
            </w:tcMar>
          </w:tcPr>
          <w:p>
            <w:r>
              <w:rPr>
                <w:color w:val="141414"/>
                <w:sz w:val="17"/>
              </w:rPr>
              <w:t>Expected table</w:t>
            </w:r>
          </w:p>
        </w:tc>
        <w:tc>
          <w:tcPr>
            <w:tcW w:type="dxa" w:w="3312"/>
            <w:vAlign w:val="center"/>
            <w:tcMar>
              <w:top w:w="100" w:type="dxa"/>
              <w:start w:w="120" w:type="dxa"/>
              <w:bottom w:w="100" w:type="dxa"/>
              <w:end w:w="120" w:type="dxa"/>
            </w:tcMar>
          </w:tcPr>
          <w:p>
            <w:r>
              <w:rPr>
                <w:color w:val="141414"/>
                <w:sz w:val="17"/>
              </w:rPr>
              <w:t>Current seating authority</w:t>
            </w:r>
          </w:p>
        </w:tc>
        <w:tc>
          <w:tcPr>
            <w:tcW w:type="dxa" w:w="4248"/>
            <w:vAlign w:val="center"/>
            <w:tcMar>
              <w:top w:w="100" w:type="dxa"/>
              <w:start w:w="120" w:type="dxa"/>
              <w:bottom w:w="100" w:type="dxa"/>
              <w:end w:w="120" w:type="dxa"/>
            </w:tcMar>
          </w:tcPr>
          <w:p>
            <w:r>
              <w:rPr>
                <w:color w:val="141414"/>
                <w:sz w:val="17"/>
              </w:rPr>
              <w:t>Versioned reference; never treated as physical-presence proof</w:t>
            </w:r>
          </w:p>
        </w:tc>
      </w:tr>
      <w:tr>
        <w:tc>
          <w:tcPr>
            <w:tcW w:type="dxa" w:w="2088"/>
            <w:vAlign w:val="center"/>
            <w:tcMar>
              <w:top w:w="100" w:type="dxa"/>
              <w:start w:w="120" w:type="dxa"/>
              <w:bottom w:w="100" w:type="dxa"/>
              <w:end w:w="120" w:type="dxa"/>
            </w:tcMar>
            <w:shd w:fill="F5F3EF"/>
          </w:tcPr>
          <w:p>
            <w:r>
              <w:rPr>
                <w:color w:val="141414"/>
                <w:sz w:val="17"/>
              </w:rPr>
              <w:t>Physical service location</w:t>
            </w:r>
          </w:p>
        </w:tc>
        <w:tc>
          <w:tcPr>
            <w:tcW w:type="dxa" w:w="3312"/>
            <w:vAlign w:val="center"/>
            <w:tcMar>
              <w:top w:w="100" w:type="dxa"/>
              <w:start w:w="120" w:type="dxa"/>
              <w:bottom w:w="100" w:type="dxa"/>
              <w:end w:w="120" w:type="dxa"/>
            </w:tcMar>
            <w:shd w:fill="F5F3EF"/>
          </w:tcPr>
          <w:p>
            <w:r>
              <w:rPr>
                <w:color w:val="141414"/>
                <w:sz w:val="17"/>
              </w:rPr>
              <w:t>Dining Service Command</w:t>
            </w:r>
          </w:p>
        </w:tc>
        <w:tc>
          <w:tcPr>
            <w:tcW w:type="dxa" w:w="4248"/>
            <w:vAlign w:val="center"/>
            <w:tcMar>
              <w:top w:w="100" w:type="dxa"/>
              <w:start w:w="120" w:type="dxa"/>
              <w:bottom w:w="100" w:type="dxa"/>
              <w:end w:w="120" w:type="dxa"/>
            </w:tcMar>
            <w:shd w:fill="F5F3EF"/>
          </w:tcPr>
          <w:p>
            <w:r>
              <w:rPr>
                <w:color w:val="141414"/>
                <w:sz w:val="17"/>
              </w:rPr>
              <w:t>Mutable event-day location with actor and time</w:t>
            </w:r>
          </w:p>
        </w:tc>
      </w:tr>
      <w:tr>
        <w:tc>
          <w:tcPr>
            <w:tcW w:type="dxa" w:w="2088"/>
            <w:vAlign w:val="center"/>
            <w:tcMar>
              <w:top w:w="100" w:type="dxa"/>
              <w:start w:w="120" w:type="dxa"/>
              <w:bottom w:w="100" w:type="dxa"/>
              <w:end w:w="120" w:type="dxa"/>
            </w:tcMar>
          </w:tcPr>
          <w:p>
            <w:r>
              <w:rPr>
                <w:color w:val="141414"/>
                <w:sz w:val="17"/>
              </w:rPr>
              <w:t>Accessibility</w:t>
            </w:r>
          </w:p>
        </w:tc>
        <w:tc>
          <w:tcPr>
            <w:tcW w:type="dxa" w:w="3312"/>
            <w:vAlign w:val="center"/>
            <w:tcMar>
              <w:top w:w="100" w:type="dxa"/>
              <w:start w:w="120" w:type="dxa"/>
              <w:bottom w:w="100" w:type="dxa"/>
              <w:end w:w="120" w:type="dxa"/>
            </w:tcMar>
          </w:tcPr>
          <w:p>
            <w:r>
              <w:rPr>
                <w:color w:val="141414"/>
                <w:sz w:val="17"/>
              </w:rPr>
              <w:t>Accessibility authority</w:t>
            </w:r>
          </w:p>
        </w:tc>
        <w:tc>
          <w:tcPr>
            <w:tcW w:type="dxa" w:w="4248"/>
            <w:vAlign w:val="center"/>
            <w:tcMar>
              <w:top w:w="100" w:type="dxa"/>
              <w:start w:w="120" w:type="dxa"/>
              <w:bottom w:w="100" w:type="dxa"/>
              <w:end w:w="120" w:type="dxa"/>
            </w:tcMar>
          </w:tcPr>
          <w:p>
            <w:r>
              <w:rPr>
                <w:color w:val="141414"/>
                <w:sz w:val="17"/>
              </w:rPr>
              <w:t>Minimum necessary operational instruction</w:t>
            </w:r>
          </w:p>
        </w:tc>
      </w:tr>
      <w:tr>
        <w:tc>
          <w:tcPr>
            <w:tcW w:type="dxa" w:w="2088"/>
            <w:vAlign w:val="center"/>
            <w:tcMar>
              <w:top w:w="100" w:type="dxa"/>
              <w:start w:w="120" w:type="dxa"/>
              <w:bottom w:w="100" w:type="dxa"/>
              <w:end w:w="120" w:type="dxa"/>
            </w:tcMar>
            <w:shd w:fill="F5F3EF"/>
          </w:tcPr>
          <w:p>
            <w:r>
              <w:rPr>
                <w:color w:val="141414"/>
                <w:sz w:val="17"/>
              </w:rPr>
              <w:t>Dietary and allergy</w:t>
            </w:r>
          </w:p>
        </w:tc>
        <w:tc>
          <w:tcPr>
            <w:tcW w:type="dxa" w:w="3312"/>
            <w:vAlign w:val="center"/>
            <w:tcMar>
              <w:top w:w="100" w:type="dxa"/>
              <w:start w:w="120" w:type="dxa"/>
              <w:bottom w:w="100" w:type="dxa"/>
              <w:end w:w="120" w:type="dxa"/>
            </w:tcMar>
            <w:shd w:fill="F5F3EF"/>
          </w:tcPr>
          <w:p>
            <w:r>
              <w:rPr>
                <w:color w:val="141414"/>
                <w:sz w:val="17"/>
              </w:rPr>
              <w:t>Guest requirement authority plus explicit service confirmation</w:t>
            </w:r>
          </w:p>
        </w:tc>
        <w:tc>
          <w:tcPr>
            <w:tcW w:type="dxa" w:w="4248"/>
            <w:vAlign w:val="center"/>
            <w:tcMar>
              <w:top w:w="100" w:type="dxa"/>
              <w:start w:w="120" w:type="dxa"/>
              <w:bottom w:w="100" w:type="dxa"/>
              <w:end w:w="120" w:type="dxa"/>
            </w:tcMar>
            <w:shd w:fill="F5F3EF"/>
          </w:tcPr>
          <w:p>
            <w:r>
              <w:rPr>
                <w:color w:val="141414"/>
                <w:sz w:val="17"/>
              </w:rPr>
              <w:t>Classified requirement and vendor capability response</w:t>
            </w:r>
          </w:p>
        </w:tc>
      </w:tr>
      <w:tr>
        <w:tc>
          <w:tcPr>
            <w:tcW w:type="dxa" w:w="2088"/>
            <w:vAlign w:val="center"/>
            <w:tcMar>
              <w:top w:w="100" w:type="dxa"/>
              <w:start w:w="120" w:type="dxa"/>
              <w:bottom w:w="100" w:type="dxa"/>
              <w:end w:w="120" w:type="dxa"/>
            </w:tcMar>
          </w:tcPr>
          <w:p>
            <w:r>
              <w:rPr>
                <w:color w:val="141414"/>
                <w:sz w:val="17"/>
              </w:rPr>
              <w:t>VIP and protocol</w:t>
            </w:r>
          </w:p>
        </w:tc>
        <w:tc>
          <w:tcPr>
            <w:tcW w:type="dxa" w:w="3312"/>
            <w:vAlign w:val="center"/>
            <w:tcMar>
              <w:top w:w="100" w:type="dxa"/>
              <w:start w:w="120" w:type="dxa"/>
              <w:bottom w:w="100" w:type="dxa"/>
              <w:end w:w="120" w:type="dxa"/>
            </w:tcMar>
          </w:tcPr>
          <w:p>
            <w:r>
              <w:rPr>
                <w:color w:val="141414"/>
                <w:sz w:val="17"/>
              </w:rPr>
              <w:t>S06B when authorised</w:t>
            </w:r>
          </w:p>
        </w:tc>
        <w:tc>
          <w:tcPr>
            <w:tcW w:type="dxa" w:w="4248"/>
            <w:vAlign w:val="center"/>
            <w:tcMar>
              <w:top w:w="100" w:type="dxa"/>
              <w:start w:w="120" w:type="dxa"/>
              <w:bottom w:w="100" w:type="dxa"/>
              <w:end w:w="120" w:type="dxa"/>
            </w:tcMar>
          </w:tcPr>
          <w:p>
            <w:r>
              <w:rPr>
                <w:color w:val="141414"/>
                <w:sz w:val="17"/>
              </w:rPr>
              <w:t>Need-to-know service flags; no broad category disclosure</w:t>
            </w:r>
          </w:p>
        </w:tc>
      </w:tr>
      <w:tr>
        <w:tc>
          <w:tcPr>
            <w:tcW w:type="dxa" w:w="2088"/>
            <w:vAlign w:val="center"/>
            <w:tcMar>
              <w:top w:w="100" w:type="dxa"/>
              <w:start w:w="120" w:type="dxa"/>
              <w:bottom w:w="100" w:type="dxa"/>
              <w:end w:w="120" w:type="dxa"/>
            </w:tcMar>
            <w:shd w:fill="F5F3EF"/>
          </w:tcPr>
          <w:p>
            <w:r>
              <w:rPr>
                <w:color w:val="141414"/>
                <w:sz w:val="17"/>
              </w:rPr>
              <w:t>Programme timing</w:t>
            </w:r>
          </w:p>
        </w:tc>
        <w:tc>
          <w:tcPr>
            <w:tcW w:type="dxa" w:w="3312"/>
            <w:vAlign w:val="center"/>
            <w:tcMar>
              <w:top w:w="100" w:type="dxa"/>
              <w:start w:w="120" w:type="dxa"/>
              <w:bottom w:w="100" w:type="dxa"/>
              <w:end w:w="120" w:type="dxa"/>
            </w:tcMar>
            <w:shd w:fill="F5F3EF"/>
          </w:tcPr>
          <w:p>
            <w:r>
              <w:rPr>
                <w:color w:val="141414"/>
                <w:sz w:val="17"/>
              </w:rPr>
              <w:t>Current programme authority</w:t>
            </w:r>
          </w:p>
        </w:tc>
        <w:tc>
          <w:tcPr>
            <w:tcW w:type="dxa" w:w="4248"/>
            <w:vAlign w:val="center"/>
            <w:tcMar>
              <w:top w:w="100" w:type="dxa"/>
              <w:start w:w="120" w:type="dxa"/>
              <w:bottom w:w="100" w:type="dxa"/>
              <w:end w:w="120" w:type="dxa"/>
            </w:tcMar>
            <w:shd w:fill="F5F3EF"/>
          </w:tcPr>
          <w:p>
            <w:r>
              <w:rPr>
                <w:color w:val="141414"/>
                <w:sz w:val="17"/>
              </w:rPr>
              <w:t>Course/wave timing reference</w:t>
            </w:r>
          </w:p>
        </w:tc>
      </w:tr>
      <w:tr>
        <w:tc>
          <w:tcPr>
            <w:tcW w:type="dxa" w:w="2088"/>
            <w:vAlign w:val="center"/>
            <w:tcMar>
              <w:top w:w="100" w:type="dxa"/>
              <w:start w:w="120" w:type="dxa"/>
              <w:bottom w:w="100" w:type="dxa"/>
              <w:end w:w="120" w:type="dxa"/>
            </w:tcMar>
          </w:tcPr>
          <w:p>
            <w:r>
              <w:rPr>
                <w:color w:val="141414"/>
                <w:sz w:val="17"/>
              </w:rPr>
              <w:t>Menu and route</w:t>
            </w:r>
          </w:p>
        </w:tc>
        <w:tc>
          <w:tcPr>
            <w:tcW w:type="dxa" w:w="3312"/>
            <w:vAlign w:val="center"/>
            <w:tcMar>
              <w:top w:w="100" w:type="dxa"/>
              <w:start w:w="120" w:type="dxa"/>
              <w:bottom w:w="100" w:type="dxa"/>
              <w:end w:w="120" w:type="dxa"/>
            </w:tcMar>
          </w:tcPr>
          <w:p>
            <w:r>
              <w:rPr>
                <w:color w:val="141414"/>
                <w:sz w:val="17"/>
              </w:rPr>
              <w:t>Dining catalogue authority</w:t>
            </w:r>
          </w:p>
        </w:tc>
        <w:tc>
          <w:tcPr>
            <w:tcW w:type="dxa" w:w="4248"/>
            <w:vAlign w:val="center"/>
            <w:tcMar>
              <w:top w:w="100" w:type="dxa"/>
              <w:start w:w="120" w:type="dxa"/>
              <w:bottom w:w="100" w:type="dxa"/>
              <w:end w:w="120" w:type="dxa"/>
            </w:tcMar>
          </w:tcPr>
          <w:p>
            <w:r>
              <w:rPr>
                <w:color w:val="141414"/>
                <w:sz w:val="17"/>
              </w:rPr>
              <w:t>Versioned menu item to vendor/station route</w:t>
            </w:r>
          </w:p>
        </w:tc>
      </w:tr>
    </w:tbl>
    <w:p/>
    <w:p>
      <w:pPr>
        <w:pStyle w:val="Heading1"/>
      </w:pPr>
      <w:r>
        <w:t>Core entities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664"/>
            <w:shd w:fill="262626"/>
            <w:vAlign w:val="center"/>
            <w:tcMar>
              <w:top w:w="100" w:type="dxa"/>
              <w:start w:w="120" w:type="dxa"/>
              <w:bottom w:w="100" w:type="dxa"/>
              <w:end w:w="120" w:type="dxa"/>
            </w:tcMar>
          </w:tcPr>
          <w:p>
            <w:r>
              <w:rPr>
                <w:b/>
                <w:color w:val="FFFFFF"/>
                <w:sz w:val="18"/>
              </w:rPr>
              <w:t>Entity</w:t>
            </w:r>
          </w:p>
        </w:tc>
        <w:tc>
          <w:tcPr>
            <w:tcW w:type="dxa" w:w="6984"/>
            <w:shd w:fill="262626"/>
            <w:vAlign w:val="center"/>
            <w:tcMar>
              <w:top w:w="100" w:type="dxa"/>
              <w:start w:w="120" w:type="dxa"/>
              <w:bottom w:w="100" w:type="dxa"/>
              <w:end w:w="120" w:type="dxa"/>
            </w:tcMar>
          </w:tcPr>
          <w:p>
            <w:r>
              <w:rPr>
                <w:b/>
                <w:color w:val="FFFFFF"/>
                <w:sz w:val="18"/>
              </w:rPr>
              <w:t>Purpose</w:t>
            </w:r>
          </w:p>
        </w:tc>
      </w:tr>
      <w:tr>
        <w:tc>
          <w:tcPr>
            <w:tcW w:type="dxa" w:w="2664"/>
            <w:vAlign w:val="center"/>
            <w:tcMar>
              <w:top w:w="100" w:type="dxa"/>
              <w:start w:w="120" w:type="dxa"/>
              <w:bottom w:w="100" w:type="dxa"/>
              <w:end w:w="120" w:type="dxa"/>
            </w:tcMar>
          </w:tcPr>
          <w:p>
            <w:r>
              <w:rPr>
                <w:color w:val="141414"/>
                <w:sz w:val="17"/>
              </w:rPr>
              <w:t>DiningServicePlan</w:t>
            </w:r>
          </w:p>
        </w:tc>
        <w:tc>
          <w:tcPr>
            <w:tcW w:type="dxa" w:w="6984"/>
            <w:vAlign w:val="center"/>
            <w:tcMar>
              <w:top w:w="100" w:type="dxa"/>
              <w:start w:w="120" w:type="dxa"/>
              <w:bottom w:w="100" w:type="dxa"/>
              <w:end w:w="120" w:type="dxa"/>
            </w:tcMar>
          </w:tcPr>
          <w:p>
            <w:r>
              <w:rPr>
                <w:color w:val="141414"/>
                <w:sz w:val="17"/>
              </w:rPr>
              <w:t>Event-level policy, roles, zones, service periods and operating mode</w:t>
            </w:r>
          </w:p>
        </w:tc>
      </w:tr>
      <w:tr>
        <w:tc>
          <w:tcPr>
            <w:tcW w:type="dxa" w:w="2664"/>
            <w:vAlign w:val="center"/>
            <w:tcMar>
              <w:top w:w="100" w:type="dxa"/>
              <w:start w:w="120" w:type="dxa"/>
              <w:bottom w:w="100" w:type="dxa"/>
              <w:end w:w="120" w:type="dxa"/>
            </w:tcMar>
            <w:shd w:fill="F5F3EF"/>
          </w:tcPr>
          <w:p>
            <w:r>
              <w:rPr>
                <w:color w:val="141414"/>
                <w:sz w:val="17"/>
              </w:rPr>
              <w:t>VendorOrganisation</w:t>
            </w:r>
          </w:p>
        </w:tc>
        <w:tc>
          <w:tcPr>
            <w:tcW w:type="dxa" w:w="6984"/>
            <w:vAlign w:val="center"/>
            <w:tcMar>
              <w:top w:w="100" w:type="dxa"/>
              <w:start w:w="120" w:type="dxa"/>
              <w:bottom w:w="100" w:type="dxa"/>
              <w:end w:w="120" w:type="dxa"/>
            </w:tcMar>
            <w:shd w:fill="F5F3EF"/>
          </w:tcPr>
          <w:p>
            <w:r>
              <w:rPr>
                <w:color w:val="141414"/>
                <w:sz w:val="17"/>
              </w:rPr>
              <w:t>Caterer identity and contractual protocol</w:t>
            </w:r>
          </w:p>
        </w:tc>
      </w:tr>
      <w:tr>
        <w:tc>
          <w:tcPr>
            <w:tcW w:type="dxa" w:w="2664"/>
            <w:vAlign w:val="center"/>
            <w:tcMar>
              <w:top w:w="100" w:type="dxa"/>
              <w:start w:w="120" w:type="dxa"/>
              <w:bottom w:w="100" w:type="dxa"/>
              <w:end w:w="120" w:type="dxa"/>
            </w:tcMar>
          </w:tcPr>
          <w:p>
            <w:r>
              <w:rPr>
                <w:color w:val="141414"/>
                <w:sz w:val="17"/>
              </w:rPr>
              <w:t>VendorStation</w:t>
            </w:r>
          </w:p>
        </w:tc>
        <w:tc>
          <w:tcPr>
            <w:tcW w:type="dxa" w:w="6984"/>
            <w:vAlign w:val="center"/>
            <w:tcMar>
              <w:top w:w="100" w:type="dxa"/>
              <w:start w:w="120" w:type="dxa"/>
              <w:bottom w:w="100" w:type="dxa"/>
              <w:end w:w="120" w:type="dxa"/>
            </w:tcMar>
          </w:tcPr>
          <w:p>
            <w:r>
              <w:rPr>
                <w:color w:val="141414"/>
                <w:sz w:val="17"/>
              </w:rPr>
              <w:t>Physical preparation point and device assignment</w:t>
            </w:r>
          </w:p>
        </w:tc>
      </w:tr>
      <w:tr>
        <w:tc>
          <w:tcPr>
            <w:tcW w:type="dxa" w:w="2664"/>
            <w:vAlign w:val="center"/>
            <w:tcMar>
              <w:top w:w="100" w:type="dxa"/>
              <w:start w:w="120" w:type="dxa"/>
              <w:bottom w:w="100" w:type="dxa"/>
              <w:end w:w="120" w:type="dxa"/>
            </w:tcMar>
            <w:shd w:fill="F5F3EF"/>
          </w:tcPr>
          <w:p>
            <w:r>
              <w:rPr>
                <w:color w:val="141414"/>
                <w:sz w:val="17"/>
              </w:rPr>
              <w:t>MenuEdition and MenuItem</w:t>
            </w:r>
          </w:p>
        </w:tc>
        <w:tc>
          <w:tcPr>
            <w:tcW w:type="dxa" w:w="6984"/>
            <w:vAlign w:val="center"/>
            <w:tcMar>
              <w:top w:w="100" w:type="dxa"/>
              <w:start w:w="120" w:type="dxa"/>
              <w:bottom w:w="100" w:type="dxa"/>
              <w:end w:w="120" w:type="dxa"/>
            </w:tcMar>
            <w:shd w:fill="F5F3EF"/>
          </w:tcPr>
          <w:p>
            <w:r>
              <w:rPr>
                <w:color w:val="141414"/>
                <w:sz w:val="17"/>
              </w:rPr>
              <w:t>Versioned guest offering and orderable definition</w:t>
            </w:r>
          </w:p>
        </w:tc>
      </w:tr>
      <w:tr>
        <w:tc>
          <w:tcPr>
            <w:tcW w:type="dxa" w:w="2664"/>
            <w:vAlign w:val="center"/>
            <w:tcMar>
              <w:top w:w="100" w:type="dxa"/>
              <w:start w:w="120" w:type="dxa"/>
              <w:bottom w:w="100" w:type="dxa"/>
              <w:end w:w="120" w:type="dxa"/>
            </w:tcMar>
          </w:tcPr>
          <w:p>
            <w:r>
              <w:rPr>
                <w:color w:val="141414"/>
                <w:sz w:val="17"/>
              </w:rPr>
              <w:t>FulfilmentRoute</w:t>
            </w:r>
          </w:p>
        </w:tc>
        <w:tc>
          <w:tcPr>
            <w:tcW w:type="dxa" w:w="6984"/>
            <w:vAlign w:val="center"/>
            <w:tcMar>
              <w:top w:w="100" w:type="dxa"/>
              <w:start w:w="120" w:type="dxa"/>
              <w:bottom w:w="100" w:type="dxa"/>
              <w:end w:w="120" w:type="dxa"/>
            </w:tcMar>
          </w:tcPr>
          <w:p>
            <w:r>
              <w:rPr>
                <w:color w:val="141414"/>
                <w:sz w:val="17"/>
              </w:rPr>
              <w:t>Menu item to vendor/station mapping and approved fallback</w:t>
            </w:r>
          </w:p>
        </w:tc>
      </w:tr>
      <w:tr>
        <w:tc>
          <w:tcPr>
            <w:tcW w:type="dxa" w:w="2664"/>
            <w:vAlign w:val="center"/>
            <w:tcMar>
              <w:top w:w="100" w:type="dxa"/>
              <w:start w:w="120" w:type="dxa"/>
              <w:bottom w:w="100" w:type="dxa"/>
              <w:end w:w="120" w:type="dxa"/>
            </w:tcMar>
            <w:shd w:fill="F5F3EF"/>
          </w:tcPr>
          <w:p>
            <w:r>
              <w:rPr>
                <w:color w:val="141414"/>
                <w:sz w:val="17"/>
              </w:rPr>
              <w:t>DiningSubject</w:t>
            </w:r>
          </w:p>
        </w:tc>
        <w:tc>
          <w:tcPr>
            <w:tcW w:type="dxa" w:w="6984"/>
            <w:vAlign w:val="center"/>
            <w:tcMar>
              <w:top w:w="100" w:type="dxa"/>
              <w:start w:w="120" w:type="dxa"/>
              <w:bottom w:w="100" w:type="dxa"/>
              <w:end w:w="120" w:type="dxa"/>
            </w:tcMar>
            <w:shd w:fill="F5F3EF"/>
          </w:tcPr>
          <w:p>
            <w:r>
              <w:rPr>
                <w:color w:val="141414"/>
                <w:sz w:val="17"/>
              </w:rPr>
              <w:t>Guest reference or controlled temporary subject</w:t>
            </w:r>
          </w:p>
        </w:tc>
      </w:tr>
      <w:tr>
        <w:tc>
          <w:tcPr>
            <w:tcW w:type="dxa" w:w="2664"/>
            <w:vAlign w:val="center"/>
            <w:tcMar>
              <w:top w:w="100" w:type="dxa"/>
              <w:start w:w="120" w:type="dxa"/>
              <w:bottom w:w="100" w:type="dxa"/>
              <w:end w:w="120" w:type="dxa"/>
            </w:tcMar>
          </w:tcPr>
          <w:p>
            <w:r>
              <w:rPr>
                <w:color w:val="141414"/>
                <w:sz w:val="17"/>
              </w:rPr>
              <w:t>Order and OrderEpisode</w:t>
            </w:r>
          </w:p>
        </w:tc>
        <w:tc>
          <w:tcPr>
            <w:tcW w:type="dxa" w:w="6984"/>
            <w:vAlign w:val="center"/>
            <w:tcMar>
              <w:top w:w="100" w:type="dxa"/>
              <w:start w:w="120" w:type="dxa"/>
              <w:bottom w:w="100" w:type="dxa"/>
              <w:end w:w="120" w:type="dxa"/>
            </w:tcMar>
          </w:tcPr>
          <w:p>
            <w:r>
              <w:rPr>
                <w:color w:val="141414"/>
                <w:sz w:val="17"/>
              </w:rPr>
              <w:t>Parent interaction and additive ordering occurrence</w:t>
            </w:r>
          </w:p>
        </w:tc>
      </w:tr>
      <w:tr>
        <w:tc>
          <w:tcPr>
            <w:tcW w:type="dxa" w:w="2664"/>
            <w:vAlign w:val="center"/>
            <w:tcMar>
              <w:top w:w="100" w:type="dxa"/>
              <w:start w:w="120" w:type="dxa"/>
              <w:bottom w:w="100" w:type="dxa"/>
              <w:end w:w="120" w:type="dxa"/>
            </w:tcMar>
            <w:shd w:fill="F5F3EF"/>
          </w:tcPr>
          <w:p>
            <w:r>
              <w:rPr>
                <w:color w:val="141414"/>
                <w:sz w:val="17"/>
              </w:rPr>
              <w:t>OrderLine</w:t>
            </w:r>
          </w:p>
        </w:tc>
        <w:tc>
          <w:tcPr>
            <w:tcW w:type="dxa" w:w="6984"/>
            <w:vAlign w:val="center"/>
            <w:tcMar>
              <w:top w:w="100" w:type="dxa"/>
              <w:start w:w="120" w:type="dxa"/>
              <w:bottom w:w="100" w:type="dxa"/>
              <w:end w:w="120" w:type="dxa"/>
            </w:tcMar>
            <w:shd w:fill="F5F3EF"/>
          </w:tcPr>
          <w:p>
            <w:r>
              <w:rPr>
                <w:color w:val="141414"/>
                <w:sz w:val="17"/>
              </w:rPr>
              <w:t>Item, quantity, requirements, timing and subject</w:t>
            </w:r>
          </w:p>
        </w:tc>
      </w:tr>
      <w:tr>
        <w:tc>
          <w:tcPr>
            <w:tcW w:type="dxa" w:w="2664"/>
            <w:vAlign w:val="center"/>
            <w:tcMar>
              <w:top w:w="100" w:type="dxa"/>
              <w:start w:w="120" w:type="dxa"/>
              <w:bottom w:w="100" w:type="dxa"/>
              <w:end w:w="120" w:type="dxa"/>
            </w:tcMar>
          </w:tcPr>
          <w:p>
            <w:r>
              <w:rPr>
                <w:color w:val="141414"/>
                <w:sz w:val="17"/>
              </w:rPr>
              <w:t>FulfilmentTask</w:t>
            </w:r>
          </w:p>
        </w:tc>
        <w:tc>
          <w:tcPr>
            <w:tcW w:type="dxa" w:w="6984"/>
            <w:vAlign w:val="center"/>
            <w:tcMar>
              <w:top w:w="100" w:type="dxa"/>
              <w:start w:w="120" w:type="dxa"/>
              <w:bottom w:w="100" w:type="dxa"/>
              <w:end w:w="120" w:type="dxa"/>
            </w:tcMar>
          </w:tcPr>
          <w:p>
            <w:r>
              <w:rPr>
                <w:color w:val="141414"/>
                <w:sz w:val="17"/>
              </w:rPr>
              <w:t>Vendor/station responsibility derived from an order line</w:t>
            </w:r>
          </w:p>
        </w:tc>
      </w:tr>
      <w:tr>
        <w:tc>
          <w:tcPr>
            <w:tcW w:type="dxa" w:w="2664"/>
            <w:vAlign w:val="center"/>
            <w:tcMar>
              <w:top w:w="100" w:type="dxa"/>
              <w:start w:w="120" w:type="dxa"/>
              <w:bottom w:w="100" w:type="dxa"/>
              <w:end w:w="120" w:type="dxa"/>
            </w:tcMar>
            <w:shd w:fill="F5F3EF"/>
          </w:tcPr>
          <w:p>
            <w:r>
              <w:rPr>
                <w:color w:val="141414"/>
                <w:sz w:val="17"/>
              </w:rPr>
              <w:t>ServiceBundle</w:t>
            </w:r>
          </w:p>
        </w:tc>
        <w:tc>
          <w:tcPr>
            <w:tcW w:type="dxa" w:w="6984"/>
            <w:vAlign w:val="center"/>
            <w:tcMar>
              <w:top w:w="100" w:type="dxa"/>
              <w:start w:w="120" w:type="dxa"/>
              <w:bottom w:w="100" w:type="dxa"/>
              <w:end w:w="120" w:type="dxa"/>
            </w:tcMar>
            <w:shd w:fill="F5F3EF"/>
          </w:tcPr>
          <w:p>
            <w:r>
              <w:rPr>
                <w:color w:val="141414"/>
                <w:sz w:val="17"/>
              </w:rPr>
              <w:t>Coordinated release group</w:t>
            </w:r>
          </w:p>
        </w:tc>
      </w:tr>
      <w:tr>
        <w:tc>
          <w:tcPr>
            <w:tcW w:type="dxa" w:w="2664"/>
            <w:vAlign w:val="center"/>
            <w:tcMar>
              <w:top w:w="100" w:type="dxa"/>
              <w:start w:w="120" w:type="dxa"/>
              <w:bottom w:w="100" w:type="dxa"/>
              <w:end w:w="120" w:type="dxa"/>
            </w:tcMar>
          </w:tcPr>
          <w:p>
            <w:r>
              <w:rPr>
                <w:color w:val="141414"/>
                <w:sz w:val="17"/>
              </w:rPr>
              <w:t>StagingPosition</w:t>
            </w:r>
          </w:p>
        </w:tc>
        <w:tc>
          <w:tcPr>
            <w:tcW w:type="dxa" w:w="6984"/>
            <w:vAlign w:val="center"/>
            <w:tcMar>
              <w:top w:w="100" w:type="dxa"/>
              <w:start w:w="120" w:type="dxa"/>
              <w:bottom w:w="100" w:type="dxa"/>
              <w:end w:w="120" w:type="dxa"/>
            </w:tcMar>
          </w:tcPr>
          <w:p>
            <w:r>
              <w:rPr>
                <w:color w:val="141414"/>
                <w:sz w:val="17"/>
              </w:rPr>
              <w:t>Physical expeditor custody location</w:t>
            </w:r>
          </w:p>
        </w:tc>
      </w:tr>
      <w:tr>
        <w:tc>
          <w:tcPr>
            <w:tcW w:type="dxa" w:w="2664"/>
            <w:vAlign w:val="center"/>
            <w:tcMar>
              <w:top w:w="100" w:type="dxa"/>
              <w:start w:w="120" w:type="dxa"/>
              <w:bottom w:w="100" w:type="dxa"/>
              <w:end w:w="120" w:type="dxa"/>
            </w:tcMar>
            <w:shd w:fill="F5F3EF"/>
          </w:tcPr>
          <w:p>
            <w:r>
              <w:rPr>
                <w:color w:val="141414"/>
                <w:sz w:val="17"/>
              </w:rPr>
              <w:t>RunnerAssignment</w:t>
            </w:r>
          </w:p>
        </w:tc>
        <w:tc>
          <w:tcPr>
            <w:tcW w:type="dxa" w:w="6984"/>
            <w:vAlign w:val="center"/>
            <w:tcMar>
              <w:top w:w="100" w:type="dxa"/>
              <w:start w:w="120" w:type="dxa"/>
              <w:bottom w:w="100" w:type="dxa"/>
              <w:end w:w="120" w:type="dxa"/>
            </w:tcMar>
            <w:shd w:fill="F5F3EF"/>
          </w:tcPr>
          <w:p>
            <w:r>
              <w:rPr>
                <w:color w:val="141414"/>
                <w:sz w:val="17"/>
              </w:rPr>
              <w:t>Collection and delivery responsibility</w:t>
            </w:r>
          </w:p>
        </w:tc>
      </w:tr>
      <w:tr>
        <w:tc>
          <w:tcPr>
            <w:tcW w:type="dxa" w:w="2664"/>
            <w:vAlign w:val="center"/>
            <w:tcMar>
              <w:top w:w="100" w:type="dxa"/>
              <w:start w:w="120" w:type="dxa"/>
              <w:bottom w:w="100" w:type="dxa"/>
              <w:end w:w="120" w:type="dxa"/>
            </w:tcMar>
          </w:tcPr>
          <w:p>
            <w:r>
              <w:rPr>
                <w:color w:val="141414"/>
                <w:sz w:val="17"/>
              </w:rPr>
              <w:t>ClearingRequest</w:t>
            </w:r>
          </w:p>
        </w:tc>
        <w:tc>
          <w:tcPr>
            <w:tcW w:type="dxa" w:w="6984"/>
            <w:vAlign w:val="center"/>
            <w:tcMar>
              <w:top w:w="100" w:type="dxa"/>
              <w:start w:w="120" w:type="dxa"/>
              <w:bottom w:w="100" w:type="dxa"/>
              <w:end w:w="120" w:type="dxa"/>
            </w:tcMar>
          </w:tcPr>
          <w:p>
            <w:r>
              <w:rPr>
                <w:color w:val="141414"/>
                <w:sz w:val="17"/>
              </w:rPr>
              <w:t>Shared clear/reset work</w:t>
            </w:r>
          </w:p>
        </w:tc>
      </w:tr>
      <w:tr>
        <w:tc>
          <w:tcPr>
            <w:tcW w:type="dxa" w:w="2664"/>
            <w:vAlign w:val="center"/>
            <w:tcMar>
              <w:top w:w="100" w:type="dxa"/>
              <w:start w:w="120" w:type="dxa"/>
              <w:bottom w:w="100" w:type="dxa"/>
              <w:end w:w="120" w:type="dxa"/>
            </w:tcMar>
            <w:shd w:fill="F5F3EF"/>
          </w:tcPr>
          <w:p>
            <w:r>
              <w:rPr>
                <w:color w:val="141414"/>
                <w:sz w:val="17"/>
              </w:rPr>
              <w:t>ServiceIssue and RecoveryCase</w:t>
            </w:r>
          </w:p>
        </w:tc>
        <w:tc>
          <w:tcPr>
            <w:tcW w:type="dxa" w:w="6984"/>
            <w:vAlign w:val="center"/>
            <w:tcMar>
              <w:top w:w="100" w:type="dxa"/>
              <w:start w:w="120" w:type="dxa"/>
              <w:bottom w:w="100" w:type="dxa"/>
              <w:end w:w="120" w:type="dxa"/>
            </w:tcMar>
            <w:shd w:fill="F5F3EF"/>
          </w:tcPr>
          <w:p>
            <w:r>
              <w:rPr>
                <w:color w:val="141414"/>
                <w:sz w:val="17"/>
              </w:rPr>
              <w:t>Exception, accountability and resolution</w:t>
            </w:r>
          </w:p>
        </w:tc>
      </w:tr>
      <w:tr>
        <w:tc>
          <w:tcPr>
            <w:tcW w:type="dxa" w:w="2664"/>
            <w:vAlign w:val="center"/>
            <w:tcMar>
              <w:top w:w="100" w:type="dxa"/>
              <w:start w:w="120" w:type="dxa"/>
              <w:bottom w:w="100" w:type="dxa"/>
              <w:end w:w="120" w:type="dxa"/>
            </w:tcMar>
          </w:tcPr>
          <w:p>
            <w:r>
              <w:rPr>
                <w:color w:val="141414"/>
                <w:sz w:val="17"/>
              </w:rPr>
              <w:t>DeviceLease</w:t>
            </w:r>
          </w:p>
        </w:tc>
        <w:tc>
          <w:tcPr>
            <w:tcW w:type="dxa" w:w="6984"/>
            <w:vAlign w:val="center"/>
            <w:tcMar>
              <w:top w:w="100" w:type="dxa"/>
              <w:start w:w="120" w:type="dxa"/>
              <w:bottom w:w="100" w:type="dxa"/>
              <w:end w:w="120" w:type="dxa"/>
            </w:tcMar>
          </w:tcPr>
          <w:p>
            <w:r>
              <w:rPr>
                <w:color w:val="141414"/>
                <w:sz w:val="17"/>
              </w:rPr>
              <w:t>Time-bounded event/device/station authority</w:t>
            </w:r>
          </w:p>
        </w:tc>
      </w:tr>
      <w:tr>
        <w:tc>
          <w:tcPr>
            <w:tcW w:type="dxa" w:w="2664"/>
            <w:vAlign w:val="center"/>
            <w:tcMar>
              <w:top w:w="100" w:type="dxa"/>
              <w:start w:w="120" w:type="dxa"/>
              <w:bottom w:w="100" w:type="dxa"/>
              <w:end w:w="120" w:type="dxa"/>
            </w:tcMar>
            <w:shd w:fill="F5F3EF"/>
          </w:tcPr>
          <w:p>
            <w:r>
              <w:rPr>
                <w:color w:val="141414"/>
                <w:sz w:val="17"/>
              </w:rPr>
              <w:t>SyncOperation</w:t>
            </w:r>
          </w:p>
        </w:tc>
        <w:tc>
          <w:tcPr>
            <w:tcW w:type="dxa" w:w="6984"/>
            <w:vAlign w:val="center"/>
            <w:tcMar>
              <w:top w:w="100" w:type="dxa"/>
              <w:start w:w="120" w:type="dxa"/>
              <w:bottom w:w="100" w:type="dxa"/>
              <w:end w:w="120" w:type="dxa"/>
            </w:tcMar>
            <w:shd w:fill="F5F3EF"/>
          </w:tcPr>
          <w:p>
            <w:r>
              <w:rPr>
                <w:color w:val="141414"/>
                <w:sz w:val="17"/>
              </w:rPr>
              <w:t>Idempotent local command and reconciliation state</w:t>
            </w:r>
          </w:p>
        </w:tc>
      </w:tr>
      <w:tr>
        <w:tc>
          <w:tcPr>
            <w:tcW w:type="dxa" w:w="2664"/>
            <w:vAlign w:val="center"/>
            <w:tcMar>
              <w:top w:w="100" w:type="dxa"/>
              <w:start w:w="120" w:type="dxa"/>
              <w:bottom w:w="100" w:type="dxa"/>
              <w:end w:w="120" w:type="dxa"/>
            </w:tcMar>
          </w:tcPr>
          <w:p>
            <w:r>
              <w:rPr>
                <w:color w:val="141414"/>
                <w:sz w:val="17"/>
              </w:rPr>
              <w:t>PaperRecord</w:t>
            </w:r>
          </w:p>
        </w:tc>
        <w:tc>
          <w:tcPr>
            <w:tcW w:type="dxa" w:w="6984"/>
            <w:vAlign w:val="center"/>
            <w:tcMar>
              <w:top w:w="100" w:type="dxa"/>
              <w:start w:w="120" w:type="dxa"/>
              <w:bottom w:w="100" w:type="dxa"/>
              <w:end w:w="120" w:type="dxa"/>
            </w:tcMar>
          </w:tcPr>
          <w:p>
            <w:r>
              <w:rPr>
                <w:color w:val="141414"/>
                <w:sz w:val="17"/>
              </w:rPr>
              <w:t>Reserved paper reference and later digital reconciliation</w:t>
            </w:r>
          </w:p>
        </w:tc>
      </w:tr>
    </w:tbl>
    <w:p/>
    <w:p>
      <w:pPr>
        <w:pStyle w:val="Heading1"/>
      </w:pPr>
      <w:r>
        <w:t>Identity and privacy</w:t>
      </w:r>
    </w:p>
    <w:p>
      <w:pPr>
        <w:pStyle w:val="ListBullet"/>
      </w:pPr>
      <w:r>
        <w:t>Vendor staff see the minimum information necessary to prepare safely: item, quantity, modifiers, timing and relevant safety instruction.</w:t>
      </w:r>
    </w:p>
    <w:p>
      <w:pPr>
        <w:pStyle w:val="ListBullet"/>
      </w:pPr>
      <w:r>
        <w:t>Full guest profiles, phone numbers, addresses, VIP categories and unrelated accessibility information are prohibited from vendor queues.</w:t>
      </w:r>
    </w:p>
    <w:p>
      <w:pPr>
        <w:pStyle w:val="ListBullet"/>
      </w:pPr>
      <w:r>
        <w:t>Temporary dining names are event-scoped and must not be promoted into canonical identity without intake authority.</w:t>
      </w:r>
    </w:p>
    <w:p>
      <w:pPr>
        <w:pStyle w:val="ListBullet"/>
      </w:pPr>
      <w:r>
        <w:t>Free-text notes are classified as guest-visible, vendor-visible, internal operational or restricted.</w:t>
      </w:r>
    </w:p>
    <w:p>
      <w:pPr>
        <w:pStyle w:val="ListBullet"/>
      </w:pPr>
      <w:r>
        <w:t>Exports are role-bound, watermarked where appropriate and audited.</w:t>
      </w:r>
    </w:p>
    <w:p>
      <w:pPr>
        <w:pStyle w:val="ListBullet"/>
      </w:pPr>
      <w:r>
        <w:t>Retention distinguishes food-safety evidence, operational analytics, device logs and transient working data.</w:t>
      </w:r>
    </w:p>
    <w:p>
      <w:pPr>
        <w:pStyle w:val="Heading1"/>
      </w:pPr>
      <w:r>
        <w:t>Allergy and dietary safety boundary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304"/>
            <w:shd w:fill="262626"/>
            <w:vAlign w:val="center"/>
            <w:tcMar>
              <w:top w:w="100" w:type="dxa"/>
              <w:start w:w="120" w:type="dxa"/>
              <w:bottom w:w="100" w:type="dxa"/>
              <w:end w:w="120" w:type="dxa"/>
            </w:tcMar>
          </w:tcPr>
          <w:p>
            <w:r>
              <w:rPr>
                <w:b/>
                <w:color w:val="FFFFFF"/>
                <w:sz w:val="18"/>
              </w:rPr>
              <w:t>Classification</w:t>
            </w:r>
          </w:p>
        </w:tc>
        <w:tc>
          <w:tcPr>
            <w:tcW w:type="dxa" w:w="7344"/>
            <w:shd w:fill="262626"/>
            <w:vAlign w:val="center"/>
            <w:tcMar>
              <w:top w:w="100" w:type="dxa"/>
              <w:start w:w="120" w:type="dxa"/>
              <w:bottom w:w="100" w:type="dxa"/>
              <w:end w:w="120" w:type="dxa"/>
            </w:tcMar>
          </w:tcPr>
          <w:p>
            <w:r>
              <w:rPr>
                <w:b/>
                <w:color w:val="FFFFFF"/>
                <w:sz w:val="18"/>
              </w:rPr>
              <w:t>Required handling</w:t>
            </w:r>
          </w:p>
        </w:tc>
      </w:tr>
      <w:tr>
        <w:tc>
          <w:tcPr>
            <w:tcW w:type="dxa" w:w="2304"/>
            <w:vAlign w:val="center"/>
            <w:tcMar>
              <w:top w:w="100" w:type="dxa"/>
              <w:start w:w="120" w:type="dxa"/>
              <w:bottom w:w="100" w:type="dxa"/>
              <w:end w:w="120" w:type="dxa"/>
            </w:tcMar>
          </w:tcPr>
          <w:p>
            <w:r>
              <w:rPr>
                <w:color w:val="141414"/>
                <w:sz w:val="17"/>
              </w:rPr>
              <w:t>Preference</w:t>
            </w:r>
          </w:p>
        </w:tc>
        <w:tc>
          <w:tcPr>
            <w:tcW w:type="dxa" w:w="7344"/>
            <w:vAlign w:val="center"/>
            <w:tcMar>
              <w:top w:w="100" w:type="dxa"/>
              <w:start w:w="120" w:type="dxa"/>
              <w:bottom w:w="100" w:type="dxa"/>
              <w:end w:w="120" w:type="dxa"/>
            </w:tcMar>
          </w:tcPr>
          <w:p>
            <w:r>
              <w:rPr>
                <w:color w:val="141414"/>
                <w:sz w:val="17"/>
              </w:rPr>
              <w:t>Normal routing; do not represent as allergy-safe</w:t>
            </w:r>
          </w:p>
        </w:tc>
      </w:tr>
      <w:tr>
        <w:tc>
          <w:tcPr>
            <w:tcW w:type="dxa" w:w="2304"/>
            <w:vAlign w:val="center"/>
            <w:tcMar>
              <w:top w:w="100" w:type="dxa"/>
              <w:start w:w="120" w:type="dxa"/>
              <w:bottom w:w="100" w:type="dxa"/>
              <w:end w:w="120" w:type="dxa"/>
            </w:tcMar>
            <w:shd w:fill="F5F3EF"/>
          </w:tcPr>
          <w:p>
            <w:r>
              <w:rPr>
                <w:color w:val="141414"/>
                <w:sz w:val="17"/>
              </w:rPr>
              <w:t>Religious or cultural restriction</w:t>
            </w:r>
          </w:p>
        </w:tc>
        <w:tc>
          <w:tcPr>
            <w:tcW w:type="dxa" w:w="7344"/>
            <w:vAlign w:val="center"/>
            <w:tcMar>
              <w:top w:w="100" w:type="dxa"/>
              <w:start w:w="120" w:type="dxa"/>
              <w:bottom w:w="100" w:type="dxa"/>
              <w:end w:w="120" w:type="dxa"/>
            </w:tcMar>
            <w:shd w:fill="F5F3EF"/>
          </w:tcPr>
          <w:p>
            <w:r>
              <w:rPr>
                <w:color w:val="141414"/>
                <w:sz w:val="17"/>
              </w:rPr>
              <w:t>Route only to declared compatible items/stations; preserve exact wording</w:t>
            </w:r>
          </w:p>
        </w:tc>
      </w:tr>
      <w:tr>
        <w:tc>
          <w:tcPr>
            <w:tcW w:type="dxa" w:w="2304"/>
            <w:vAlign w:val="center"/>
            <w:tcMar>
              <w:top w:w="100" w:type="dxa"/>
              <w:start w:w="120" w:type="dxa"/>
              <w:bottom w:w="100" w:type="dxa"/>
              <w:end w:w="120" w:type="dxa"/>
            </w:tcMar>
          </w:tcPr>
          <w:p>
            <w:r>
              <w:rPr>
                <w:color w:val="141414"/>
                <w:sz w:val="17"/>
              </w:rPr>
              <w:t>Intolerance</w:t>
            </w:r>
          </w:p>
        </w:tc>
        <w:tc>
          <w:tcPr>
            <w:tcW w:type="dxa" w:w="7344"/>
            <w:vAlign w:val="center"/>
            <w:tcMar>
              <w:top w:w="100" w:type="dxa"/>
              <w:start w:w="120" w:type="dxa"/>
              <w:bottom w:w="100" w:type="dxa"/>
              <w:end w:w="120" w:type="dxa"/>
            </w:tcMar>
          </w:tcPr>
          <w:p>
            <w:r>
              <w:rPr>
                <w:color w:val="141414"/>
                <w:sz w:val="17"/>
              </w:rPr>
              <w:t>Highlight and require station acknowledgement</w:t>
            </w:r>
          </w:p>
        </w:tc>
      </w:tr>
      <w:tr>
        <w:tc>
          <w:tcPr>
            <w:tcW w:type="dxa" w:w="2304"/>
            <w:vAlign w:val="center"/>
            <w:tcMar>
              <w:top w:w="100" w:type="dxa"/>
              <w:start w:w="120" w:type="dxa"/>
              <w:bottom w:w="100" w:type="dxa"/>
              <w:end w:w="120" w:type="dxa"/>
            </w:tcMar>
            <w:shd w:fill="F5F3EF"/>
          </w:tcPr>
          <w:p>
            <w:r>
              <w:rPr>
                <w:color w:val="141414"/>
                <w:sz w:val="17"/>
              </w:rPr>
              <w:t>Allergy</w:t>
            </w:r>
          </w:p>
        </w:tc>
        <w:tc>
          <w:tcPr>
            <w:tcW w:type="dxa" w:w="7344"/>
            <w:vAlign w:val="center"/>
            <w:tcMar>
              <w:top w:w="100" w:type="dxa"/>
              <w:start w:w="120" w:type="dxa"/>
              <w:bottom w:w="100" w:type="dxa"/>
              <w:end w:w="120" w:type="dxa"/>
            </w:tcMar>
            <w:shd w:fill="F5F3EF"/>
          </w:tcPr>
          <w:p>
            <w:r>
              <w:rPr>
                <w:color w:val="141414"/>
                <w:sz w:val="17"/>
              </w:rPr>
              <w:t>Mandatory acknowledgement of capability and cross-contact posture</w:t>
            </w:r>
          </w:p>
        </w:tc>
      </w:tr>
      <w:tr>
        <w:tc>
          <w:tcPr>
            <w:tcW w:type="dxa" w:w="2304"/>
            <w:vAlign w:val="center"/>
            <w:tcMar>
              <w:top w:w="100" w:type="dxa"/>
              <w:start w:w="120" w:type="dxa"/>
              <w:bottom w:w="100" w:type="dxa"/>
              <w:end w:w="120" w:type="dxa"/>
            </w:tcMar>
          </w:tcPr>
          <w:p>
            <w:r>
              <w:rPr>
                <w:color w:val="141414"/>
                <w:sz w:val="17"/>
              </w:rPr>
              <w:t>Severe allergy</w:t>
            </w:r>
          </w:p>
        </w:tc>
        <w:tc>
          <w:tcPr>
            <w:tcW w:type="dxa" w:w="7344"/>
            <w:vAlign w:val="center"/>
            <w:tcMar>
              <w:top w:w="100" w:type="dxa"/>
              <w:start w:w="120" w:type="dxa"/>
              <w:bottom w:w="100" w:type="dxa"/>
              <w:end w:w="120" w:type="dxa"/>
            </w:tcMar>
          </w:tcPr>
          <w:p>
            <w:r>
              <w:rPr>
                <w:color w:val="141414"/>
                <w:sz w:val="17"/>
              </w:rPr>
              <w:t>Stop ordinary submission; escalate to authorised safety decision and direct guest confirmation</w:t>
            </w:r>
          </w:p>
        </w:tc>
      </w:tr>
      <w:tr>
        <w:tc>
          <w:tcPr>
            <w:tcW w:type="dxa" w:w="2304"/>
            <w:vAlign w:val="center"/>
            <w:tcMar>
              <w:top w:w="100" w:type="dxa"/>
              <w:start w:w="120" w:type="dxa"/>
              <w:bottom w:w="100" w:type="dxa"/>
              <w:end w:w="120" w:type="dxa"/>
            </w:tcMar>
            <w:shd w:fill="F5F3EF"/>
          </w:tcPr>
          <w:p>
            <w:r>
              <w:rPr>
                <w:color w:val="141414"/>
                <w:sz w:val="17"/>
              </w:rPr>
              <w:t>Unknown or declined</w:t>
            </w:r>
          </w:p>
        </w:tc>
        <w:tc>
          <w:tcPr>
            <w:tcW w:type="dxa" w:w="7344"/>
            <w:vAlign w:val="center"/>
            <w:tcMar>
              <w:top w:w="100" w:type="dxa"/>
              <w:start w:w="120" w:type="dxa"/>
              <w:bottom w:w="100" w:type="dxa"/>
              <w:end w:w="120" w:type="dxa"/>
            </w:tcMar>
            <w:shd w:fill="F5F3EF"/>
          </w:tcPr>
          <w:p>
            <w:r>
              <w:rPr>
                <w:color w:val="141414"/>
                <w:sz w:val="17"/>
              </w:rPr>
              <w:t>Record truth; do not infer absence of risk</w:t>
            </w:r>
          </w:p>
        </w:tc>
      </w:tr>
    </w:tbl>
    <w:p/>
    <w:p>
      <w:r>
        <w:t>A vendor must explicitly ACCEPT CAPABILITY, DECLINE CAPABILITY or REQUIRE CLARIFICATION. The platform must never infer safety from item labels or from successful routing. If capability is declined or uncertain, the order cannot proceed as safely fulfilled without an authorised, documented alternative.</w:t>
      </w:r>
    </w:p>
    <w:p>
      <w:pPr>
        <w:pStyle w:val="Heading1"/>
      </w:pPr>
      <w:r>
        <w:t>Role permissions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28"/>
        <w:gridCol w:w="1428"/>
        <w:gridCol w:w="1428"/>
        <w:gridCol w:w="1428"/>
        <w:gridCol w:w="1428"/>
        <w:gridCol w:w="1428"/>
        <w:gridCol w:w="1428"/>
      </w:tblGrid>
      <w:tr>
        <w:tc>
          <w:tcPr>
            <w:tcW w:type="dxa" w:w="2304"/>
            <w:shd w:fill="262626"/>
            <w:vAlign w:val="center"/>
            <w:tcMar>
              <w:top w:w="100" w:type="dxa"/>
              <w:start w:w="120" w:type="dxa"/>
              <w:bottom w:w="100" w:type="dxa"/>
              <w:end w:w="120" w:type="dxa"/>
            </w:tcMar>
          </w:tcPr>
          <w:p>
            <w:r>
              <w:rPr>
                <w:b/>
                <w:color w:val="FFFFFF"/>
                <w:sz w:val="18"/>
              </w:rPr>
              <w:t>Action</w:t>
            </w:r>
          </w:p>
        </w:tc>
        <w:tc>
          <w:tcPr>
            <w:tcW w:type="dxa" w:w="1008"/>
            <w:shd w:fill="262626"/>
            <w:vAlign w:val="center"/>
            <w:tcMar>
              <w:top w:w="100" w:type="dxa"/>
              <w:start w:w="120" w:type="dxa"/>
              <w:bottom w:w="100" w:type="dxa"/>
              <w:end w:w="120" w:type="dxa"/>
            </w:tcMar>
          </w:tcPr>
          <w:p>
            <w:r>
              <w:rPr>
                <w:b/>
                <w:color w:val="FFFFFF"/>
                <w:sz w:val="18"/>
              </w:rPr>
              <w:t>Concierge</w:t>
            </w:r>
          </w:p>
        </w:tc>
        <w:tc>
          <w:tcPr>
            <w:tcW w:type="dxa" w:w="1080"/>
            <w:shd w:fill="262626"/>
            <w:vAlign w:val="center"/>
            <w:tcMar>
              <w:top w:w="100" w:type="dxa"/>
              <w:start w:w="120" w:type="dxa"/>
              <w:bottom w:w="100" w:type="dxa"/>
              <w:end w:w="120" w:type="dxa"/>
            </w:tcMar>
          </w:tcPr>
          <w:p>
            <w:r>
              <w:rPr>
                <w:b/>
                <w:color w:val="FFFFFF"/>
                <w:sz w:val="18"/>
              </w:rPr>
              <w:t>Vendor</w:t>
            </w:r>
          </w:p>
        </w:tc>
        <w:tc>
          <w:tcPr>
            <w:tcW w:type="dxa" w:w="1152"/>
            <w:shd w:fill="262626"/>
            <w:vAlign w:val="center"/>
            <w:tcMar>
              <w:top w:w="100" w:type="dxa"/>
              <w:start w:w="120" w:type="dxa"/>
              <w:bottom w:w="100" w:type="dxa"/>
              <w:end w:w="120" w:type="dxa"/>
            </w:tcMar>
          </w:tcPr>
          <w:p>
            <w:r>
              <w:rPr>
                <w:b/>
                <w:color w:val="FFFFFF"/>
                <w:sz w:val="18"/>
              </w:rPr>
              <w:t>Expeditor</w:t>
            </w:r>
          </w:p>
        </w:tc>
        <w:tc>
          <w:tcPr>
            <w:tcW w:type="dxa" w:w="936"/>
            <w:shd w:fill="262626"/>
            <w:vAlign w:val="center"/>
            <w:tcMar>
              <w:top w:w="100" w:type="dxa"/>
              <w:start w:w="120" w:type="dxa"/>
              <w:bottom w:w="100" w:type="dxa"/>
              <w:end w:w="120" w:type="dxa"/>
            </w:tcMar>
          </w:tcPr>
          <w:p>
            <w:r>
              <w:rPr>
                <w:b/>
                <w:color w:val="FFFFFF"/>
                <w:sz w:val="18"/>
              </w:rPr>
              <w:t>Runner</w:t>
            </w:r>
          </w:p>
        </w:tc>
        <w:tc>
          <w:tcPr>
            <w:tcW w:type="dxa" w:w="1080"/>
            <w:shd w:fill="262626"/>
            <w:vAlign w:val="center"/>
            <w:tcMar>
              <w:top w:w="100" w:type="dxa"/>
              <w:start w:w="120" w:type="dxa"/>
              <w:bottom w:w="100" w:type="dxa"/>
              <w:end w:w="120" w:type="dxa"/>
            </w:tcMar>
          </w:tcPr>
          <w:p>
            <w:r>
              <w:rPr>
                <w:b/>
                <w:color w:val="FFFFFF"/>
                <w:sz w:val="18"/>
              </w:rPr>
              <w:t>Clearing</w:t>
            </w:r>
          </w:p>
        </w:tc>
        <w:tc>
          <w:tcPr>
            <w:tcW w:type="dxa" w:w="1224"/>
            <w:shd w:fill="262626"/>
            <w:vAlign w:val="center"/>
            <w:tcMar>
              <w:top w:w="100" w:type="dxa"/>
              <w:start w:w="120" w:type="dxa"/>
              <w:bottom w:w="100" w:type="dxa"/>
              <w:end w:w="120" w:type="dxa"/>
            </w:tcMar>
          </w:tcPr>
          <w:p>
            <w:r>
              <w:rPr>
                <w:b/>
                <w:color w:val="FFFFFF"/>
                <w:sz w:val="18"/>
              </w:rPr>
              <w:t>Director</w:t>
            </w:r>
          </w:p>
        </w:tc>
      </w:tr>
      <w:tr>
        <w:tc>
          <w:tcPr>
            <w:tcW w:type="dxa" w:w="2304"/>
            <w:vAlign w:val="center"/>
            <w:tcMar>
              <w:top w:w="100" w:type="dxa"/>
              <w:start w:w="120" w:type="dxa"/>
              <w:bottom w:w="100" w:type="dxa"/>
              <w:end w:w="120" w:type="dxa"/>
            </w:tcMar>
          </w:tcPr>
          <w:p>
            <w:r>
              <w:rPr>
                <w:color w:val="141414"/>
                <w:sz w:val="17"/>
              </w:rPr>
              <w:t>Create draft order</w:t>
            </w:r>
          </w:p>
        </w:tc>
        <w:tc>
          <w:tcPr>
            <w:tcW w:type="dxa" w:w="1008"/>
            <w:vAlign w:val="center"/>
            <w:tcMar>
              <w:top w:w="100" w:type="dxa"/>
              <w:start w:w="120" w:type="dxa"/>
              <w:bottom w:w="100" w:type="dxa"/>
              <w:end w:w="120" w:type="dxa"/>
            </w:tcMar>
          </w:tcPr>
          <w:p>
            <w:r>
              <w:rPr>
                <w:color w:val="141414"/>
                <w:sz w:val="17"/>
              </w:rPr>
              <w:t>Yes</w:t>
            </w:r>
          </w:p>
        </w:tc>
        <w:tc>
          <w:tcPr>
            <w:tcW w:type="dxa" w:w="1080"/>
            <w:vAlign w:val="center"/>
            <w:tcMar>
              <w:top w:w="100" w:type="dxa"/>
              <w:start w:w="120" w:type="dxa"/>
              <w:bottom w:w="100" w:type="dxa"/>
              <w:end w:w="120" w:type="dxa"/>
            </w:tcMar>
          </w:tcPr>
          <w:p>
            <w:r>
              <w:rPr>
                <w:color w:val="141414"/>
                <w:sz w:val="17"/>
              </w:rPr>
              <w:t>No</w:t>
            </w:r>
          </w:p>
        </w:tc>
        <w:tc>
          <w:tcPr>
            <w:tcW w:type="dxa" w:w="1152"/>
            <w:vAlign w:val="center"/>
            <w:tcMar>
              <w:top w:w="100" w:type="dxa"/>
              <w:start w:w="120" w:type="dxa"/>
              <w:bottom w:w="100" w:type="dxa"/>
              <w:end w:w="120" w:type="dxa"/>
            </w:tcMar>
          </w:tcPr>
          <w:p>
            <w:r>
              <w:rPr>
                <w:color w:val="141414"/>
                <w:sz w:val="17"/>
              </w:rPr>
              <w:t>Assist</w:t>
            </w:r>
          </w:p>
        </w:tc>
        <w:tc>
          <w:tcPr>
            <w:tcW w:type="dxa" w:w="936"/>
            <w:vAlign w:val="center"/>
            <w:tcMar>
              <w:top w:w="100" w:type="dxa"/>
              <w:start w:w="120" w:type="dxa"/>
              <w:bottom w:w="100" w:type="dxa"/>
              <w:end w:w="120" w:type="dxa"/>
            </w:tcMar>
          </w:tcPr>
          <w:p>
            <w:r>
              <w:rPr>
                <w:color w:val="141414"/>
                <w:sz w:val="17"/>
              </w:rPr>
              <w:t>No</w:t>
            </w:r>
          </w:p>
        </w:tc>
        <w:tc>
          <w:tcPr>
            <w:tcW w:type="dxa" w:w="1080"/>
            <w:vAlign w:val="center"/>
            <w:tcMar>
              <w:top w:w="100" w:type="dxa"/>
              <w:start w:w="120" w:type="dxa"/>
              <w:bottom w:w="100" w:type="dxa"/>
              <w:end w:w="120" w:type="dxa"/>
            </w:tcMar>
          </w:tcPr>
          <w:p>
            <w:r>
              <w:rPr>
                <w:color w:val="141414"/>
                <w:sz w:val="17"/>
              </w:rPr>
              <w:t>No</w:t>
            </w:r>
          </w:p>
        </w:tc>
        <w:tc>
          <w:tcPr>
            <w:tcW w:type="dxa" w:w="1224"/>
            <w:vAlign w:val="center"/>
            <w:tcMar>
              <w:top w:w="100" w:type="dxa"/>
              <w:start w:w="120" w:type="dxa"/>
              <w:bottom w:w="100" w:type="dxa"/>
              <w:end w:w="120" w:type="dxa"/>
            </w:tcMar>
          </w:tcPr>
          <w:p>
            <w:r>
              <w:rPr>
                <w:color w:val="141414"/>
                <w:sz w:val="17"/>
              </w:rPr>
              <w:t>Yes</w:t>
            </w:r>
          </w:p>
        </w:tc>
      </w:tr>
      <w:tr>
        <w:tc>
          <w:tcPr>
            <w:tcW w:type="dxa" w:w="2304"/>
            <w:vAlign w:val="center"/>
            <w:tcMar>
              <w:top w:w="100" w:type="dxa"/>
              <w:start w:w="120" w:type="dxa"/>
              <w:bottom w:w="100" w:type="dxa"/>
              <w:end w:w="120" w:type="dxa"/>
            </w:tcMar>
            <w:shd w:fill="F5F3EF"/>
          </w:tcPr>
          <w:p>
            <w:r>
              <w:rPr>
                <w:color w:val="141414"/>
                <w:sz w:val="17"/>
              </w:rPr>
              <w:t>Submit ordinary order</w:t>
            </w:r>
          </w:p>
        </w:tc>
        <w:tc>
          <w:tcPr>
            <w:tcW w:type="dxa" w:w="1008"/>
            <w:vAlign w:val="center"/>
            <w:tcMar>
              <w:top w:w="100" w:type="dxa"/>
              <w:start w:w="120" w:type="dxa"/>
              <w:bottom w:w="100" w:type="dxa"/>
              <w:end w:w="120" w:type="dxa"/>
            </w:tcMar>
            <w:shd w:fill="F5F3EF"/>
          </w:tcPr>
          <w:p>
            <w:r>
              <w:rPr>
                <w:color w:val="141414"/>
                <w:sz w:val="17"/>
              </w:rPr>
              <w:t>Yes</w:t>
            </w:r>
          </w:p>
        </w:tc>
        <w:tc>
          <w:tcPr>
            <w:tcW w:type="dxa" w:w="1080"/>
            <w:vAlign w:val="center"/>
            <w:tcMar>
              <w:top w:w="100" w:type="dxa"/>
              <w:start w:w="120" w:type="dxa"/>
              <w:bottom w:w="100" w:type="dxa"/>
              <w:end w:w="120" w:type="dxa"/>
            </w:tcMar>
            <w:shd w:fill="F5F3EF"/>
          </w:tcPr>
          <w:p>
            <w:r>
              <w:rPr>
                <w:color w:val="141414"/>
                <w:sz w:val="17"/>
              </w:rPr>
              <w:t>No</w:t>
            </w:r>
          </w:p>
        </w:tc>
        <w:tc>
          <w:tcPr>
            <w:tcW w:type="dxa" w:w="1152"/>
            <w:vAlign w:val="center"/>
            <w:tcMar>
              <w:top w:w="100" w:type="dxa"/>
              <w:start w:w="120" w:type="dxa"/>
              <w:bottom w:w="100" w:type="dxa"/>
              <w:end w:w="120" w:type="dxa"/>
            </w:tcMar>
            <w:shd w:fill="F5F3EF"/>
          </w:tcPr>
          <w:p>
            <w:r>
              <w:rPr>
                <w:color w:val="141414"/>
                <w:sz w:val="17"/>
              </w:rPr>
              <w:t>Yes</w:t>
            </w:r>
          </w:p>
        </w:tc>
        <w:tc>
          <w:tcPr>
            <w:tcW w:type="dxa" w:w="936"/>
            <w:vAlign w:val="center"/>
            <w:tcMar>
              <w:top w:w="100" w:type="dxa"/>
              <w:start w:w="120" w:type="dxa"/>
              <w:bottom w:w="100" w:type="dxa"/>
              <w:end w:w="120" w:type="dxa"/>
            </w:tcMar>
            <w:shd w:fill="F5F3EF"/>
          </w:tcPr>
          <w:p>
            <w:r>
              <w:rPr>
                <w:color w:val="141414"/>
                <w:sz w:val="17"/>
              </w:rPr>
              <w:t>No</w:t>
            </w:r>
          </w:p>
        </w:tc>
        <w:tc>
          <w:tcPr>
            <w:tcW w:type="dxa" w:w="1080"/>
            <w:vAlign w:val="center"/>
            <w:tcMar>
              <w:top w:w="100" w:type="dxa"/>
              <w:start w:w="120" w:type="dxa"/>
              <w:bottom w:w="100" w:type="dxa"/>
              <w:end w:w="120" w:type="dxa"/>
            </w:tcMar>
            <w:shd w:fill="F5F3EF"/>
          </w:tcPr>
          <w:p>
            <w:r>
              <w:rPr>
                <w:color w:val="141414"/>
                <w:sz w:val="17"/>
              </w:rPr>
              <w:t>No</w:t>
            </w:r>
          </w:p>
        </w:tc>
        <w:tc>
          <w:tcPr>
            <w:tcW w:type="dxa" w:w="1224"/>
            <w:vAlign w:val="center"/>
            <w:tcMar>
              <w:top w:w="100" w:type="dxa"/>
              <w:start w:w="120" w:type="dxa"/>
              <w:bottom w:w="100" w:type="dxa"/>
              <w:end w:w="120" w:type="dxa"/>
            </w:tcMar>
            <w:shd w:fill="F5F3EF"/>
          </w:tcPr>
          <w:p>
            <w:r>
              <w:rPr>
                <w:color w:val="141414"/>
                <w:sz w:val="17"/>
              </w:rPr>
              <w:t>Yes</w:t>
            </w:r>
          </w:p>
        </w:tc>
      </w:tr>
      <w:tr>
        <w:tc>
          <w:tcPr>
            <w:tcW w:type="dxa" w:w="2304"/>
            <w:vAlign w:val="center"/>
            <w:tcMar>
              <w:top w:w="100" w:type="dxa"/>
              <w:start w:w="120" w:type="dxa"/>
              <w:bottom w:w="100" w:type="dxa"/>
              <w:end w:w="120" w:type="dxa"/>
            </w:tcMar>
          </w:tcPr>
          <w:p>
            <w:r>
              <w:rPr>
                <w:color w:val="141414"/>
                <w:sz w:val="17"/>
              </w:rPr>
              <w:t>Acknowledge/prepare</w:t>
            </w:r>
          </w:p>
        </w:tc>
        <w:tc>
          <w:tcPr>
            <w:tcW w:type="dxa" w:w="1008"/>
            <w:vAlign w:val="center"/>
            <w:tcMar>
              <w:top w:w="100" w:type="dxa"/>
              <w:start w:w="120" w:type="dxa"/>
              <w:bottom w:w="100" w:type="dxa"/>
              <w:end w:w="120" w:type="dxa"/>
            </w:tcMar>
          </w:tcPr>
          <w:p>
            <w:r>
              <w:rPr>
                <w:color w:val="141414"/>
                <w:sz w:val="17"/>
              </w:rPr>
              <w:t>No</w:t>
            </w:r>
          </w:p>
        </w:tc>
        <w:tc>
          <w:tcPr>
            <w:tcW w:type="dxa" w:w="1080"/>
            <w:vAlign w:val="center"/>
            <w:tcMar>
              <w:top w:w="100" w:type="dxa"/>
              <w:start w:w="120" w:type="dxa"/>
              <w:bottom w:w="100" w:type="dxa"/>
              <w:end w:w="120" w:type="dxa"/>
            </w:tcMar>
          </w:tcPr>
          <w:p>
            <w:r>
              <w:rPr>
                <w:color w:val="141414"/>
                <w:sz w:val="17"/>
              </w:rPr>
              <w:t>Own station</w:t>
            </w:r>
          </w:p>
        </w:tc>
        <w:tc>
          <w:tcPr>
            <w:tcW w:type="dxa" w:w="1152"/>
            <w:vAlign w:val="center"/>
            <w:tcMar>
              <w:top w:w="100" w:type="dxa"/>
              <w:start w:w="120" w:type="dxa"/>
              <w:bottom w:w="100" w:type="dxa"/>
              <w:end w:w="120" w:type="dxa"/>
            </w:tcMar>
          </w:tcPr>
          <w:p>
            <w:r>
              <w:rPr>
                <w:color w:val="141414"/>
                <w:sz w:val="17"/>
              </w:rPr>
              <w:t>Monitor</w:t>
            </w:r>
          </w:p>
        </w:tc>
        <w:tc>
          <w:tcPr>
            <w:tcW w:type="dxa" w:w="936"/>
            <w:vAlign w:val="center"/>
            <w:tcMar>
              <w:top w:w="100" w:type="dxa"/>
              <w:start w:w="120" w:type="dxa"/>
              <w:bottom w:w="100" w:type="dxa"/>
              <w:end w:w="120" w:type="dxa"/>
            </w:tcMar>
          </w:tcPr>
          <w:p>
            <w:r>
              <w:rPr>
                <w:color w:val="141414"/>
                <w:sz w:val="17"/>
              </w:rPr>
              <w:t>No</w:t>
            </w:r>
          </w:p>
        </w:tc>
        <w:tc>
          <w:tcPr>
            <w:tcW w:type="dxa" w:w="1080"/>
            <w:vAlign w:val="center"/>
            <w:tcMar>
              <w:top w:w="100" w:type="dxa"/>
              <w:start w:w="120" w:type="dxa"/>
              <w:bottom w:w="100" w:type="dxa"/>
              <w:end w:w="120" w:type="dxa"/>
            </w:tcMar>
          </w:tcPr>
          <w:p>
            <w:r>
              <w:rPr>
                <w:color w:val="141414"/>
                <w:sz w:val="17"/>
              </w:rPr>
              <w:t>No</w:t>
            </w:r>
          </w:p>
        </w:tc>
        <w:tc>
          <w:tcPr>
            <w:tcW w:type="dxa" w:w="1224"/>
            <w:vAlign w:val="center"/>
            <w:tcMar>
              <w:top w:w="100" w:type="dxa"/>
              <w:start w:w="120" w:type="dxa"/>
              <w:bottom w:w="100" w:type="dxa"/>
              <w:end w:w="120" w:type="dxa"/>
            </w:tcMar>
          </w:tcPr>
          <w:p>
            <w:r>
              <w:rPr>
                <w:color w:val="141414"/>
                <w:sz w:val="17"/>
              </w:rPr>
              <w:t>Override only</w:t>
            </w:r>
          </w:p>
        </w:tc>
      </w:tr>
      <w:tr>
        <w:tc>
          <w:tcPr>
            <w:tcW w:type="dxa" w:w="2304"/>
            <w:vAlign w:val="center"/>
            <w:tcMar>
              <w:top w:w="100" w:type="dxa"/>
              <w:start w:w="120" w:type="dxa"/>
              <w:bottom w:w="100" w:type="dxa"/>
              <w:end w:w="120" w:type="dxa"/>
            </w:tcMar>
            <w:shd w:fill="F5F3EF"/>
          </w:tcPr>
          <w:p>
            <w:r>
              <w:rPr>
                <w:color w:val="141414"/>
                <w:sz w:val="17"/>
              </w:rPr>
              <w:t>Release bundle</w:t>
            </w:r>
          </w:p>
        </w:tc>
        <w:tc>
          <w:tcPr>
            <w:tcW w:type="dxa" w:w="1008"/>
            <w:vAlign w:val="center"/>
            <w:tcMar>
              <w:top w:w="100" w:type="dxa"/>
              <w:start w:w="120" w:type="dxa"/>
              <w:bottom w:w="100" w:type="dxa"/>
              <w:end w:w="120" w:type="dxa"/>
            </w:tcMar>
            <w:shd w:fill="F5F3EF"/>
          </w:tcPr>
          <w:p>
            <w:r>
              <w:rPr>
                <w:color w:val="141414"/>
                <w:sz w:val="17"/>
              </w:rPr>
              <w:t>No</w:t>
            </w:r>
          </w:p>
        </w:tc>
        <w:tc>
          <w:tcPr>
            <w:tcW w:type="dxa" w:w="1080"/>
            <w:vAlign w:val="center"/>
            <w:tcMar>
              <w:top w:w="100" w:type="dxa"/>
              <w:start w:w="120" w:type="dxa"/>
              <w:bottom w:w="100" w:type="dxa"/>
              <w:end w:w="120" w:type="dxa"/>
            </w:tcMar>
            <w:shd w:fill="F5F3EF"/>
          </w:tcPr>
          <w:p>
            <w:r>
              <w:rPr>
                <w:color w:val="141414"/>
                <w:sz w:val="17"/>
              </w:rPr>
              <w:t>No</w:t>
            </w:r>
          </w:p>
        </w:tc>
        <w:tc>
          <w:tcPr>
            <w:tcW w:type="dxa" w:w="1152"/>
            <w:vAlign w:val="center"/>
            <w:tcMar>
              <w:top w:w="100" w:type="dxa"/>
              <w:start w:w="120" w:type="dxa"/>
              <w:bottom w:w="100" w:type="dxa"/>
              <w:end w:w="120" w:type="dxa"/>
            </w:tcMar>
            <w:shd w:fill="F5F3EF"/>
          </w:tcPr>
          <w:p>
            <w:r>
              <w:rPr>
                <w:color w:val="141414"/>
                <w:sz w:val="17"/>
              </w:rPr>
              <w:t>Yes</w:t>
            </w:r>
          </w:p>
        </w:tc>
        <w:tc>
          <w:tcPr>
            <w:tcW w:type="dxa" w:w="936"/>
            <w:vAlign w:val="center"/>
            <w:tcMar>
              <w:top w:w="100" w:type="dxa"/>
              <w:start w:w="120" w:type="dxa"/>
              <w:bottom w:w="100" w:type="dxa"/>
              <w:end w:w="120" w:type="dxa"/>
            </w:tcMar>
            <w:shd w:fill="F5F3EF"/>
          </w:tcPr>
          <w:p>
            <w:r>
              <w:rPr>
                <w:color w:val="141414"/>
                <w:sz w:val="17"/>
              </w:rPr>
              <w:t>No</w:t>
            </w:r>
          </w:p>
        </w:tc>
        <w:tc>
          <w:tcPr>
            <w:tcW w:type="dxa" w:w="1080"/>
            <w:vAlign w:val="center"/>
            <w:tcMar>
              <w:top w:w="100" w:type="dxa"/>
              <w:start w:w="120" w:type="dxa"/>
              <w:bottom w:w="100" w:type="dxa"/>
              <w:end w:w="120" w:type="dxa"/>
            </w:tcMar>
            <w:shd w:fill="F5F3EF"/>
          </w:tcPr>
          <w:p>
            <w:r>
              <w:rPr>
                <w:color w:val="141414"/>
                <w:sz w:val="17"/>
              </w:rPr>
              <w:t>No</w:t>
            </w:r>
          </w:p>
        </w:tc>
        <w:tc>
          <w:tcPr>
            <w:tcW w:type="dxa" w:w="1224"/>
            <w:vAlign w:val="center"/>
            <w:tcMar>
              <w:top w:w="100" w:type="dxa"/>
              <w:start w:w="120" w:type="dxa"/>
              <w:bottom w:w="100" w:type="dxa"/>
              <w:end w:w="120" w:type="dxa"/>
            </w:tcMar>
            <w:shd w:fill="F5F3EF"/>
          </w:tcPr>
          <w:p>
            <w:r>
              <w:rPr>
                <w:color w:val="141414"/>
                <w:sz w:val="17"/>
              </w:rPr>
              <w:t>Yes</w:t>
            </w:r>
          </w:p>
        </w:tc>
      </w:tr>
      <w:tr>
        <w:tc>
          <w:tcPr>
            <w:tcW w:type="dxa" w:w="2304"/>
            <w:vAlign w:val="center"/>
            <w:tcMar>
              <w:top w:w="100" w:type="dxa"/>
              <w:start w:w="120" w:type="dxa"/>
              <w:bottom w:w="100" w:type="dxa"/>
              <w:end w:w="120" w:type="dxa"/>
            </w:tcMar>
          </w:tcPr>
          <w:p>
            <w:r>
              <w:rPr>
                <w:color w:val="141414"/>
                <w:sz w:val="17"/>
              </w:rPr>
              <w:t>Confirm collection/delivery</w:t>
            </w:r>
          </w:p>
        </w:tc>
        <w:tc>
          <w:tcPr>
            <w:tcW w:type="dxa" w:w="1008"/>
            <w:vAlign w:val="center"/>
            <w:tcMar>
              <w:top w:w="100" w:type="dxa"/>
              <w:start w:w="120" w:type="dxa"/>
              <w:bottom w:w="100" w:type="dxa"/>
              <w:end w:w="120" w:type="dxa"/>
            </w:tcMar>
          </w:tcPr>
          <w:p>
            <w:r>
              <w:rPr>
                <w:color w:val="141414"/>
                <w:sz w:val="17"/>
              </w:rPr>
              <w:t>No</w:t>
            </w:r>
          </w:p>
        </w:tc>
        <w:tc>
          <w:tcPr>
            <w:tcW w:type="dxa" w:w="1080"/>
            <w:vAlign w:val="center"/>
            <w:tcMar>
              <w:top w:w="100" w:type="dxa"/>
              <w:start w:w="120" w:type="dxa"/>
              <w:bottom w:w="100" w:type="dxa"/>
              <w:end w:w="120" w:type="dxa"/>
            </w:tcMar>
          </w:tcPr>
          <w:p>
            <w:r>
              <w:rPr>
                <w:color w:val="141414"/>
                <w:sz w:val="17"/>
              </w:rPr>
              <w:t>No</w:t>
            </w:r>
          </w:p>
        </w:tc>
        <w:tc>
          <w:tcPr>
            <w:tcW w:type="dxa" w:w="1152"/>
            <w:vAlign w:val="center"/>
            <w:tcMar>
              <w:top w:w="100" w:type="dxa"/>
              <w:start w:w="120" w:type="dxa"/>
              <w:bottom w:w="100" w:type="dxa"/>
              <w:end w:w="120" w:type="dxa"/>
            </w:tcMar>
          </w:tcPr>
          <w:p>
            <w:r>
              <w:rPr>
                <w:color w:val="141414"/>
                <w:sz w:val="17"/>
              </w:rPr>
              <w:t>Assign</w:t>
            </w:r>
          </w:p>
        </w:tc>
        <w:tc>
          <w:tcPr>
            <w:tcW w:type="dxa" w:w="936"/>
            <w:vAlign w:val="center"/>
            <w:tcMar>
              <w:top w:w="100" w:type="dxa"/>
              <w:start w:w="120" w:type="dxa"/>
              <w:bottom w:w="100" w:type="dxa"/>
              <w:end w:w="120" w:type="dxa"/>
            </w:tcMar>
          </w:tcPr>
          <w:p>
            <w:r>
              <w:rPr>
                <w:color w:val="141414"/>
                <w:sz w:val="17"/>
              </w:rPr>
              <w:t>Yes</w:t>
            </w:r>
          </w:p>
        </w:tc>
        <w:tc>
          <w:tcPr>
            <w:tcW w:type="dxa" w:w="1080"/>
            <w:vAlign w:val="center"/>
            <w:tcMar>
              <w:top w:w="100" w:type="dxa"/>
              <w:start w:w="120" w:type="dxa"/>
              <w:bottom w:w="100" w:type="dxa"/>
              <w:end w:w="120" w:type="dxa"/>
            </w:tcMar>
          </w:tcPr>
          <w:p>
            <w:r>
              <w:rPr>
                <w:color w:val="141414"/>
                <w:sz w:val="17"/>
              </w:rPr>
              <w:t>No</w:t>
            </w:r>
          </w:p>
        </w:tc>
        <w:tc>
          <w:tcPr>
            <w:tcW w:type="dxa" w:w="1224"/>
            <w:vAlign w:val="center"/>
            <w:tcMar>
              <w:top w:w="100" w:type="dxa"/>
              <w:start w:w="120" w:type="dxa"/>
              <w:bottom w:w="100" w:type="dxa"/>
              <w:end w:w="120" w:type="dxa"/>
            </w:tcMar>
          </w:tcPr>
          <w:p>
            <w:r>
              <w:rPr>
                <w:color w:val="141414"/>
                <w:sz w:val="17"/>
              </w:rPr>
              <w:t>Override</w:t>
            </w:r>
          </w:p>
        </w:tc>
      </w:tr>
      <w:tr>
        <w:tc>
          <w:tcPr>
            <w:tcW w:type="dxa" w:w="2304"/>
            <w:vAlign w:val="center"/>
            <w:tcMar>
              <w:top w:w="100" w:type="dxa"/>
              <w:start w:w="120" w:type="dxa"/>
              <w:bottom w:w="100" w:type="dxa"/>
              <w:end w:w="120" w:type="dxa"/>
            </w:tcMar>
            <w:shd w:fill="F5F3EF"/>
          </w:tcPr>
          <w:p>
            <w:r>
              <w:rPr>
                <w:color w:val="141414"/>
                <w:sz w:val="17"/>
              </w:rPr>
              <w:t>Clear/reset</w:t>
            </w:r>
          </w:p>
        </w:tc>
        <w:tc>
          <w:tcPr>
            <w:tcW w:type="dxa" w:w="1008"/>
            <w:vAlign w:val="center"/>
            <w:tcMar>
              <w:top w:w="100" w:type="dxa"/>
              <w:start w:w="120" w:type="dxa"/>
              <w:bottom w:w="100" w:type="dxa"/>
              <w:end w:w="120" w:type="dxa"/>
            </w:tcMar>
            <w:shd w:fill="F5F3EF"/>
          </w:tcPr>
          <w:p>
            <w:r>
              <w:rPr>
                <w:color w:val="141414"/>
                <w:sz w:val="17"/>
              </w:rPr>
              <w:t>Request</w:t>
            </w:r>
          </w:p>
        </w:tc>
        <w:tc>
          <w:tcPr>
            <w:tcW w:type="dxa" w:w="1080"/>
            <w:vAlign w:val="center"/>
            <w:tcMar>
              <w:top w:w="100" w:type="dxa"/>
              <w:start w:w="120" w:type="dxa"/>
              <w:bottom w:w="100" w:type="dxa"/>
              <w:end w:w="120" w:type="dxa"/>
            </w:tcMar>
            <w:shd w:fill="F5F3EF"/>
          </w:tcPr>
          <w:p>
            <w:r>
              <w:rPr>
                <w:color w:val="141414"/>
                <w:sz w:val="17"/>
              </w:rPr>
              <w:t>No</w:t>
            </w:r>
          </w:p>
        </w:tc>
        <w:tc>
          <w:tcPr>
            <w:tcW w:type="dxa" w:w="1152"/>
            <w:vAlign w:val="center"/>
            <w:tcMar>
              <w:top w:w="100" w:type="dxa"/>
              <w:start w:w="120" w:type="dxa"/>
              <w:bottom w:w="100" w:type="dxa"/>
              <w:end w:w="120" w:type="dxa"/>
            </w:tcMar>
            <w:shd w:fill="F5F3EF"/>
          </w:tcPr>
          <w:p>
            <w:r>
              <w:rPr>
                <w:color w:val="141414"/>
                <w:sz w:val="17"/>
              </w:rPr>
              <w:t>Request</w:t>
            </w:r>
          </w:p>
        </w:tc>
        <w:tc>
          <w:tcPr>
            <w:tcW w:type="dxa" w:w="936"/>
            <w:vAlign w:val="center"/>
            <w:tcMar>
              <w:top w:w="100" w:type="dxa"/>
              <w:start w:w="120" w:type="dxa"/>
              <w:bottom w:w="100" w:type="dxa"/>
              <w:end w:w="120" w:type="dxa"/>
            </w:tcMar>
            <w:shd w:fill="F5F3EF"/>
          </w:tcPr>
          <w:p>
            <w:r>
              <w:rPr>
                <w:color w:val="141414"/>
                <w:sz w:val="17"/>
              </w:rPr>
              <w:t>Request</w:t>
            </w:r>
          </w:p>
        </w:tc>
        <w:tc>
          <w:tcPr>
            <w:tcW w:type="dxa" w:w="1080"/>
            <w:vAlign w:val="center"/>
            <w:tcMar>
              <w:top w:w="100" w:type="dxa"/>
              <w:start w:w="120" w:type="dxa"/>
              <w:bottom w:w="100" w:type="dxa"/>
              <w:end w:w="120" w:type="dxa"/>
            </w:tcMar>
            <w:shd w:fill="F5F3EF"/>
          </w:tcPr>
          <w:p>
            <w:r>
              <w:rPr>
                <w:color w:val="141414"/>
                <w:sz w:val="17"/>
              </w:rPr>
              <w:t>Yes</w:t>
            </w:r>
          </w:p>
        </w:tc>
        <w:tc>
          <w:tcPr>
            <w:tcW w:type="dxa" w:w="1224"/>
            <w:vAlign w:val="center"/>
            <w:tcMar>
              <w:top w:w="100" w:type="dxa"/>
              <w:start w:w="120" w:type="dxa"/>
              <w:bottom w:w="100" w:type="dxa"/>
              <w:end w:w="120" w:type="dxa"/>
            </w:tcMar>
            <w:shd w:fill="F5F3EF"/>
          </w:tcPr>
          <w:p>
            <w:r>
              <w:rPr>
                <w:color w:val="141414"/>
                <w:sz w:val="17"/>
              </w:rPr>
              <w:t>Override</w:t>
            </w:r>
          </w:p>
        </w:tc>
      </w:tr>
      <w:tr>
        <w:tc>
          <w:tcPr>
            <w:tcW w:type="dxa" w:w="2304"/>
            <w:vAlign w:val="center"/>
            <w:tcMar>
              <w:top w:w="100" w:type="dxa"/>
              <w:start w:w="120" w:type="dxa"/>
              <w:bottom w:w="100" w:type="dxa"/>
              <w:end w:w="120" w:type="dxa"/>
            </w:tcMar>
          </w:tcPr>
          <w:p>
            <w:r>
              <w:rPr>
                <w:color w:val="141414"/>
                <w:sz w:val="17"/>
              </w:rPr>
              <w:t>Change menu/route</w:t>
            </w:r>
          </w:p>
        </w:tc>
        <w:tc>
          <w:tcPr>
            <w:tcW w:type="dxa" w:w="1008"/>
            <w:vAlign w:val="center"/>
            <w:tcMar>
              <w:top w:w="100" w:type="dxa"/>
              <w:start w:w="120" w:type="dxa"/>
              <w:bottom w:w="100" w:type="dxa"/>
              <w:end w:w="120" w:type="dxa"/>
            </w:tcMar>
          </w:tcPr>
          <w:p>
            <w:r>
              <w:rPr>
                <w:color w:val="141414"/>
                <w:sz w:val="17"/>
              </w:rPr>
              <w:t>No</w:t>
            </w:r>
          </w:p>
        </w:tc>
        <w:tc>
          <w:tcPr>
            <w:tcW w:type="dxa" w:w="1080"/>
            <w:vAlign w:val="center"/>
            <w:tcMar>
              <w:top w:w="100" w:type="dxa"/>
              <w:start w:w="120" w:type="dxa"/>
              <w:bottom w:w="100" w:type="dxa"/>
              <w:end w:w="120" w:type="dxa"/>
            </w:tcMar>
          </w:tcPr>
          <w:p>
            <w:r>
              <w:rPr>
                <w:color w:val="141414"/>
                <w:sz w:val="17"/>
              </w:rPr>
              <w:t>No</w:t>
            </w:r>
          </w:p>
        </w:tc>
        <w:tc>
          <w:tcPr>
            <w:tcW w:type="dxa" w:w="1152"/>
            <w:vAlign w:val="center"/>
            <w:tcMar>
              <w:top w:w="100" w:type="dxa"/>
              <w:start w:w="120" w:type="dxa"/>
              <w:bottom w:w="100" w:type="dxa"/>
              <w:end w:w="120" w:type="dxa"/>
            </w:tcMar>
          </w:tcPr>
          <w:p>
            <w:r>
              <w:rPr>
                <w:color w:val="141414"/>
                <w:sz w:val="17"/>
              </w:rPr>
              <w:t>No</w:t>
            </w:r>
          </w:p>
        </w:tc>
        <w:tc>
          <w:tcPr>
            <w:tcW w:type="dxa" w:w="936"/>
            <w:vAlign w:val="center"/>
            <w:tcMar>
              <w:top w:w="100" w:type="dxa"/>
              <w:start w:w="120" w:type="dxa"/>
              <w:bottom w:w="100" w:type="dxa"/>
              <w:end w:w="120" w:type="dxa"/>
            </w:tcMar>
          </w:tcPr>
          <w:p>
            <w:r>
              <w:rPr>
                <w:color w:val="141414"/>
                <w:sz w:val="17"/>
              </w:rPr>
              <w:t>No</w:t>
            </w:r>
          </w:p>
        </w:tc>
        <w:tc>
          <w:tcPr>
            <w:tcW w:type="dxa" w:w="1080"/>
            <w:vAlign w:val="center"/>
            <w:tcMar>
              <w:top w:w="100" w:type="dxa"/>
              <w:start w:w="120" w:type="dxa"/>
              <w:bottom w:w="100" w:type="dxa"/>
              <w:end w:w="120" w:type="dxa"/>
            </w:tcMar>
          </w:tcPr>
          <w:p>
            <w:r>
              <w:rPr>
                <w:color w:val="141414"/>
                <w:sz w:val="17"/>
              </w:rPr>
              <w:t>No</w:t>
            </w:r>
          </w:p>
        </w:tc>
        <w:tc>
          <w:tcPr>
            <w:tcW w:type="dxa" w:w="1224"/>
            <w:vAlign w:val="center"/>
            <w:tcMar>
              <w:top w:w="100" w:type="dxa"/>
              <w:start w:w="120" w:type="dxa"/>
              <w:bottom w:w="100" w:type="dxa"/>
              <w:end w:w="120" w:type="dxa"/>
            </w:tcMar>
          </w:tcPr>
          <w:p>
            <w:r>
              <w:rPr>
                <w:color w:val="141414"/>
                <w:sz w:val="17"/>
              </w:rPr>
              <w:t>Maker-checker</w:t>
            </w:r>
          </w:p>
        </w:tc>
      </w:tr>
      <w:tr>
        <w:tc>
          <w:tcPr>
            <w:tcW w:type="dxa" w:w="2304"/>
            <w:vAlign w:val="center"/>
            <w:tcMar>
              <w:top w:w="100" w:type="dxa"/>
              <w:start w:w="120" w:type="dxa"/>
              <w:bottom w:w="100" w:type="dxa"/>
              <w:end w:w="120" w:type="dxa"/>
            </w:tcMar>
            <w:shd w:fill="F5F3EF"/>
          </w:tcPr>
          <w:p>
            <w:r>
              <w:rPr>
                <w:color w:val="141414"/>
                <w:sz w:val="17"/>
              </w:rPr>
              <w:t>Safety exception</w:t>
            </w:r>
          </w:p>
        </w:tc>
        <w:tc>
          <w:tcPr>
            <w:tcW w:type="dxa" w:w="1008"/>
            <w:vAlign w:val="center"/>
            <w:tcMar>
              <w:top w:w="100" w:type="dxa"/>
              <w:start w:w="120" w:type="dxa"/>
              <w:bottom w:w="100" w:type="dxa"/>
              <w:end w:w="120" w:type="dxa"/>
            </w:tcMar>
            <w:shd w:fill="F5F3EF"/>
          </w:tcPr>
          <w:p>
            <w:r>
              <w:rPr>
                <w:color w:val="141414"/>
                <w:sz w:val="17"/>
              </w:rPr>
              <w:t>Escalate</w:t>
            </w:r>
          </w:p>
        </w:tc>
        <w:tc>
          <w:tcPr>
            <w:tcW w:type="dxa" w:w="1080"/>
            <w:vAlign w:val="center"/>
            <w:tcMar>
              <w:top w:w="100" w:type="dxa"/>
              <w:start w:w="120" w:type="dxa"/>
              <w:bottom w:w="100" w:type="dxa"/>
              <w:end w:w="120" w:type="dxa"/>
            </w:tcMar>
            <w:shd w:fill="F5F3EF"/>
          </w:tcPr>
          <w:p>
            <w:r>
              <w:rPr>
                <w:color w:val="141414"/>
                <w:sz w:val="17"/>
              </w:rPr>
              <w:t>Capability only</w:t>
            </w:r>
          </w:p>
        </w:tc>
        <w:tc>
          <w:tcPr>
            <w:tcW w:type="dxa" w:w="1152"/>
            <w:vAlign w:val="center"/>
            <w:tcMar>
              <w:top w:w="100" w:type="dxa"/>
              <w:start w:w="120" w:type="dxa"/>
              <w:bottom w:w="100" w:type="dxa"/>
              <w:end w:w="120" w:type="dxa"/>
            </w:tcMar>
            <w:shd w:fill="F5F3EF"/>
          </w:tcPr>
          <w:p>
            <w:r>
              <w:rPr>
                <w:color w:val="141414"/>
                <w:sz w:val="17"/>
              </w:rPr>
              <w:t>Escalate</w:t>
            </w:r>
          </w:p>
        </w:tc>
        <w:tc>
          <w:tcPr>
            <w:tcW w:type="dxa" w:w="936"/>
            <w:vAlign w:val="center"/>
            <w:tcMar>
              <w:top w:w="100" w:type="dxa"/>
              <w:start w:w="120" w:type="dxa"/>
              <w:bottom w:w="100" w:type="dxa"/>
              <w:end w:w="120" w:type="dxa"/>
            </w:tcMar>
            <w:shd w:fill="F5F3EF"/>
          </w:tcPr>
          <w:p>
            <w:r>
              <w:rPr>
                <w:color w:val="141414"/>
                <w:sz w:val="17"/>
              </w:rPr>
              <w:t>No</w:t>
            </w:r>
          </w:p>
        </w:tc>
        <w:tc>
          <w:tcPr>
            <w:tcW w:type="dxa" w:w="1080"/>
            <w:vAlign w:val="center"/>
            <w:tcMar>
              <w:top w:w="100" w:type="dxa"/>
              <w:start w:w="120" w:type="dxa"/>
              <w:bottom w:w="100" w:type="dxa"/>
              <w:end w:w="120" w:type="dxa"/>
            </w:tcMar>
            <w:shd w:fill="F5F3EF"/>
          </w:tcPr>
          <w:p>
            <w:r>
              <w:rPr>
                <w:color w:val="141414"/>
                <w:sz w:val="17"/>
              </w:rPr>
              <w:t>No</w:t>
            </w:r>
          </w:p>
        </w:tc>
        <w:tc>
          <w:tcPr>
            <w:tcW w:type="dxa" w:w="1224"/>
            <w:vAlign w:val="center"/>
            <w:tcMar>
              <w:top w:w="100" w:type="dxa"/>
              <w:start w:w="120" w:type="dxa"/>
              <w:bottom w:w="100" w:type="dxa"/>
              <w:end w:w="120" w:type="dxa"/>
            </w:tcMar>
            <w:shd w:fill="F5F3EF"/>
          </w:tcPr>
          <w:p>
            <w:r>
              <w:rPr>
                <w:color w:val="141414"/>
                <w:sz w:val="17"/>
              </w:rPr>
              <w:t>Authorised policy</w:t>
            </w:r>
          </w:p>
        </w:tc>
      </w:tr>
    </w:tbl>
    <w:p/>
    <w:p>
      <w:pPr>
        <w:pStyle w:val="Heading1"/>
      </w:pPr>
      <w:r>
        <w:t>Compatibility rules</w:t>
      </w:r>
    </w:p>
    <w:p>
      <w:pPr>
        <w:pStyle w:val="ListBullet"/>
      </w:pPr>
      <w:r>
        <w:t>No direct mutation of seating from dining workflows. Guest movement creates a service-location record and optional seating discrepancy task.</w:t>
      </w:r>
    </w:p>
    <w:p>
      <w:pPr>
        <w:pStyle w:val="ListBullet"/>
      </w:pPr>
      <w:r>
        <w:t>No direct creation of canonical guests from walk-up order entry.</w:t>
      </w:r>
    </w:p>
    <w:p>
      <w:pPr>
        <w:pStyle w:val="ListBullet"/>
      </w:pPr>
      <w:r>
        <w:t>No replacement of S06C import, duplicate review or promotion controls.</w:t>
      </w:r>
    </w:p>
    <w:p>
      <w:pPr>
        <w:pStyle w:val="ListBullet"/>
      </w:pPr>
      <w:r>
        <w:t>No duplication of S06B VIP/accessibility intelligence; consume approved operational outputs only.</w:t>
      </w:r>
    </w:p>
    <w:p>
      <w:pPr>
        <w:pStyle w:val="ListBullet"/>
      </w:pPr>
      <w:r>
        <w:t>No direct external communication while providers remain inactive.</w:t>
      </w:r>
    </w:p>
    <w:p>
      <w:pPr>
        <w:pStyle w:val="ListBullet"/>
      </w:pPr>
      <w:r>
        <w:t>Atelier Command may recommend or execute only registered, compatible Dining commands under its risk and maker-checker controls.</w:t>
      </w:r>
    </w:p>
    <w:p>
      <w:pPr>
        <w:pStyle w:val="ListBullet"/>
      </w:pPr>
      <w:r>
        <w:t>Every cross-module read stores the authority identity/version used so stale context can be detected.</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