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Maison Doclar EOS S06D Dining Service Command</w:t>
      </w:r>
    </w:p>
    <w:p>
      <w:pPr>
        <w:pStyle w:val="Subtitle"/>
      </w:pPr>
      <w:r>
        <w:t>Local first architecture hardware and continuity</w:t>
      </w:r>
    </w:p>
    <w:p>
      <w:r>
        <w:rPr>
          <w:b/>
          <w:color w:val="8C6623"/>
        </w:rPr>
        <w:t>CEO RATIFICATION DRAFT — IMPLEMENTATION NOT AUTHORISED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30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0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Document version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1.0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Pack date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16 September 2026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Authority state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Draft for CEO ratification only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Implementation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Not authorised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 posture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productionAuthorised:false; providers and communications inactive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Data boundary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Synthetic data only</w:t>
            </w:r>
          </w:p>
        </w:tc>
      </w:tr>
    </w:tbl>
    <w:p/>
    <w:p>
      <w:pPr>
        <w:pStyle w:val="Heading1"/>
      </w:pPr>
      <w:r>
        <w:t>Purpose and decision</w:t>
      </w:r>
    </w:p>
    <w:p>
      <w:r>
        <w:t>This document specifies reliable event operation across managed touchscreens, handheld devices, the local edge runtime, printers and cloud reconciliation.</w:t>
      </w:r>
    </w:p>
    <w:p>
      <w:pPr>
        <w:pStyle w:val="Heading1"/>
      </w:pPr>
      <w:r>
        <w:t>Authority topology</w:t>
      </w:r>
    </w:p>
    <w:p>
      <w:r>
        <w:t>During event operation, one local edge cluster is the event-time command authority. Handhelds and station devices maintain a durable command outbox and cached task views, but they do not become independent masters. The cloud receives ordered replication and becomes the durable programme record after reconciliation.</w:t>
      </w:r>
    </w:p>
    <w:p>
      <w:pPr>
        <w:pStyle w:val="Heading1"/>
      </w:pPr>
      <w:r>
        <w:t>Managed caterer station</w:t>
      </w:r>
    </w:p>
    <w:p>
      <w:pPr>
        <w:pStyle w:val="ListBullet"/>
      </w:pPr>
      <w:r>
        <w:t>Maison Doclar may supply 13–24 inch touch displays or tablets on stable stands, with splash-resistant covers suitable for preparation areas.</w:t>
      </w:r>
    </w:p>
    <w:p>
      <w:pPr>
        <w:pStyle w:val="ListBullet"/>
      </w:pPr>
      <w:r>
        <w:t>Installable PWA or managed kiosk application opens directly to the assigned station queue.</w:t>
      </w:r>
    </w:p>
    <w:p>
      <w:pPr>
        <w:pStyle w:val="ListBullet"/>
      </w:pPr>
      <w:r>
        <w:t>Device lease binds event, vendor, station, permitted functions and expiry; reassignment requires supervisor action.</w:t>
      </w:r>
    </w:p>
    <w:p>
      <w:pPr>
        <w:pStyle w:val="ListBullet"/>
      </w:pPr>
      <w:r>
        <w:t>Large controls work at arm’s length and with gloved hands; optional local buzzer/light signals new urgent work.</w:t>
      </w:r>
    </w:p>
    <w:p>
      <w:pPr>
        <w:pStyle w:val="ListBullet"/>
      </w:pPr>
      <w:r>
        <w:t>Local thermal printer provides station tickets where physical production practice requires them.</w:t>
      </w:r>
    </w:p>
    <w:p>
      <w:pPr>
        <w:pStyle w:val="ListBullet"/>
      </w:pPr>
      <w:r>
        <w:t>A station may operate one primary and one hot-standby display; concurrent commands remain idempotent.</w:t>
      </w:r>
    </w:p>
    <w:p>
      <w:pPr>
        <w:pStyle w:val="Heading1"/>
      </w:pPr>
      <w:r>
        <w:t>Event network</w:t>
      </w:r>
    </w:p>
    <w:p>
      <w:pPr>
        <w:pStyle w:val="ListBullet"/>
      </w:pPr>
      <w:r>
        <w:t>Dedicated event Wi-Fi with segmented staff, vendor and infrastructure networks.</w:t>
      </w:r>
    </w:p>
    <w:p>
      <w:pPr>
        <w:pStyle w:val="ListBullet"/>
      </w:pPr>
      <w:r>
        <w:t>Wired Ethernet for edge nodes, expeditor control and printers where possible.</w:t>
      </w:r>
    </w:p>
    <w:p>
      <w:pPr>
        <w:pStyle w:val="ListBullet"/>
      </w:pPr>
      <w:r>
        <w:t>Redundant access points sized for venue layout and device density.</w:t>
      </w:r>
    </w:p>
    <w:p>
      <w:pPr>
        <w:pStyle w:val="ListBullet"/>
      </w:pPr>
      <w:r>
        <w:t>Primary edge node plus tested warm standby, both on UPS.</w:t>
      </w:r>
    </w:p>
    <w:p>
      <w:pPr>
        <w:pStyle w:val="ListBullet"/>
      </w:pPr>
      <w:r>
        <w:t>Local DNS/service discovery and health display independent of internet.</w:t>
      </w:r>
    </w:p>
    <w:p>
      <w:pPr>
        <w:pStyle w:val="ListBullet"/>
      </w:pPr>
      <w:r>
        <w:t>Network loss between zones is surfaced immediately; tasks never pretend to be current when stale.</w:t>
      </w:r>
    </w:p>
    <w:p>
      <w:pPr>
        <w:pStyle w:val="Heading1"/>
      </w:pPr>
      <w:r>
        <w:t>Storage and synchronisation</w:t>
      </w:r>
    </w:p>
    <w:p>
      <w:pPr>
        <w:pStyle w:val="ListBullet"/>
      </w:pPr>
      <w:r>
        <w:t>SQLite with WAL is permitted behind a single edge service boundary; clients never share a database file.</w:t>
      </w:r>
    </w:p>
    <w:p>
      <w:pPr>
        <w:pStyle w:val="ListBullet"/>
      </w:pPr>
      <w:r>
        <w:t>Every mutation carries UUID, actor, device, monotonic device sequence, idempotency key and expected authority version.</w:t>
      </w:r>
    </w:p>
    <w:p>
      <w:pPr>
        <w:pStyle w:val="ListBullet"/>
      </w:pPr>
      <w:r>
        <w:t>The edge commits command plus audit/outbox atomically before acknowledging success.</w:t>
      </w:r>
    </w:p>
    <w:p>
      <w:pPr>
        <w:pStyle w:val="ListBullet"/>
      </w:pPr>
      <w:r>
        <w:t>Clients retain pending commands through app restart and show Pending until edge confirmation.</w:t>
      </w:r>
    </w:p>
    <w:p>
      <w:pPr>
        <w:pStyle w:val="ListBullet"/>
      </w:pPr>
      <w:r>
        <w:t>Cloud synchronisation is asynchronous and replay-safe. Conflicts are classified, not resolved through last-write-wins.</w:t>
      </w:r>
    </w:p>
    <w:p>
      <w:pPr>
        <w:pStyle w:val="ListBullet"/>
      </w:pPr>
      <w:r>
        <w:t>Snapshot/restore and event export are encrypted and tested before service opens.</w:t>
      </w:r>
    </w:p>
    <w:p>
      <w:pPr>
        <w:pStyle w:val="Heading1"/>
      </w:pPr>
      <w:r>
        <w:t>Operating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52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7128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Authority and behaviour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DIGITAL PRIMARY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Edge authoritative; cloud syncing when available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LOCAL ONLY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Edge authoritative; internet unavailable; all core workflows continue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DEVICE DEGRADED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Affected device queues offline commands; operator is warned about freshness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PAPER FALLBACK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Control activates reserved paper ranges and station colour routing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RECOVERY RECONCILIATION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Paper and device backlog entered, matched and exception-reviewed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DIGITAL RESTORED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Control closes reconciliation and returns to normal mode</w:t>
            </w:r>
          </w:p>
        </w:tc>
      </w:tr>
    </w:tbl>
    <w:p/>
    <w:p>
      <w:pPr>
        <w:pStyle w:val="Heading1"/>
      </w:pPr>
      <w:r>
        <w:t>Paper continuity</w:t>
      </w:r>
    </w:p>
    <w:p>
      <w:pPr>
        <w:pStyle w:val="ListBullet"/>
      </w:pPr>
      <w:r>
        <w:t>Pre-numbered carbonless order cards carry event, table, subject/seat, course, items, modifiers, safety notes, time and concierge.</w:t>
      </w:r>
    </w:p>
    <w:p>
      <w:pPr>
        <w:pStyle w:val="ListBullet"/>
      </w:pPr>
      <w:r>
        <w:t>Caterer-specific colour tickets are derived from the same parent paper reference.</w:t>
      </w:r>
    </w:p>
    <w:p>
      <w:pPr>
        <w:pStyle w:val="ListBullet"/>
      </w:pPr>
      <w:r>
        <w:t>Reserved reference ranges prevent collision with digital orders.</w:t>
      </w:r>
    </w:p>
    <w:p>
      <w:pPr>
        <w:pStyle w:val="ListBullet"/>
      </w:pPr>
      <w:r>
        <w:t>A central service ledger tracks issue, routing, ready, release, delivery and clearing.</w:t>
      </w:r>
    </w:p>
    <w:p>
      <w:pPr>
        <w:pStyle w:val="ListBullet"/>
      </w:pPr>
      <w:r>
        <w:t>Paper orders preserve their original reference when digitised; they are not recreated as unrelated orders.</w:t>
      </w:r>
    </w:p>
    <w:p>
      <w:pPr>
        <w:pStyle w:val="ListBullet"/>
      </w:pPr>
      <w:r>
        <w:t>Reconciliation requires four outcomes: matched, entered, duplicate suppressed, or unresolved exception.</w:t>
      </w:r>
    </w:p>
    <w:p>
      <w:pPr>
        <w:pStyle w:val="Heading1"/>
      </w:pPr>
      <w:r>
        <w:t>Performance and recovery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24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6408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Local order acknowledgement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p95 under 1 second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Queue/status update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p95 under 2 seconds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Table/guest/menu search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p95 under 1 second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Bundle board refresh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Within 2 seconds locally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Edge restart recovery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Core service within 60 seconds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Primary-to-standby recovery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Within 120 seconds with explicit mode indicator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Data integrity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No lost or duplicate acknowledged order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1,000-guest event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Sustained peak simulation with multiple vendors and at least 100 concurrent devices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Clearing acknowledgment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Normal request acknowledged within 30 seconds</w:t>
            </w:r>
          </w:p>
        </w:tc>
      </w:tr>
    </w:tbl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