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Maison Doclar EOS S06D Dining Service Command</w:t>
      </w:r>
    </w:p>
    <w:p>
      <w:pPr>
        <w:pStyle w:val="Subtitle"/>
      </w:pPr>
      <w:r>
        <w:t>Assurance and acceptance plan</w:t>
      </w:r>
    </w:p>
    <w:p>
      <w:r>
        <w:rPr>
          <w:b/>
          <w:color w:val="8C6623"/>
        </w:rPr>
        <w:t>CEO RATIFICATION DRAFT — IMPLEMENTATION NOT AUTHORISED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04"/>
            <w:shd w:fill="262626"/>
            <w:vAlign w:val="center"/>
            <w:tcMar>
              <w:top w:w="100" w:type="dxa"/>
              <w:start w:w="120" w:type="dxa"/>
              <w:bottom w:w="100" w:type="dxa"/>
              <w:end w:w="120" w:type="dxa"/>
            </w:tcMar>
          </w:tcPr>
          <w:p>
            <w:r>
              <w:rPr>
                <w:b/>
                <w:color w:val="FFFFFF"/>
                <w:sz w:val="18"/>
              </w:rPr>
              <w:t>Control</w:t>
            </w:r>
          </w:p>
        </w:tc>
        <w:tc>
          <w:tcPr>
            <w:tcW w:type="dxa" w:w="7200"/>
            <w:shd w:fill="262626"/>
            <w:vAlign w:val="center"/>
            <w:tcMar>
              <w:top w:w="100" w:type="dxa"/>
              <w:start w:w="120" w:type="dxa"/>
              <w:bottom w:w="100" w:type="dxa"/>
              <w:end w:w="120" w:type="dxa"/>
            </w:tcMar>
          </w:tcPr>
          <w:p>
            <w:r>
              <w:rPr>
                <w:b/>
                <w:color w:val="FFFFFF"/>
                <w:sz w:val="18"/>
              </w:rPr>
              <w:t>Value</w:t>
            </w:r>
          </w:p>
        </w:tc>
      </w:tr>
      <w:tr>
        <w:tc>
          <w:tcPr>
            <w:tcW w:type="dxa" w:w="2304"/>
            <w:vAlign w:val="center"/>
            <w:tcMar>
              <w:top w:w="100" w:type="dxa"/>
              <w:start w:w="120" w:type="dxa"/>
              <w:bottom w:w="100" w:type="dxa"/>
              <w:end w:w="120" w:type="dxa"/>
            </w:tcMar>
          </w:tcPr>
          <w:p>
            <w:r>
              <w:rPr>
                <w:color w:val="141414"/>
                <w:sz w:val="17"/>
              </w:rPr>
              <w:t>Document version</w:t>
            </w:r>
          </w:p>
        </w:tc>
        <w:tc>
          <w:tcPr>
            <w:tcW w:type="dxa" w:w="7200"/>
            <w:vAlign w:val="center"/>
            <w:tcMar>
              <w:top w:w="100" w:type="dxa"/>
              <w:start w:w="120" w:type="dxa"/>
              <w:bottom w:w="100" w:type="dxa"/>
              <w:end w:w="120" w:type="dxa"/>
            </w:tcMar>
          </w:tcPr>
          <w:p>
            <w:r>
              <w:rPr>
                <w:color w:val="141414"/>
                <w:sz w:val="17"/>
              </w:rPr>
              <w:t>1.0</w:t>
            </w:r>
          </w:p>
        </w:tc>
      </w:tr>
      <w:tr>
        <w:tc>
          <w:tcPr>
            <w:tcW w:type="dxa" w:w="2304"/>
            <w:vAlign w:val="center"/>
            <w:tcMar>
              <w:top w:w="100" w:type="dxa"/>
              <w:start w:w="120" w:type="dxa"/>
              <w:bottom w:w="100" w:type="dxa"/>
              <w:end w:w="120" w:type="dxa"/>
            </w:tcMar>
            <w:shd w:fill="F5F3EF"/>
          </w:tcPr>
          <w:p>
            <w:r>
              <w:rPr>
                <w:color w:val="141414"/>
                <w:sz w:val="17"/>
              </w:rPr>
              <w:t>Pack date</w:t>
            </w:r>
          </w:p>
        </w:tc>
        <w:tc>
          <w:tcPr>
            <w:tcW w:type="dxa" w:w="7200"/>
            <w:vAlign w:val="center"/>
            <w:tcMar>
              <w:top w:w="100" w:type="dxa"/>
              <w:start w:w="120" w:type="dxa"/>
              <w:bottom w:w="100" w:type="dxa"/>
              <w:end w:w="120" w:type="dxa"/>
            </w:tcMar>
            <w:shd w:fill="F5F3EF"/>
          </w:tcPr>
          <w:p>
            <w:r>
              <w:rPr>
                <w:color w:val="141414"/>
                <w:sz w:val="17"/>
              </w:rPr>
              <w:t>16 September 2026</w:t>
            </w:r>
          </w:p>
        </w:tc>
      </w:tr>
      <w:tr>
        <w:tc>
          <w:tcPr>
            <w:tcW w:type="dxa" w:w="2304"/>
            <w:vAlign w:val="center"/>
            <w:tcMar>
              <w:top w:w="100" w:type="dxa"/>
              <w:start w:w="120" w:type="dxa"/>
              <w:bottom w:w="100" w:type="dxa"/>
              <w:end w:w="120" w:type="dxa"/>
            </w:tcMar>
          </w:tcPr>
          <w:p>
            <w:r>
              <w:rPr>
                <w:color w:val="141414"/>
                <w:sz w:val="17"/>
              </w:rPr>
              <w:t>Authority state</w:t>
            </w:r>
          </w:p>
        </w:tc>
        <w:tc>
          <w:tcPr>
            <w:tcW w:type="dxa" w:w="7200"/>
            <w:vAlign w:val="center"/>
            <w:tcMar>
              <w:top w:w="100" w:type="dxa"/>
              <w:start w:w="120" w:type="dxa"/>
              <w:bottom w:w="100" w:type="dxa"/>
              <w:end w:w="120" w:type="dxa"/>
            </w:tcMar>
          </w:tcPr>
          <w:p>
            <w:r>
              <w:rPr>
                <w:color w:val="141414"/>
                <w:sz w:val="17"/>
              </w:rPr>
              <w:t>Draft for CEO ratification only</w:t>
            </w:r>
          </w:p>
        </w:tc>
      </w:tr>
      <w:tr>
        <w:tc>
          <w:tcPr>
            <w:tcW w:type="dxa" w:w="2304"/>
            <w:vAlign w:val="center"/>
            <w:tcMar>
              <w:top w:w="100" w:type="dxa"/>
              <w:start w:w="120" w:type="dxa"/>
              <w:bottom w:w="100" w:type="dxa"/>
              <w:end w:w="120" w:type="dxa"/>
            </w:tcMar>
            <w:shd w:fill="F5F3EF"/>
          </w:tcPr>
          <w:p>
            <w:r>
              <w:rPr>
                <w:color w:val="141414"/>
                <w:sz w:val="17"/>
              </w:rPr>
              <w:t>Implementation</w:t>
            </w:r>
          </w:p>
        </w:tc>
        <w:tc>
          <w:tcPr>
            <w:tcW w:type="dxa" w:w="7200"/>
            <w:vAlign w:val="center"/>
            <w:tcMar>
              <w:top w:w="100" w:type="dxa"/>
              <w:start w:w="120" w:type="dxa"/>
              <w:bottom w:w="100" w:type="dxa"/>
              <w:end w:w="120" w:type="dxa"/>
            </w:tcMar>
            <w:shd w:fill="F5F3EF"/>
          </w:tcPr>
          <w:p>
            <w:r>
              <w:rPr>
                <w:color w:val="141414"/>
                <w:sz w:val="17"/>
              </w:rPr>
              <w:t>Not authorised</w:t>
            </w:r>
          </w:p>
        </w:tc>
      </w:tr>
      <w:tr>
        <w:tc>
          <w:tcPr>
            <w:tcW w:type="dxa" w:w="2304"/>
            <w:vAlign w:val="center"/>
            <w:tcMar>
              <w:top w:w="100" w:type="dxa"/>
              <w:start w:w="120" w:type="dxa"/>
              <w:bottom w:w="100" w:type="dxa"/>
              <w:end w:w="120" w:type="dxa"/>
            </w:tcMar>
          </w:tcPr>
          <w:p>
            <w:r>
              <w:rPr>
                <w:color w:val="141414"/>
                <w:sz w:val="17"/>
              </w:rPr>
              <w:t>Production posture</w:t>
            </w:r>
          </w:p>
        </w:tc>
        <w:tc>
          <w:tcPr>
            <w:tcW w:type="dxa" w:w="7200"/>
            <w:vAlign w:val="center"/>
            <w:tcMar>
              <w:top w:w="100" w:type="dxa"/>
              <w:start w:w="120" w:type="dxa"/>
              <w:bottom w:w="100" w:type="dxa"/>
              <w:end w:w="120" w:type="dxa"/>
            </w:tcMar>
          </w:tcPr>
          <w:p>
            <w:r>
              <w:rPr>
                <w:color w:val="141414"/>
                <w:sz w:val="17"/>
              </w:rPr>
              <w:t>productionAuthorised:false; providers and communications inactive</w:t>
            </w:r>
          </w:p>
        </w:tc>
      </w:tr>
      <w:tr>
        <w:tc>
          <w:tcPr>
            <w:tcW w:type="dxa" w:w="2304"/>
            <w:vAlign w:val="center"/>
            <w:tcMar>
              <w:top w:w="100" w:type="dxa"/>
              <w:start w:w="120" w:type="dxa"/>
              <w:bottom w:w="100" w:type="dxa"/>
              <w:end w:w="120" w:type="dxa"/>
            </w:tcMar>
            <w:shd w:fill="F5F3EF"/>
          </w:tcPr>
          <w:p>
            <w:r>
              <w:rPr>
                <w:color w:val="141414"/>
                <w:sz w:val="17"/>
              </w:rPr>
              <w:t>Data boundary</w:t>
            </w:r>
          </w:p>
        </w:tc>
        <w:tc>
          <w:tcPr>
            <w:tcW w:type="dxa" w:w="7200"/>
            <w:vAlign w:val="center"/>
            <w:tcMar>
              <w:top w:w="100" w:type="dxa"/>
              <w:start w:w="120" w:type="dxa"/>
              <w:bottom w:w="100" w:type="dxa"/>
              <w:end w:w="120" w:type="dxa"/>
            </w:tcMar>
            <w:shd w:fill="F5F3EF"/>
          </w:tcPr>
          <w:p>
            <w:r>
              <w:rPr>
                <w:color w:val="141414"/>
                <w:sz w:val="17"/>
              </w:rPr>
              <w:t>Synthetic data only</w:t>
            </w:r>
          </w:p>
        </w:tc>
      </w:tr>
    </w:tbl>
    <w:p/>
    <w:p>
      <w:pPr>
        <w:pStyle w:val="Heading1"/>
      </w:pPr>
      <w:r>
        <w:t>Purpose and decision</w:t>
      </w:r>
    </w:p>
    <w:p>
      <w:r>
        <w:t>This document fixes evidence before execution. EOS-S06D cannot be accepted on screenshots or happy-path demonstrations alone.</w:t>
      </w:r>
    </w:p>
    <w:p>
      <w:pPr>
        <w:pStyle w:val="Heading1"/>
      </w:pPr>
      <w:r>
        <w:t>Synthetic qualification corpus</w:t>
      </w:r>
    </w:p>
    <w:p>
      <w:pPr>
        <w:pStyle w:val="ListBullet"/>
      </w:pPr>
      <w:r>
        <w:t>At least 1,000 synthetic guests, realistic seating and check-in variation.</w:t>
      </w:r>
    </w:p>
    <w:p>
      <w:pPr>
        <w:pStyle w:val="ListBullet"/>
      </w:pPr>
      <w:r>
        <w:t>At least five caterers, ten preparation stations, 150 menu items and overlapping unified menus.</w:t>
      </w:r>
    </w:p>
    <w:p>
      <w:pPr>
        <w:pStyle w:val="ListBullet"/>
      </w:pPr>
      <w:r>
        <w:t>Multiple course structures, table orders, individual orders and shared items.</w:t>
      </w:r>
    </w:p>
    <w:p>
      <w:pPr>
        <w:pStyle w:val="ListBullet"/>
      </w:pPr>
      <w:r>
        <w:t>Guest movement, walk-ins, plus-ones, names declined, late arrivals, seconds and repeat orders.</w:t>
      </w:r>
    </w:p>
    <w:p>
      <w:pPr>
        <w:pStyle w:val="ListBullet"/>
      </w:pPr>
      <w:r>
        <w:t>Preference, religion/culture, intolerance, allergy, severe allergy, unknown and declined requirement cases.</w:t>
      </w:r>
    </w:p>
    <w:p>
      <w:pPr>
        <w:pStyle w:val="ListBullet"/>
      </w:pPr>
      <w:r>
        <w:t>Shortage, substitute, delay, partial-ready, split release, missing item, wrong item, spill, rejection and remake.</w:t>
      </w:r>
    </w:p>
    <w:p>
      <w:pPr>
        <w:pStyle w:val="ListBullet"/>
      </w:pPr>
      <w:r>
        <w:t>Internet loss, access-point loss, device restart, edge restart, standby recovery, printer outage and paper reconciliation.</w:t>
      </w:r>
    </w:p>
    <w:p>
      <w:pPr>
        <w:pStyle w:val="ListBullet"/>
      </w:pPr>
      <w:r>
        <w:t>Deterministic seeds and corpus hashes.</w:t>
      </w:r>
    </w:p>
    <w:p>
      <w:pPr>
        <w:pStyle w:val="Heading1"/>
      </w:pPr>
      <w:r>
        <w:t>Focused automated assurance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76"/>
            <w:shd w:fill="262626"/>
            <w:vAlign w:val="center"/>
            <w:tcMar>
              <w:top w:w="100" w:type="dxa"/>
              <w:start w:w="120" w:type="dxa"/>
              <w:bottom w:w="100" w:type="dxa"/>
              <w:end w:w="120" w:type="dxa"/>
            </w:tcMar>
          </w:tcPr>
          <w:p>
            <w:r>
              <w:rPr>
                <w:b/>
                <w:color w:val="FFFFFF"/>
                <w:sz w:val="18"/>
              </w:rPr>
              <w:t>Area</w:t>
            </w:r>
          </w:p>
        </w:tc>
        <w:tc>
          <w:tcPr>
            <w:tcW w:type="dxa" w:w="7272"/>
            <w:shd w:fill="262626"/>
            <w:vAlign w:val="center"/>
            <w:tcMar>
              <w:top w:w="100" w:type="dxa"/>
              <w:start w:w="120" w:type="dxa"/>
              <w:bottom w:w="100" w:type="dxa"/>
              <w:end w:w="120" w:type="dxa"/>
            </w:tcMar>
          </w:tcPr>
          <w:p>
            <w:r>
              <w:rPr>
                <w:b/>
                <w:color w:val="FFFFFF"/>
                <w:sz w:val="18"/>
              </w:rPr>
              <w:t>Required proof</w:t>
            </w:r>
          </w:p>
        </w:tc>
      </w:tr>
      <w:tr>
        <w:tc>
          <w:tcPr>
            <w:tcW w:type="dxa" w:w="2376"/>
            <w:vAlign w:val="center"/>
            <w:tcMar>
              <w:top w:w="100" w:type="dxa"/>
              <w:start w:w="120" w:type="dxa"/>
              <w:bottom w:w="100" w:type="dxa"/>
              <w:end w:w="120" w:type="dxa"/>
            </w:tcMar>
          </w:tcPr>
          <w:p>
            <w:r>
              <w:rPr>
                <w:color w:val="141414"/>
                <w:sz w:val="17"/>
              </w:rPr>
              <w:t>Domain invariants</w:t>
            </w:r>
          </w:p>
        </w:tc>
        <w:tc>
          <w:tcPr>
            <w:tcW w:type="dxa" w:w="7272"/>
            <w:vAlign w:val="center"/>
            <w:tcMar>
              <w:top w:w="100" w:type="dxa"/>
              <w:start w:w="120" w:type="dxa"/>
              <w:bottom w:w="100" w:type="dxa"/>
              <w:end w:w="120" w:type="dxa"/>
            </w:tcMar>
          </w:tcPr>
          <w:p>
            <w:r>
              <w:rPr>
                <w:color w:val="141414"/>
                <w:sz w:val="17"/>
              </w:rPr>
              <w:t>No order loss, line/task reconciliation, legal state transitions, immutable history</w:t>
            </w:r>
          </w:p>
        </w:tc>
      </w:tr>
      <w:tr>
        <w:tc>
          <w:tcPr>
            <w:tcW w:type="dxa" w:w="2376"/>
            <w:vAlign w:val="center"/>
            <w:tcMar>
              <w:top w:w="100" w:type="dxa"/>
              <w:start w:w="120" w:type="dxa"/>
              <w:bottom w:w="100" w:type="dxa"/>
              <w:end w:w="120" w:type="dxa"/>
            </w:tcMar>
            <w:shd w:fill="F5F3EF"/>
          </w:tcPr>
          <w:p>
            <w:r>
              <w:rPr>
                <w:color w:val="141414"/>
                <w:sz w:val="17"/>
              </w:rPr>
              <w:t>Routing</w:t>
            </w:r>
          </w:p>
        </w:tc>
        <w:tc>
          <w:tcPr>
            <w:tcW w:type="dxa" w:w="7272"/>
            <w:vAlign w:val="center"/>
            <w:tcMar>
              <w:top w:w="100" w:type="dxa"/>
              <w:start w:w="120" w:type="dxa"/>
              <w:bottom w:w="100" w:type="dxa"/>
              <w:end w:w="120" w:type="dxa"/>
            </w:tcMar>
            <w:shd w:fill="F5F3EF"/>
          </w:tcPr>
          <w:p>
            <w:r>
              <w:rPr>
                <w:color w:val="141414"/>
                <w:sz w:val="17"/>
              </w:rPr>
              <w:t>Every order line routes exactly once to correct active vendor/station edition</w:t>
            </w:r>
          </w:p>
        </w:tc>
      </w:tr>
      <w:tr>
        <w:tc>
          <w:tcPr>
            <w:tcW w:type="dxa" w:w="2376"/>
            <w:vAlign w:val="center"/>
            <w:tcMar>
              <w:top w:w="100" w:type="dxa"/>
              <w:start w:w="120" w:type="dxa"/>
              <w:bottom w:w="100" w:type="dxa"/>
              <w:end w:w="120" w:type="dxa"/>
            </w:tcMar>
          </w:tcPr>
          <w:p>
            <w:r>
              <w:rPr>
                <w:color w:val="141414"/>
                <w:sz w:val="17"/>
              </w:rPr>
              <w:t>Idempotency</w:t>
            </w:r>
          </w:p>
        </w:tc>
        <w:tc>
          <w:tcPr>
            <w:tcW w:type="dxa" w:w="7272"/>
            <w:vAlign w:val="center"/>
            <w:tcMar>
              <w:top w:w="100" w:type="dxa"/>
              <w:start w:w="120" w:type="dxa"/>
              <w:bottom w:w="100" w:type="dxa"/>
              <w:end w:w="120" w:type="dxa"/>
            </w:tcMar>
          </w:tcPr>
          <w:p>
            <w:r>
              <w:rPr>
                <w:color w:val="141414"/>
                <w:sz w:val="17"/>
              </w:rPr>
              <w:t>Duplicate submit/status/replay creates no duplicate operational effect</w:t>
            </w:r>
          </w:p>
        </w:tc>
      </w:tr>
      <w:tr>
        <w:tc>
          <w:tcPr>
            <w:tcW w:type="dxa" w:w="2376"/>
            <w:vAlign w:val="center"/>
            <w:tcMar>
              <w:top w:w="100" w:type="dxa"/>
              <w:start w:w="120" w:type="dxa"/>
              <w:bottom w:w="100" w:type="dxa"/>
              <w:end w:w="120" w:type="dxa"/>
            </w:tcMar>
            <w:shd w:fill="F5F3EF"/>
          </w:tcPr>
          <w:p>
            <w:r>
              <w:rPr>
                <w:color w:val="141414"/>
                <w:sz w:val="17"/>
              </w:rPr>
              <w:t>Concurrency</w:t>
            </w:r>
          </w:p>
        </w:tc>
        <w:tc>
          <w:tcPr>
            <w:tcW w:type="dxa" w:w="7272"/>
            <w:vAlign w:val="center"/>
            <w:tcMar>
              <w:top w:w="100" w:type="dxa"/>
              <w:start w:w="120" w:type="dxa"/>
              <w:bottom w:w="100" w:type="dxa"/>
              <w:end w:w="120" w:type="dxa"/>
            </w:tcMar>
            <w:shd w:fill="F5F3EF"/>
          </w:tcPr>
          <w:p>
            <w:r>
              <w:rPr>
                <w:color w:val="141414"/>
                <w:sz w:val="17"/>
              </w:rPr>
              <w:t>Two concierges, two station displays and two runners cannot double-apply work</w:t>
            </w:r>
          </w:p>
        </w:tc>
      </w:tr>
      <w:tr>
        <w:tc>
          <w:tcPr>
            <w:tcW w:type="dxa" w:w="2376"/>
            <w:vAlign w:val="center"/>
            <w:tcMar>
              <w:top w:w="100" w:type="dxa"/>
              <w:start w:w="120" w:type="dxa"/>
              <w:bottom w:w="100" w:type="dxa"/>
              <w:end w:w="120" w:type="dxa"/>
            </w:tcMar>
          </w:tcPr>
          <w:p>
            <w:r>
              <w:rPr>
                <w:color w:val="141414"/>
                <w:sz w:val="17"/>
              </w:rPr>
              <w:t>Isolation</w:t>
            </w:r>
          </w:p>
        </w:tc>
        <w:tc>
          <w:tcPr>
            <w:tcW w:type="dxa" w:w="7272"/>
            <w:vAlign w:val="center"/>
            <w:tcMar>
              <w:top w:w="100" w:type="dxa"/>
              <w:start w:w="120" w:type="dxa"/>
              <w:bottom w:w="100" w:type="dxa"/>
              <w:end w:w="120" w:type="dxa"/>
            </w:tcMar>
          </w:tcPr>
          <w:p>
            <w:r>
              <w:rPr>
                <w:color w:val="141414"/>
                <w:sz w:val="17"/>
              </w:rPr>
              <w:t>Vendor/event/role boundaries and minimum-data projection</w:t>
            </w:r>
          </w:p>
        </w:tc>
      </w:tr>
      <w:tr>
        <w:tc>
          <w:tcPr>
            <w:tcW w:type="dxa" w:w="2376"/>
            <w:vAlign w:val="center"/>
            <w:tcMar>
              <w:top w:w="100" w:type="dxa"/>
              <w:start w:w="120" w:type="dxa"/>
              <w:bottom w:w="100" w:type="dxa"/>
              <w:end w:w="120" w:type="dxa"/>
            </w:tcMar>
            <w:shd w:fill="F5F3EF"/>
          </w:tcPr>
          <w:p>
            <w:r>
              <w:rPr>
                <w:color w:val="141414"/>
                <w:sz w:val="17"/>
              </w:rPr>
              <w:t>Authority staleness</w:t>
            </w:r>
          </w:p>
        </w:tc>
        <w:tc>
          <w:tcPr>
            <w:tcW w:type="dxa" w:w="7272"/>
            <w:vAlign w:val="center"/>
            <w:tcMar>
              <w:top w:w="100" w:type="dxa"/>
              <w:start w:w="120" w:type="dxa"/>
              <w:bottom w:w="100" w:type="dxa"/>
              <w:end w:w="120" w:type="dxa"/>
            </w:tcMar>
            <w:shd w:fill="F5F3EF"/>
          </w:tcPr>
          <w:p>
            <w:r>
              <w:rPr>
                <w:color w:val="141414"/>
                <w:sz w:val="17"/>
              </w:rPr>
              <w:t>Seating/menu/route/guest changes produce explicit stale or reconciled outcomes</w:t>
            </w:r>
          </w:p>
        </w:tc>
      </w:tr>
      <w:tr>
        <w:tc>
          <w:tcPr>
            <w:tcW w:type="dxa" w:w="2376"/>
            <w:vAlign w:val="center"/>
            <w:tcMar>
              <w:top w:w="100" w:type="dxa"/>
              <w:start w:w="120" w:type="dxa"/>
              <w:bottom w:w="100" w:type="dxa"/>
              <w:end w:w="120" w:type="dxa"/>
            </w:tcMar>
          </w:tcPr>
          <w:p>
            <w:r>
              <w:rPr>
                <w:color w:val="141414"/>
                <w:sz w:val="17"/>
              </w:rPr>
              <w:t>Offline sync</w:t>
            </w:r>
          </w:p>
        </w:tc>
        <w:tc>
          <w:tcPr>
            <w:tcW w:type="dxa" w:w="7272"/>
            <w:vAlign w:val="center"/>
            <w:tcMar>
              <w:top w:w="100" w:type="dxa"/>
              <w:start w:w="120" w:type="dxa"/>
              <w:bottom w:w="100" w:type="dxa"/>
              <w:end w:w="120" w:type="dxa"/>
            </w:tcMar>
          </w:tcPr>
          <w:p>
            <w:r>
              <w:rPr>
                <w:color w:val="141414"/>
                <w:sz w:val="17"/>
              </w:rPr>
              <w:t>Outbox durability, ordered replay, conflict classification and already-applied truth</w:t>
            </w:r>
          </w:p>
        </w:tc>
      </w:tr>
      <w:tr>
        <w:tc>
          <w:tcPr>
            <w:tcW w:type="dxa" w:w="2376"/>
            <w:vAlign w:val="center"/>
            <w:tcMar>
              <w:top w:w="100" w:type="dxa"/>
              <w:start w:w="120" w:type="dxa"/>
              <w:bottom w:w="100" w:type="dxa"/>
              <w:end w:w="120" w:type="dxa"/>
            </w:tcMar>
            <w:shd w:fill="F5F3EF"/>
          </w:tcPr>
          <w:p>
            <w:r>
              <w:rPr>
                <w:color w:val="141414"/>
                <w:sz w:val="17"/>
              </w:rPr>
              <w:t>Paper recovery</w:t>
            </w:r>
          </w:p>
        </w:tc>
        <w:tc>
          <w:tcPr>
            <w:tcW w:type="dxa" w:w="7272"/>
            <w:vAlign w:val="center"/>
            <w:tcMar>
              <w:top w:w="100" w:type="dxa"/>
              <w:start w:w="120" w:type="dxa"/>
              <w:bottom w:w="100" w:type="dxa"/>
              <w:end w:w="120" w:type="dxa"/>
            </w:tcMar>
            <w:shd w:fill="F5F3EF"/>
          </w:tcPr>
          <w:p>
            <w:r>
              <w:rPr>
                <w:color w:val="141414"/>
                <w:sz w:val="17"/>
              </w:rPr>
              <w:t>Reference preservation and duplicate suppression</w:t>
            </w:r>
          </w:p>
        </w:tc>
      </w:tr>
      <w:tr>
        <w:tc>
          <w:tcPr>
            <w:tcW w:type="dxa" w:w="2376"/>
            <w:vAlign w:val="center"/>
            <w:tcMar>
              <w:top w:w="100" w:type="dxa"/>
              <w:start w:w="120" w:type="dxa"/>
              <w:bottom w:w="100" w:type="dxa"/>
              <w:end w:w="120" w:type="dxa"/>
            </w:tcMar>
          </w:tcPr>
          <w:p>
            <w:r>
              <w:rPr>
                <w:color w:val="141414"/>
                <w:sz w:val="17"/>
              </w:rPr>
              <w:t>Accessibility</w:t>
            </w:r>
          </w:p>
        </w:tc>
        <w:tc>
          <w:tcPr>
            <w:tcW w:type="dxa" w:w="7272"/>
            <w:vAlign w:val="center"/>
            <w:tcMar>
              <w:top w:w="100" w:type="dxa"/>
              <w:start w:w="120" w:type="dxa"/>
              <w:bottom w:w="100" w:type="dxa"/>
              <w:end w:w="120" w:type="dxa"/>
            </w:tcMar>
          </w:tcPr>
          <w:p>
            <w:r>
              <w:rPr>
                <w:color w:val="141414"/>
                <w:sz w:val="17"/>
              </w:rPr>
              <w:t>Keyboard, screen reader semantics, focus, reflow, contrast and axe with human checks</w:t>
            </w:r>
          </w:p>
        </w:tc>
      </w:tr>
      <w:tr>
        <w:tc>
          <w:tcPr>
            <w:tcW w:type="dxa" w:w="2376"/>
            <w:vAlign w:val="center"/>
            <w:tcMar>
              <w:top w:w="100" w:type="dxa"/>
              <w:start w:w="120" w:type="dxa"/>
              <w:bottom w:w="100" w:type="dxa"/>
              <w:end w:w="120" w:type="dxa"/>
            </w:tcMar>
            <w:shd w:fill="F5F3EF"/>
          </w:tcPr>
          <w:p>
            <w:r>
              <w:rPr>
                <w:color w:val="141414"/>
                <w:sz w:val="17"/>
              </w:rPr>
              <w:t>Performance</w:t>
            </w:r>
          </w:p>
        </w:tc>
        <w:tc>
          <w:tcPr>
            <w:tcW w:type="dxa" w:w="7272"/>
            <w:vAlign w:val="center"/>
            <w:tcMar>
              <w:top w:w="100" w:type="dxa"/>
              <w:start w:w="120" w:type="dxa"/>
              <w:bottom w:w="100" w:type="dxa"/>
              <w:end w:w="120" w:type="dxa"/>
            </w:tcMar>
            <w:shd w:fill="F5F3EF"/>
          </w:tcPr>
          <w:p>
            <w:r>
              <w:rPr>
                <w:color w:val="141414"/>
                <w:sz w:val="17"/>
              </w:rPr>
              <w:t>Peak and soak metrics on production-like Postgres and edge hardware</w:t>
            </w:r>
          </w:p>
        </w:tc>
      </w:tr>
    </w:tbl>
    <w:p/>
    <w:p>
      <w:pPr>
        <w:pStyle w:val="Heading1"/>
      </w:pPr>
      <w:r>
        <w:t>End-to-end journeys</w:t>
      </w:r>
    </w:p>
    <w:p>
      <w:pPr>
        <w:pStyle w:val="ListNumber"/>
      </w:pPr>
      <w:r>
        <w:t>Concierge selects a table, chooses a checked-in seated guest and submits a three-vendor order.</w:t>
      </w:r>
    </w:p>
    <w:p>
      <w:pPr>
        <w:pStyle w:val="ListNumber"/>
      </w:pPr>
      <w:r>
        <w:t>Expeditor coordinates a complete course, runner delivers it, clearing team resets the table.</w:t>
      </w:r>
    </w:p>
    <w:p>
      <w:pPr>
        <w:pStyle w:val="ListNumber"/>
      </w:pPr>
      <w:r>
        <w:t>Guest moves tables; concierge uses search and records current service location without changing seating.</w:t>
      </w:r>
    </w:p>
    <w:p>
      <w:pPr>
        <w:pStyle w:val="ListNumber"/>
      </w:pPr>
      <w:r>
        <w:t>Named walk-in and unnamed guest are served and later reconciled without identity corruption.</w:t>
      </w:r>
    </w:p>
    <w:p>
      <w:pPr>
        <w:pStyle w:val="ListNumber"/>
      </w:pPr>
      <w:r>
        <w:t>Late arrival orders after the table’s first course.</w:t>
      </w:r>
    </w:p>
    <w:p>
      <w:pPr>
        <w:pStyle w:val="ListNumber"/>
      </w:pPr>
      <w:r>
        <w:t>A guest requests seconds; prior delivery remains intact and a new episode is fulfilled.</w:t>
      </w:r>
    </w:p>
    <w:p>
      <w:pPr>
        <w:pStyle w:val="ListNumber"/>
      </w:pPr>
      <w:r>
        <w:t>Vendor declares one item unavailable; authorised substitute and guest decision are recorded.</w:t>
      </w:r>
    </w:p>
    <w:p>
      <w:pPr>
        <w:pStyle w:val="ListNumber"/>
      </w:pPr>
      <w:r>
        <w:t>Severe allergy stops normal flow and produces an explicit capability decision.</w:t>
      </w:r>
    </w:p>
    <w:p>
      <w:pPr>
        <w:pStyle w:val="ListNumber"/>
      </w:pPr>
      <w:r>
        <w:t>Two devices replay the same offline command with one operational effect.</w:t>
      </w:r>
    </w:p>
    <w:p>
      <w:pPr>
        <w:pStyle w:val="ListNumber"/>
      </w:pPr>
      <w:r>
        <w:t>Internet fails; local service continues; cloud resynchronises without duplicate tasks.</w:t>
      </w:r>
    </w:p>
    <w:p>
      <w:pPr>
        <w:pStyle w:val="ListNumber"/>
      </w:pPr>
      <w:r>
        <w:t>Edge primary restarts; standby/recovery resumes within target.</w:t>
      </w:r>
    </w:p>
    <w:p>
      <w:pPr>
        <w:pStyle w:val="ListNumber"/>
      </w:pPr>
      <w:r>
        <w:t>Paper mode is activated, used and reconciled.</w:t>
      </w:r>
    </w:p>
    <w:p>
      <w:pPr>
        <w:pStyle w:val="ListNumber"/>
      </w:pPr>
      <w:r>
        <w:t>Planner/vendor/auditor attempt prohibited mutations and are refused server-side.</w:t>
      </w:r>
    </w:p>
    <w:p>
      <w:pPr>
        <w:pStyle w:val="ListNumber"/>
      </w:pPr>
      <w:r>
        <w:t>100 concurrent devices operate during a simulated course surge.</w:t>
      </w:r>
    </w:p>
    <w:p>
      <w:pPr>
        <w:pStyle w:val="Heading1"/>
      </w:pPr>
      <w:r>
        <w:t>Human usability evidence</w:t>
      </w:r>
    </w:p>
    <w:p>
      <w:pPr>
        <w:pStyle w:val="ListBullet"/>
      </w:pPr>
      <w:r>
        <w:t>First-time vendor staff trained for no more than 15 minutes.</w:t>
      </w:r>
    </w:p>
    <w:p>
      <w:pPr>
        <w:pStyle w:val="ListBullet"/>
      </w:pPr>
      <w:r>
        <w:t>Observed task completion, error rate, assistance requests and time on task.</w:t>
      </w:r>
    </w:p>
    <w:p>
      <w:pPr>
        <w:pStyle w:val="ListBullet"/>
      </w:pPr>
      <w:r>
        <w:t>Noise, glare, gloves, heat, hurried speech and weak connectivity included.</w:t>
      </w:r>
    </w:p>
    <w:p>
      <w:pPr>
        <w:pStyle w:val="ListBullet"/>
      </w:pPr>
      <w:r>
        <w:t>At least one mobility, low-vision and screen-reader workflow assessed with appropriate participants or qualified independent review.</w:t>
      </w:r>
    </w:p>
    <w:p>
      <w:pPr>
        <w:pStyle w:val="ListBullet"/>
      </w:pPr>
      <w:r>
        <w:t>No participant receives database or repository access.</w:t>
      </w:r>
    </w:p>
    <w:p>
      <w:pPr>
        <w:pStyle w:val="ListBullet"/>
      </w:pPr>
      <w:r>
        <w:t>All defects are classified as product, configuration, evidence, harness or resource failures.</w:t>
      </w:r>
    </w:p>
    <w:p>
      <w:pPr>
        <w:pStyle w:val="Heading1"/>
      </w:pPr>
      <w:r>
        <w:t>Acceptance thresholds</w:t>
      </w:r>
    </w:p>
    <w:p>
      <w:pPr>
        <w:pStyle w:val="ListBullet"/>
      </w:pPr>
      <w:r>
        <w:t>Zero lost or duplicated acknowledged orders.</w:t>
      </w:r>
    </w:p>
    <w:p>
      <w:pPr>
        <w:pStyle w:val="ListBullet"/>
      </w:pPr>
      <w:r>
        <w:t>Zero cross-event or cross-vendor disclosure.</w:t>
      </w:r>
    </w:p>
    <w:p>
      <w:pPr>
        <w:pStyle w:val="ListBullet"/>
      </w:pPr>
      <w:r>
        <w:t>Zero unsafe automatic allergy claim.</w:t>
      </w:r>
    </w:p>
    <w:p>
      <w:pPr>
        <w:pStyle w:val="ListBullet"/>
      </w:pPr>
      <w:r>
        <w:t>All critical end-to-end journeys pass.</w:t>
      </w:r>
    </w:p>
    <w:p>
      <w:pPr>
        <w:pStyle w:val="ListBullet"/>
      </w:pPr>
      <w:r>
        <w:t>Performance targets met at p95 and no hard ceiling breach or resource exhaustion.</w:t>
      </w:r>
    </w:p>
    <w:p>
      <w:pPr>
        <w:pStyle w:val="ListBullet"/>
      </w:pPr>
      <w:r>
        <w:t>Frontline training limits met without hidden operator intervention.</w:t>
      </w:r>
    </w:p>
    <w:p>
      <w:pPr>
        <w:pStyle w:val="ListBullet"/>
      </w:pPr>
      <w:r>
        <w:t>All blocker and high-severity defects closed; medium observations explicitly dispositioned.</w:t>
      </w:r>
    </w:p>
    <w:p>
      <w:pPr>
        <w:pStyle w:val="ListBullet"/>
      </w:pPr>
      <w:r>
        <w:t>productionAuthorised remains false and providers remain inactive unless separately authorised.</w:t>
      </w:r>
    </w:p>
    <w:p>
      <w:pPr>
        <w:pStyle w:val="Heading1"/>
      </w:pPr>
      <w:r>
        <w:t>Independent verification</w:t>
      </w:r>
    </w:p>
    <w:p>
      <w:r>
        <w:t>Claude verifies the deployed synthetic product through assigned browser roles. It does not receive repository access, credentials in chat, remediation authority or instructions to reproduce the automated suites. It verifies identity first, then role-specific usability, live state truth, offline/degraded indicators where safely exposed, responsive/accessibility behaviour and the required journeys. The verdict is PASS, PASS WITH CONTROLLED OBSERVATIONS, FAIL or BLOCKED.</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