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Maison Doclar EOS S06D Dining Service Command</w:t>
      </w:r>
    </w:p>
    <w:p>
      <w:pPr>
        <w:pStyle w:val="Subtitle"/>
      </w:pPr>
      <w:r>
        <w:t>Detailed Cursor execution programme</w:t>
      </w:r>
    </w:p>
    <w:p>
      <w:r>
        <w:rPr>
          <w:b/>
          <w:color w:val="8C6623"/>
        </w:rPr>
        <w:t>CEO RATIFICATION DRAFT — IMPLEMENTATION NOT AUTHORISED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30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20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Document version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1.0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Pack date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16 September 2026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Authority state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Draft for CEO ratification only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Implementation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Not authorised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Production posture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productionAuthorised:false; providers and communications inactive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Data boundary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Synthetic data only</w:t>
            </w:r>
          </w:p>
        </w:tc>
      </w:tr>
    </w:tbl>
    <w:p/>
    <w:p>
      <w:pPr>
        <w:pStyle w:val="Heading1"/>
      </w:pPr>
      <w:r>
        <w:t>Purpose and decision</w:t>
      </w:r>
    </w:p>
    <w:p>
      <w:r>
        <w:t>This document is a future execution prescription. It is not executable authority. Every phase remains dormant until the CEO authorises an exact milestone against a verified repository identity.</w:t>
      </w:r>
    </w:p>
    <w:p>
      <w:pPr>
        <w:pStyle w:val="Heading1"/>
      </w:pPr>
      <w:r>
        <w:t>Global Cursor command</w:t>
      </w:r>
    </w:p>
    <w:p>
      <w:r>
        <w:t>Work only in kglaw-Oluseyi/atelier-doclar on main and only in Railway project atelier-doclar, production, Event OS service when deployment is explicitly authorised. Preserve all protected files and unrelated changes. Use synthetic data only. Keep productionAuthorised:false, providers and communications inactive, and Control Tower untouched. Do not start EOS-S07. Do not infer acceptance from implementation. Stop for identity mismatch, authority contradiction, real data, provider activation, destructive migration, unresolved cross-event disclosure, food-safety ambiguity or a product blocker whose remediation would expand the authorised milestone.</w:t>
      </w:r>
    </w:p>
    <w:p>
      <w:pPr>
        <w:pStyle w:val="Heading1"/>
      </w:pPr>
      <w:r>
        <w:t>P00 Authority and compatibility inspection</w:t>
      </w:r>
    </w:p>
    <w:p>
      <w:r>
        <w:t>Read canonical state, roadmap, registers, accepted S02/S04A/S06/S06A controls, S06B/S06C packs, event-day runtime, guest/check-in/seating/accessibility/dietary/protocol/programme modules, current data/store/auth patterns and evidence index. Produce a no-mutation compatibility report and exact change map.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P01 Domain contracts and invariants</w:t>
      </w:r>
    </w:p>
    <w:p>
      <w:r>
        <w:t>Implement event-scoped Dining entities, value objects, lifecycle guards, additive order episodes, temporary subjects, menu editions, routes, tasks, bundles, custody and clearing. Add migrations and deterministic fixtures. No UI.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P02 Roles and isolation</w:t>
      </w:r>
    </w:p>
    <w:p>
      <w:r>
        <w:t>Add Dining roles, time-bounded vendor/station/device grants, server-side authorization and minimum-data projections. Prove cross-event and cross-vendor refusal.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P03 Menu and vendor configuration</w:t>
      </w:r>
    </w:p>
    <w:p>
      <w:r>
        <w:t>Build governed vendor, station, menu, item, modifier, availability and routing configuration with maker-checker and versioning. Existing orders pin prior editions.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P04 Order capture</w:t>
      </w:r>
    </w:p>
    <w:p>
      <w:r>
        <w:t>Build table selection, seating/check-in context, all-event guest search, free-name/unknown options, multi-menu basket, review and submit. Preserve separation between service location and seating authority.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P05 Repeat late and recovery orders</w:t>
      </w:r>
    </w:p>
    <w:p>
      <w:r>
        <w:t>Add late arrival, seconds, additional course, replacement and remake episodes with prior-order timeline and explicit reason. Prevent overwrite and accidental duplication.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P06 Vendor Prepare station</w:t>
      </w:r>
    </w:p>
    <w:p>
      <w:r>
        <w:t>Build large-screen installable PWA/kiosk queue with Accept, Ready, Unavailable, partial quantity, safety acknowledgement, print and reconnection truth.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P07 Expeditor Coordinate</w:t>
      </w:r>
    </w:p>
    <w:p>
      <w:r>
        <w:t>Build bundle readiness, staging positions, hold/release/split/exception decisions, course timing and at-risk warnings.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P08 Runner Deliver</w:t>
      </w:r>
    </w:p>
    <w:p>
      <w:r>
        <w:t>Build claim/assignment, collection, route, delivery and issue workflows with bundle-level scan/tap and manual fallback.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P09 Clear and reset</w:t>
      </w:r>
    </w:p>
    <w:p>
      <w:r>
        <w:t>Build shared clearing queue, custody to dirty receiving, reset confirmation and backstage vendor sorting.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P10 Safety and intelligence integration</w:t>
      </w:r>
    </w:p>
    <w:p>
      <w:r>
        <w:t>Integrate dietary/allergy capability decisions and approved accessibility, culture, religion, VIP/protocol outputs using minimum necessary disclosure. Never claim food safety automatically.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P11 Local edge and device runtime</w:t>
      </w:r>
    </w:p>
    <w:p>
      <w:r>
        <w:t>Implement edge command authority, device outbox/cache, idempotent replay, network mode indicators, managed device leases, standby and local printing.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P12 Paper continuity</w:t>
      </w:r>
    </w:p>
    <w:p>
      <w:r>
        <w:t>Implement reserved paper ranges, paper ledger import, matched/duplicate/unresolved reconciliation and recovery closure.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P13 Analytics and accountability</w:t>
      </w:r>
    </w:p>
    <w:p>
      <w:r>
        <w:t>Build operational dashboards that distinguish kitchen preparation, expeditor hold, runner travel, guest delay, recovery and clearing. Avoid simplistic vendor blame rankings.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P14 Qualification and evidence</w:t>
      </w:r>
    </w:p>
    <w:p>
      <w:r>
        <w:t>Run focused unit/integration/concurrency/security/accessibility/performance suites; production-like Postgres and edge simulation; 1,000-guest stress; browser E2E; evidence hashes and independent prompt.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P15 Deploy and independent verification</w:t>
      </w:r>
    </w:p>
    <w:p>
      <w:r>
        <w:t>Only under separate deployment authority: verify identity, deploy Event OS only, preserve safety posture, seed exact synthetic fixture, provide Claude prompt and stop for independent verdict.</w:t>
      </w:r>
    </w:p>
    <w:p>
      <w:pPr>
        <w:pStyle w:val="ListBullet"/>
      </w:pPr>
      <w:r>
        <w:t>Before: state exact HEAD, worktree status, application identity, intended files and evidence.</w:t>
      </w:r>
    </w:p>
    <w:p>
      <w:pPr>
        <w:pStyle w:val="ListBullet"/>
      </w:pPr>
      <w:r>
        <w:t>During: run focused tests for the phase; batch related remediation; do not rerun historical monoliths without authority.</w:t>
      </w:r>
    </w:p>
    <w:p>
      <w:pPr>
        <w:pStyle w:val="ListBullet"/>
      </w:pPr>
      <w:r>
        <w:t>After: report changed files, migrations, tests, timings, unresolved observations and next safe boundary.</w:t>
      </w:r>
    </w:p>
    <w:p>
      <w:pPr>
        <w:pStyle w:val="ListBullet"/>
      </w:pPr>
      <w:r>
        <w:t>Stop-loss: stop if the phase exceeds its boundary or evidence can no longer distinguish product truth from harness/resource failure.</w:t>
      </w:r>
    </w:p>
    <w:p>
      <w:pPr>
        <w:pStyle w:val="Heading1"/>
      </w:pPr>
      <w:r>
        <w:t>Required final Cursor report</w:t>
      </w:r>
    </w:p>
    <w:p>
      <w:pPr>
        <w:pStyle w:val="ListNumber"/>
      </w:pPr>
      <w:r>
        <w:t>Starting and ending HEAD; application, documentation and deployment-source identities kept separate.</w:t>
      </w:r>
    </w:p>
    <w:p>
      <w:pPr>
        <w:pStyle w:val="ListNumber"/>
      </w:pPr>
      <w:r>
        <w:t>Complete changed-file inventory and migrations.</w:t>
      </w:r>
    </w:p>
    <w:p>
      <w:pPr>
        <w:pStyle w:val="ListNumber"/>
      </w:pPr>
      <w:r>
        <w:t>Feature-by-feature completion against this pack.</w:t>
      </w:r>
    </w:p>
    <w:p>
      <w:pPr>
        <w:pStyle w:val="ListNumber"/>
      </w:pPr>
      <w:r>
        <w:t>Focused test commands and results, including durations and resource use.</w:t>
      </w:r>
    </w:p>
    <w:p>
      <w:pPr>
        <w:pStyle w:val="ListNumber"/>
      </w:pPr>
      <w:r>
        <w:t>Synthetic fixture identity and hashes.</w:t>
      </w:r>
    </w:p>
    <w:p>
      <w:pPr>
        <w:pStyle w:val="ListNumber"/>
      </w:pPr>
      <w:r>
        <w:t>Role/isolation, concurrency, idempotency, offline/recovery, accessibility and performance evidence.</w:t>
      </w:r>
    </w:p>
    <w:p>
      <w:pPr>
        <w:pStyle w:val="ListNumber"/>
      </w:pPr>
      <w:r>
        <w:t>Deployment truth and watch-pattern chronology if deployment occurred.</w:t>
      </w:r>
    </w:p>
    <w:p>
      <w:pPr>
        <w:pStyle w:val="ListNumber"/>
      </w:pPr>
      <w:r>
        <w:t>Safety posture and confirmation of no real data/provider activation.</w:t>
      </w:r>
    </w:p>
    <w:p>
      <w:pPr>
        <w:pStyle w:val="ListNumber"/>
      </w:pPr>
      <w:r>
        <w:t>Open defects and technical debts without silent closure.</w:t>
      </w:r>
    </w:p>
    <w:p>
      <w:pPr>
        <w:pStyle w:val="ListNumber"/>
      </w:pPr>
      <w:r>
        <w:t>Copy-ready independent Claude verification prompt.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