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Maison Doclar EOS S06D Dining Service Command</w:t>
      </w:r>
    </w:p>
    <w:p>
      <w:pPr>
        <w:pStyle w:val="Subtitle"/>
      </w:pPr>
      <w:r>
        <w:t>Traceability risk register and independent verification</w:t>
      </w:r>
    </w:p>
    <w:p>
      <w:r>
        <w:rPr>
          <w:b/>
          <w:color w:val="8C6623"/>
        </w:rPr>
        <w:t>CEO RATIFICATION DRAFT — IMPLEMENTATION NOT AUTHORISED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304"/>
            <w:shd w:fill="262626"/>
            <w:vAlign w:val="center"/>
            <w:tcMar>
              <w:top w:w="100" w:type="dxa"/>
              <w:start w:w="120" w:type="dxa"/>
              <w:bottom w:w="100" w:type="dxa"/>
              <w:end w:w="120" w:type="dxa"/>
            </w:tcMar>
          </w:tcPr>
          <w:p>
            <w:r>
              <w:rPr>
                <w:b/>
                <w:color w:val="FFFFFF"/>
                <w:sz w:val="18"/>
              </w:rPr>
              <w:t>Control</w:t>
            </w:r>
          </w:p>
        </w:tc>
        <w:tc>
          <w:tcPr>
            <w:tcW w:type="dxa" w:w="7200"/>
            <w:shd w:fill="262626"/>
            <w:vAlign w:val="center"/>
            <w:tcMar>
              <w:top w:w="100" w:type="dxa"/>
              <w:start w:w="120" w:type="dxa"/>
              <w:bottom w:w="100" w:type="dxa"/>
              <w:end w:w="120" w:type="dxa"/>
            </w:tcMar>
          </w:tcPr>
          <w:p>
            <w:r>
              <w:rPr>
                <w:b/>
                <w:color w:val="FFFFFF"/>
                <w:sz w:val="18"/>
              </w:rPr>
              <w:t>Value</w:t>
            </w:r>
          </w:p>
        </w:tc>
      </w:tr>
      <w:tr>
        <w:tc>
          <w:tcPr>
            <w:tcW w:type="dxa" w:w="2304"/>
            <w:vAlign w:val="center"/>
            <w:tcMar>
              <w:top w:w="100" w:type="dxa"/>
              <w:start w:w="120" w:type="dxa"/>
              <w:bottom w:w="100" w:type="dxa"/>
              <w:end w:w="120" w:type="dxa"/>
            </w:tcMar>
          </w:tcPr>
          <w:p>
            <w:r>
              <w:rPr>
                <w:color w:val="141414"/>
                <w:sz w:val="17"/>
              </w:rPr>
              <w:t>Document version</w:t>
            </w:r>
          </w:p>
        </w:tc>
        <w:tc>
          <w:tcPr>
            <w:tcW w:type="dxa" w:w="7200"/>
            <w:vAlign w:val="center"/>
            <w:tcMar>
              <w:top w:w="100" w:type="dxa"/>
              <w:start w:w="120" w:type="dxa"/>
              <w:bottom w:w="100" w:type="dxa"/>
              <w:end w:w="120" w:type="dxa"/>
            </w:tcMar>
          </w:tcPr>
          <w:p>
            <w:r>
              <w:rPr>
                <w:color w:val="141414"/>
                <w:sz w:val="17"/>
              </w:rPr>
              <w:t>1.0</w:t>
            </w:r>
          </w:p>
        </w:tc>
      </w:tr>
      <w:tr>
        <w:tc>
          <w:tcPr>
            <w:tcW w:type="dxa" w:w="2304"/>
            <w:vAlign w:val="center"/>
            <w:tcMar>
              <w:top w:w="100" w:type="dxa"/>
              <w:start w:w="120" w:type="dxa"/>
              <w:bottom w:w="100" w:type="dxa"/>
              <w:end w:w="120" w:type="dxa"/>
            </w:tcMar>
            <w:shd w:fill="F5F3EF"/>
          </w:tcPr>
          <w:p>
            <w:r>
              <w:rPr>
                <w:color w:val="141414"/>
                <w:sz w:val="17"/>
              </w:rPr>
              <w:t>Pack date</w:t>
            </w:r>
          </w:p>
        </w:tc>
        <w:tc>
          <w:tcPr>
            <w:tcW w:type="dxa" w:w="7200"/>
            <w:vAlign w:val="center"/>
            <w:tcMar>
              <w:top w:w="100" w:type="dxa"/>
              <w:start w:w="120" w:type="dxa"/>
              <w:bottom w:w="100" w:type="dxa"/>
              <w:end w:w="120" w:type="dxa"/>
            </w:tcMar>
            <w:shd w:fill="F5F3EF"/>
          </w:tcPr>
          <w:p>
            <w:r>
              <w:rPr>
                <w:color w:val="141414"/>
                <w:sz w:val="17"/>
              </w:rPr>
              <w:t>16 September 2026</w:t>
            </w:r>
          </w:p>
        </w:tc>
      </w:tr>
      <w:tr>
        <w:tc>
          <w:tcPr>
            <w:tcW w:type="dxa" w:w="2304"/>
            <w:vAlign w:val="center"/>
            <w:tcMar>
              <w:top w:w="100" w:type="dxa"/>
              <w:start w:w="120" w:type="dxa"/>
              <w:bottom w:w="100" w:type="dxa"/>
              <w:end w:w="120" w:type="dxa"/>
            </w:tcMar>
          </w:tcPr>
          <w:p>
            <w:r>
              <w:rPr>
                <w:color w:val="141414"/>
                <w:sz w:val="17"/>
              </w:rPr>
              <w:t>Authority state</w:t>
            </w:r>
          </w:p>
        </w:tc>
        <w:tc>
          <w:tcPr>
            <w:tcW w:type="dxa" w:w="7200"/>
            <w:vAlign w:val="center"/>
            <w:tcMar>
              <w:top w:w="100" w:type="dxa"/>
              <w:start w:w="120" w:type="dxa"/>
              <w:bottom w:w="100" w:type="dxa"/>
              <w:end w:w="120" w:type="dxa"/>
            </w:tcMar>
          </w:tcPr>
          <w:p>
            <w:r>
              <w:rPr>
                <w:color w:val="141414"/>
                <w:sz w:val="17"/>
              </w:rPr>
              <w:t>Draft for CEO ratification only</w:t>
            </w:r>
          </w:p>
        </w:tc>
      </w:tr>
      <w:tr>
        <w:tc>
          <w:tcPr>
            <w:tcW w:type="dxa" w:w="2304"/>
            <w:vAlign w:val="center"/>
            <w:tcMar>
              <w:top w:w="100" w:type="dxa"/>
              <w:start w:w="120" w:type="dxa"/>
              <w:bottom w:w="100" w:type="dxa"/>
              <w:end w:w="120" w:type="dxa"/>
            </w:tcMar>
            <w:shd w:fill="F5F3EF"/>
          </w:tcPr>
          <w:p>
            <w:r>
              <w:rPr>
                <w:color w:val="141414"/>
                <w:sz w:val="17"/>
              </w:rPr>
              <w:t>Implementation</w:t>
            </w:r>
          </w:p>
        </w:tc>
        <w:tc>
          <w:tcPr>
            <w:tcW w:type="dxa" w:w="7200"/>
            <w:vAlign w:val="center"/>
            <w:tcMar>
              <w:top w:w="100" w:type="dxa"/>
              <w:start w:w="120" w:type="dxa"/>
              <w:bottom w:w="100" w:type="dxa"/>
              <w:end w:w="120" w:type="dxa"/>
            </w:tcMar>
            <w:shd w:fill="F5F3EF"/>
          </w:tcPr>
          <w:p>
            <w:r>
              <w:rPr>
                <w:color w:val="141414"/>
                <w:sz w:val="17"/>
              </w:rPr>
              <w:t>Not authorised</w:t>
            </w:r>
          </w:p>
        </w:tc>
      </w:tr>
      <w:tr>
        <w:tc>
          <w:tcPr>
            <w:tcW w:type="dxa" w:w="2304"/>
            <w:vAlign w:val="center"/>
            <w:tcMar>
              <w:top w:w="100" w:type="dxa"/>
              <w:start w:w="120" w:type="dxa"/>
              <w:bottom w:w="100" w:type="dxa"/>
              <w:end w:w="120" w:type="dxa"/>
            </w:tcMar>
          </w:tcPr>
          <w:p>
            <w:r>
              <w:rPr>
                <w:color w:val="141414"/>
                <w:sz w:val="17"/>
              </w:rPr>
              <w:t>Production posture</w:t>
            </w:r>
          </w:p>
        </w:tc>
        <w:tc>
          <w:tcPr>
            <w:tcW w:type="dxa" w:w="7200"/>
            <w:vAlign w:val="center"/>
            <w:tcMar>
              <w:top w:w="100" w:type="dxa"/>
              <w:start w:w="120" w:type="dxa"/>
              <w:bottom w:w="100" w:type="dxa"/>
              <w:end w:w="120" w:type="dxa"/>
            </w:tcMar>
          </w:tcPr>
          <w:p>
            <w:r>
              <w:rPr>
                <w:color w:val="141414"/>
                <w:sz w:val="17"/>
              </w:rPr>
              <w:t>productionAuthorised:false; providers and communications inactive</w:t>
            </w:r>
          </w:p>
        </w:tc>
      </w:tr>
      <w:tr>
        <w:tc>
          <w:tcPr>
            <w:tcW w:type="dxa" w:w="2304"/>
            <w:vAlign w:val="center"/>
            <w:tcMar>
              <w:top w:w="100" w:type="dxa"/>
              <w:start w:w="120" w:type="dxa"/>
              <w:bottom w:w="100" w:type="dxa"/>
              <w:end w:w="120" w:type="dxa"/>
            </w:tcMar>
            <w:shd w:fill="F5F3EF"/>
          </w:tcPr>
          <w:p>
            <w:r>
              <w:rPr>
                <w:color w:val="141414"/>
                <w:sz w:val="17"/>
              </w:rPr>
              <w:t>Data boundary</w:t>
            </w:r>
          </w:p>
        </w:tc>
        <w:tc>
          <w:tcPr>
            <w:tcW w:type="dxa" w:w="7200"/>
            <w:vAlign w:val="center"/>
            <w:tcMar>
              <w:top w:w="100" w:type="dxa"/>
              <w:start w:w="120" w:type="dxa"/>
              <w:bottom w:w="100" w:type="dxa"/>
              <w:end w:w="120" w:type="dxa"/>
            </w:tcMar>
            <w:shd w:fill="F5F3EF"/>
          </w:tcPr>
          <w:p>
            <w:r>
              <w:rPr>
                <w:color w:val="141414"/>
                <w:sz w:val="17"/>
              </w:rPr>
              <w:t>Synthetic data only</w:t>
            </w:r>
          </w:p>
        </w:tc>
      </w:tr>
    </w:tbl>
    <w:p/>
    <w:p>
      <w:pPr>
        <w:pStyle w:val="Heading1"/>
      </w:pPr>
      <w:r>
        <w:t>Purpose and decision</w:t>
      </w:r>
    </w:p>
    <w:p>
      <w:r>
        <w:t>This document maps the stated business problem to product controls, records material risks and supplies a future independent browser-verification prescription.</w:t>
      </w:r>
    </w:p>
    <w:p>
      <w:pPr>
        <w:pStyle w:val="Heading1"/>
      </w:pPr>
      <w:r>
        <w:t>Problem to control traceability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520"/>
            <w:shd w:fill="262626"/>
            <w:vAlign w:val="center"/>
            <w:tcMar>
              <w:top w:w="100" w:type="dxa"/>
              <w:start w:w="120" w:type="dxa"/>
              <w:bottom w:w="100" w:type="dxa"/>
              <w:end w:w="120" w:type="dxa"/>
            </w:tcMar>
          </w:tcPr>
          <w:p>
            <w:r>
              <w:rPr>
                <w:b/>
                <w:color w:val="FFFFFF"/>
                <w:sz w:val="18"/>
              </w:rPr>
              <w:t>Problem</w:t>
            </w:r>
          </w:p>
        </w:tc>
        <w:tc>
          <w:tcPr>
            <w:tcW w:type="dxa" w:w="4104"/>
            <w:shd w:fill="262626"/>
            <w:vAlign w:val="center"/>
            <w:tcMar>
              <w:top w:w="100" w:type="dxa"/>
              <w:start w:w="120" w:type="dxa"/>
              <w:bottom w:w="100" w:type="dxa"/>
              <w:end w:w="120" w:type="dxa"/>
            </w:tcMar>
          </w:tcPr>
          <w:p>
            <w:r>
              <w:rPr>
                <w:b/>
                <w:color w:val="FFFFFF"/>
                <w:sz w:val="18"/>
              </w:rPr>
              <w:t>Canonical control</w:t>
            </w:r>
          </w:p>
        </w:tc>
        <w:tc>
          <w:tcPr>
            <w:tcW w:type="dxa" w:w="3096"/>
            <w:shd w:fill="262626"/>
            <w:vAlign w:val="center"/>
            <w:tcMar>
              <w:top w:w="100" w:type="dxa"/>
              <w:start w:w="120" w:type="dxa"/>
              <w:bottom w:w="100" w:type="dxa"/>
              <w:end w:w="120" w:type="dxa"/>
            </w:tcMar>
          </w:tcPr>
          <w:p>
            <w:r>
              <w:rPr>
                <w:b/>
                <w:color w:val="FFFFFF"/>
                <w:sz w:val="18"/>
              </w:rPr>
              <w:t>Primary evidence</w:t>
            </w:r>
          </w:p>
        </w:tc>
      </w:tr>
      <w:tr>
        <w:tc>
          <w:tcPr>
            <w:tcW w:type="dxa" w:w="2520"/>
            <w:vAlign w:val="center"/>
            <w:tcMar>
              <w:top w:w="100" w:type="dxa"/>
              <w:start w:w="120" w:type="dxa"/>
              <w:bottom w:w="100" w:type="dxa"/>
              <w:end w:w="120" w:type="dxa"/>
            </w:tcMar>
          </w:tcPr>
          <w:p>
            <w:r>
              <w:rPr>
                <w:color w:val="141414"/>
                <w:sz w:val="17"/>
              </w:rPr>
              <w:t>Fragmented guest ordering</w:t>
            </w:r>
          </w:p>
        </w:tc>
        <w:tc>
          <w:tcPr>
            <w:tcW w:type="dxa" w:w="4104"/>
            <w:vAlign w:val="center"/>
            <w:tcMar>
              <w:top w:w="100" w:type="dxa"/>
              <w:start w:w="120" w:type="dxa"/>
              <w:bottom w:w="100" w:type="dxa"/>
              <w:end w:w="120" w:type="dxa"/>
            </w:tcMar>
          </w:tcPr>
          <w:p>
            <w:r>
              <w:rPr>
                <w:color w:val="141414"/>
                <w:sz w:val="17"/>
              </w:rPr>
              <w:t>Unified Order interface and parent order</w:t>
            </w:r>
          </w:p>
        </w:tc>
        <w:tc>
          <w:tcPr>
            <w:tcW w:type="dxa" w:w="3096"/>
            <w:vAlign w:val="center"/>
            <w:tcMar>
              <w:top w:w="100" w:type="dxa"/>
              <w:start w:w="120" w:type="dxa"/>
              <w:bottom w:w="100" w:type="dxa"/>
              <w:end w:w="120" w:type="dxa"/>
            </w:tcMar>
          </w:tcPr>
          <w:p>
            <w:r>
              <w:rPr>
                <w:color w:val="141414"/>
                <w:sz w:val="17"/>
              </w:rPr>
              <w:t>Multi-vendor E2E journey</w:t>
            </w:r>
          </w:p>
        </w:tc>
      </w:tr>
      <w:tr>
        <w:tc>
          <w:tcPr>
            <w:tcW w:type="dxa" w:w="2520"/>
            <w:vAlign w:val="center"/>
            <w:tcMar>
              <w:top w:w="100" w:type="dxa"/>
              <w:start w:w="120" w:type="dxa"/>
              <w:bottom w:w="100" w:type="dxa"/>
              <w:end w:w="120" w:type="dxa"/>
            </w:tcMar>
            <w:shd w:fill="F5F3EF"/>
          </w:tcPr>
          <w:p>
            <w:r>
              <w:rPr>
                <w:color w:val="141414"/>
                <w:sz w:val="17"/>
              </w:rPr>
              <w:t>Wrong vendor routing</w:t>
            </w:r>
          </w:p>
        </w:tc>
        <w:tc>
          <w:tcPr>
            <w:tcW w:type="dxa" w:w="4104"/>
            <w:vAlign w:val="center"/>
            <w:tcMar>
              <w:top w:w="100" w:type="dxa"/>
              <w:start w:w="120" w:type="dxa"/>
              <w:bottom w:w="100" w:type="dxa"/>
              <w:end w:w="120" w:type="dxa"/>
            </w:tcMar>
            <w:shd w:fill="F5F3EF"/>
          </w:tcPr>
          <w:p>
            <w:r>
              <w:rPr>
                <w:color w:val="141414"/>
                <w:sz w:val="17"/>
              </w:rPr>
              <w:t>Versioned item route and exactly-once task split</w:t>
            </w:r>
          </w:p>
        </w:tc>
        <w:tc>
          <w:tcPr>
            <w:tcW w:type="dxa" w:w="3096"/>
            <w:vAlign w:val="center"/>
            <w:tcMar>
              <w:top w:w="100" w:type="dxa"/>
              <w:start w:w="120" w:type="dxa"/>
              <w:bottom w:w="100" w:type="dxa"/>
              <w:end w:w="120" w:type="dxa"/>
            </w:tcMar>
            <w:shd w:fill="F5F3EF"/>
          </w:tcPr>
          <w:p>
            <w:r>
              <w:rPr>
                <w:color w:val="141414"/>
                <w:sz w:val="17"/>
              </w:rPr>
              <w:t>Routing invariant suite</w:t>
            </w:r>
          </w:p>
        </w:tc>
      </w:tr>
      <w:tr>
        <w:tc>
          <w:tcPr>
            <w:tcW w:type="dxa" w:w="2520"/>
            <w:vAlign w:val="center"/>
            <w:tcMar>
              <w:top w:w="100" w:type="dxa"/>
              <w:start w:w="120" w:type="dxa"/>
              <w:bottom w:w="100" w:type="dxa"/>
              <w:end w:w="120" w:type="dxa"/>
            </w:tcMar>
          </w:tcPr>
          <w:p>
            <w:r>
              <w:rPr>
                <w:color w:val="141414"/>
                <w:sz w:val="17"/>
              </w:rPr>
              <w:t>Staggered delivery</w:t>
            </w:r>
          </w:p>
        </w:tc>
        <w:tc>
          <w:tcPr>
            <w:tcW w:type="dxa" w:w="4104"/>
            <w:vAlign w:val="center"/>
            <w:tcMar>
              <w:top w:w="100" w:type="dxa"/>
              <w:start w:w="120" w:type="dxa"/>
              <w:bottom w:w="100" w:type="dxa"/>
              <w:end w:w="120" w:type="dxa"/>
            </w:tcMar>
          </w:tcPr>
          <w:p>
            <w:r>
              <w:rPr>
                <w:color w:val="141414"/>
                <w:sz w:val="17"/>
              </w:rPr>
              <w:t>Bundle readiness and expeditor release</w:t>
            </w:r>
          </w:p>
        </w:tc>
        <w:tc>
          <w:tcPr>
            <w:tcW w:type="dxa" w:w="3096"/>
            <w:vAlign w:val="center"/>
            <w:tcMar>
              <w:top w:w="100" w:type="dxa"/>
              <w:start w:w="120" w:type="dxa"/>
              <w:bottom w:w="100" w:type="dxa"/>
              <w:end w:w="120" w:type="dxa"/>
            </w:tcMar>
          </w:tcPr>
          <w:p>
            <w:r>
              <w:rPr>
                <w:color w:val="141414"/>
                <w:sz w:val="17"/>
              </w:rPr>
              <w:t>Course timing journey</w:t>
            </w:r>
          </w:p>
        </w:tc>
      </w:tr>
      <w:tr>
        <w:tc>
          <w:tcPr>
            <w:tcW w:type="dxa" w:w="2520"/>
            <w:vAlign w:val="center"/>
            <w:tcMar>
              <w:top w:w="100" w:type="dxa"/>
              <w:start w:w="120" w:type="dxa"/>
              <w:bottom w:w="100" w:type="dxa"/>
              <w:end w:w="120" w:type="dxa"/>
            </w:tcMar>
            <w:shd w:fill="F5F3EF"/>
          </w:tcPr>
          <w:p>
            <w:r>
              <w:rPr>
                <w:color w:val="141414"/>
                <w:sz w:val="17"/>
              </w:rPr>
              <w:t>Caterer status burden</w:t>
            </w:r>
          </w:p>
        </w:tc>
        <w:tc>
          <w:tcPr>
            <w:tcW w:type="dxa" w:w="4104"/>
            <w:vAlign w:val="center"/>
            <w:tcMar>
              <w:top w:w="100" w:type="dxa"/>
              <w:start w:w="120" w:type="dxa"/>
              <w:bottom w:w="100" w:type="dxa"/>
              <w:end w:w="120" w:type="dxa"/>
            </w:tcMar>
            <w:shd w:fill="F5F3EF"/>
          </w:tcPr>
          <w:p>
            <w:r>
              <w:rPr>
                <w:color w:val="141414"/>
                <w:sz w:val="17"/>
              </w:rPr>
              <w:t>Three-action Prepare interface</w:t>
            </w:r>
          </w:p>
        </w:tc>
        <w:tc>
          <w:tcPr>
            <w:tcW w:type="dxa" w:w="3096"/>
            <w:vAlign w:val="center"/>
            <w:tcMar>
              <w:top w:w="100" w:type="dxa"/>
              <w:start w:w="120" w:type="dxa"/>
              <w:bottom w:w="100" w:type="dxa"/>
              <w:end w:w="120" w:type="dxa"/>
            </w:tcMar>
            <w:shd w:fill="F5F3EF"/>
          </w:tcPr>
          <w:p>
            <w:r>
              <w:rPr>
                <w:color w:val="141414"/>
                <w:sz w:val="17"/>
              </w:rPr>
              <w:t>Vendor novice test</w:t>
            </w:r>
          </w:p>
        </w:tc>
      </w:tr>
      <w:tr>
        <w:tc>
          <w:tcPr>
            <w:tcW w:type="dxa" w:w="2520"/>
            <w:vAlign w:val="center"/>
            <w:tcMar>
              <w:top w:w="100" w:type="dxa"/>
              <w:start w:w="120" w:type="dxa"/>
              <w:bottom w:w="100" w:type="dxa"/>
              <w:end w:w="120" w:type="dxa"/>
            </w:tcMar>
          </w:tcPr>
          <w:p>
            <w:r>
              <w:rPr>
                <w:color w:val="141414"/>
                <w:sz w:val="17"/>
              </w:rPr>
              <w:t>Unclear custody</w:t>
            </w:r>
          </w:p>
        </w:tc>
        <w:tc>
          <w:tcPr>
            <w:tcW w:type="dxa" w:w="4104"/>
            <w:vAlign w:val="center"/>
            <w:tcMar>
              <w:top w:w="100" w:type="dxa"/>
              <w:start w:w="120" w:type="dxa"/>
              <w:bottom w:w="100" w:type="dxa"/>
              <w:end w:w="120" w:type="dxa"/>
            </w:tcMar>
          </w:tcPr>
          <w:p>
            <w:r>
              <w:rPr>
                <w:color w:val="141414"/>
                <w:sz w:val="17"/>
              </w:rPr>
              <w:t>Ready, staged, released, collected and delivered states</w:t>
            </w:r>
          </w:p>
        </w:tc>
        <w:tc>
          <w:tcPr>
            <w:tcW w:type="dxa" w:w="3096"/>
            <w:vAlign w:val="center"/>
            <w:tcMar>
              <w:top w:w="100" w:type="dxa"/>
              <w:start w:w="120" w:type="dxa"/>
              <w:bottom w:w="100" w:type="dxa"/>
              <w:end w:w="120" w:type="dxa"/>
            </w:tcMar>
          </w:tcPr>
          <w:p>
            <w:r>
              <w:rPr>
                <w:color w:val="141414"/>
                <w:sz w:val="17"/>
              </w:rPr>
              <w:t>Custody audit</w:t>
            </w:r>
          </w:p>
        </w:tc>
      </w:tr>
      <w:tr>
        <w:tc>
          <w:tcPr>
            <w:tcW w:type="dxa" w:w="2520"/>
            <w:vAlign w:val="center"/>
            <w:tcMar>
              <w:top w:w="100" w:type="dxa"/>
              <w:start w:w="120" w:type="dxa"/>
              <w:bottom w:w="100" w:type="dxa"/>
              <w:end w:w="120" w:type="dxa"/>
            </w:tcMar>
            <w:shd w:fill="F5F3EF"/>
          </w:tcPr>
          <w:p>
            <w:r>
              <w:rPr>
                <w:color w:val="141414"/>
                <w:sz w:val="17"/>
              </w:rPr>
              <w:t>Incomplete clearing</w:t>
            </w:r>
          </w:p>
        </w:tc>
        <w:tc>
          <w:tcPr>
            <w:tcW w:type="dxa" w:w="4104"/>
            <w:vAlign w:val="center"/>
            <w:tcMar>
              <w:top w:w="100" w:type="dxa"/>
              <w:start w:w="120" w:type="dxa"/>
              <w:bottom w:w="100" w:type="dxa"/>
              <w:end w:w="120" w:type="dxa"/>
            </w:tcMar>
            <w:shd w:fill="F5F3EF"/>
          </w:tcPr>
          <w:p>
            <w:r>
              <w:rPr>
                <w:color w:val="141414"/>
                <w:sz w:val="17"/>
              </w:rPr>
              <w:t>Shared Clear queue and dirty receiving</w:t>
            </w:r>
          </w:p>
        </w:tc>
        <w:tc>
          <w:tcPr>
            <w:tcW w:type="dxa" w:w="3096"/>
            <w:vAlign w:val="center"/>
            <w:tcMar>
              <w:top w:w="100" w:type="dxa"/>
              <w:start w:w="120" w:type="dxa"/>
              <w:bottom w:w="100" w:type="dxa"/>
              <w:end w:w="120" w:type="dxa"/>
            </w:tcMar>
            <w:shd w:fill="F5F3EF"/>
          </w:tcPr>
          <w:p>
            <w:r>
              <w:rPr>
                <w:color w:val="141414"/>
                <w:sz w:val="17"/>
              </w:rPr>
              <w:t>Clear/reset journey</w:t>
            </w:r>
          </w:p>
        </w:tc>
      </w:tr>
      <w:tr>
        <w:tc>
          <w:tcPr>
            <w:tcW w:type="dxa" w:w="2520"/>
            <w:vAlign w:val="center"/>
            <w:tcMar>
              <w:top w:w="100" w:type="dxa"/>
              <w:start w:w="120" w:type="dxa"/>
              <w:bottom w:w="100" w:type="dxa"/>
              <w:end w:w="120" w:type="dxa"/>
            </w:tcMar>
          </w:tcPr>
          <w:p>
            <w:r>
              <w:rPr>
                <w:color w:val="141414"/>
                <w:sz w:val="17"/>
              </w:rPr>
              <w:t>Guest moves table</w:t>
            </w:r>
          </w:p>
        </w:tc>
        <w:tc>
          <w:tcPr>
            <w:tcW w:type="dxa" w:w="4104"/>
            <w:vAlign w:val="center"/>
            <w:tcMar>
              <w:top w:w="100" w:type="dxa"/>
              <w:start w:w="120" w:type="dxa"/>
              <w:bottom w:w="100" w:type="dxa"/>
              <w:end w:w="120" w:type="dxa"/>
            </w:tcMar>
          </w:tcPr>
          <w:p>
            <w:r>
              <w:rPr>
                <w:color w:val="141414"/>
                <w:sz w:val="17"/>
              </w:rPr>
              <w:t>Service location separate from seating</w:t>
            </w:r>
          </w:p>
        </w:tc>
        <w:tc>
          <w:tcPr>
            <w:tcW w:type="dxa" w:w="3096"/>
            <w:vAlign w:val="center"/>
            <w:tcMar>
              <w:top w:w="100" w:type="dxa"/>
              <w:start w:w="120" w:type="dxa"/>
              <w:bottom w:w="100" w:type="dxa"/>
              <w:end w:w="120" w:type="dxa"/>
            </w:tcMar>
          </w:tcPr>
          <w:p>
            <w:r>
              <w:rPr>
                <w:color w:val="141414"/>
                <w:sz w:val="17"/>
              </w:rPr>
              <w:t>Movement journey</w:t>
            </w:r>
          </w:p>
        </w:tc>
      </w:tr>
      <w:tr>
        <w:tc>
          <w:tcPr>
            <w:tcW w:type="dxa" w:w="2520"/>
            <w:vAlign w:val="center"/>
            <w:tcMar>
              <w:top w:w="100" w:type="dxa"/>
              <w:start w:w="120" w:type="dxa"/>
              <w:bottom w:w="100" w:type="dxa"/>
              <w:end w:w="120" w:type="dxa"/>
            </w:tcMar>
            <w:shd w:fill="F5F3EF"/>
          </w:tcPr>
          <w:p>
            <w:r>
              <w:rPr>
                <w:color w:val="141414"/>
                <w:sz w:val="17"/>
              </w:rPr>
              <w:t>Late arrival/seconds</w:t>
            </w:r>
          </w:p>
        </w:tc>
        <w:tc>
          <w:tcPr>
            <w:tcW w:type="dxa" w:w="4104"/>
            <w:vAlign w:val="center"/>
            <w:tcMar>
              <w:top w:w="100" w:type="dxa"/>
              <w:start w:w="120" w:type="dxa"/>
              <w:bottom w:w="100" w:type="dxa"/>
              <w:end w:w="120" w:type="dxa"/>
            </w:tcMar>
            <w:shd w:fill="F5F3EF"/>
          </w:tcPr>
          <w:p>
            <w:r>
              <w:rPr>
                <w:color w:val="141414"/>
                <w:sz w:val="17"/>
              </w:rPr>
              <w:t>Additive order episodes</w:t>
            </w:r>
          </w:p>
        </w:tc>
        <w:tc>
          <w:tcPr>
            <w:tcW w:type="dxa" w:w="3096"/>
            <w:vAlign w:val="center"/>
            <w:tcMar>
              <w:top w:w="100" w:type="dxa"/>
              <w:start w:w="120" w:type="dxa"/>
              <w:bottom w:w="100" w:type="dxa"/>
              <w:end w:w="120" w:type="dxa"/>
            </w:tcMar>
            <w:shd w:fill="F5F3EF"/>
          </w:tcPr>
          <w:p>
            <w:r>
              <w:rPr>
                <w:color w:val="141414"/>
                <w:sz w:val="17"/>
              </w:rPr>
              <w:t>Repeat-order journey</w:t>
            </w:r>
          </w:p>
        </w:tc>
      </w:tr>
      <w:tr>
        <w:tc>
          <w:tcPr>
            <w:tcW w:type="dxa" w:w="2520"/>
            <w:vAlign w:val="center"/>
            <w:tcMar>
              <w:top w:w="100" w:type="dxa"/>
              <w:start w:w="120" w:type="dxa"/>
              <w:bottom w:w="100" w:type="dxa"/>
              <w:end w:w="120" w:type="dxa"/>
            </w:tcMar>
          </w:tcPr>
          <w:p>
            <w:r>
              <w:rPr>
                <w:color w:val="141414"/>
                <w:sz w:val="17"/>
              </w:rPr>
              <w:t>Internet failure</w:t>
            </w:r>
          </w:p>
        </w:tc>
        <w:tc>
          <w:tcPr>
            <w:tcW w:type="dxa" w:w="4104"/>
            <w:vAlign w:val="center"/>
            <w:tcMar>
              <w:top w:w="100" w:type="dxa"/>
              <w:start w:w="120" w:type="dxa"/>
              <w:bottom w:w="100" w:type="dxa"/>
              <w:end w:w="120" w:type="dxa"/>
            </w:tcMar>
          </w:tcPr>
          <w:p>
            <w:r>
              <w:rPr>
                <w:color w:val="141414"/>
                <w:sz w:val="17"/>
              </w:rPr>
              <w:t>Edge authority and local outbox</w:t>
            </w:r>
          </w:p>
        </w:tc>
        <w:tc>
          <w:tcPr>
            <w:tcW w:type="dxa" w:w="3096"/>
            <w:vAlign w:val="center"/>
            <w:tcMar>
              <w:top w:w="100" w:type="dxa"/>
              <w:start w:w="120" w:type="dxa"/>
              <w:bottom w:w="100" w:type="dxa"/>
              <w:end w:w="120" w:type="dxa"/>
            </w:tcMar>
          </w:tcPr>
          <w:p>
            <w:r>
              <w:rPr>
                <w:color w:val="141414"/>
                <w:sz w:val="17"/>
              </w:rPr>
              <w:t>Offline/recovery suite</w:t>
            </w:r>
          </w:p>
        </w:tc>
      </w:tr>
      <w:tr>
        <w:tc>
          <w:tcPr>
            <w:tcW w:type="dxa" w:w="2520"/>
            <w:vAlign w:val="center"/>
            <w:tcMar>
              <w:top w:w="100" w:type="dxa"/>
              <w:start w:w="120" w:type="dxa"/>
              <w:bottom w:w="100" w:type="dxa"/>
              <w:end w:w="120" w:type="dxa"/>
            </w:tcMar>
            <w:shd w:fill="F5F3EF"/>
          </w:tcPr>
          <w:p>
            <w:r>
              <w:rPr>
                <w:color w:val="141414"/>
                <w:sz w:val="17"/>
              </w:rPr>
              <w:t>Paper duplication</w:t>
            </w:r>
          </w:p>
        </w:tc>
        <w:tc>
          <w:tcPr>
            <w:tcW w:type="dxa" w:w="4104"/>
            <w:vAlign w:val="center"/>
            <w:tcMar>
              <w:top w:w="100" w:type="dxa"/>
              <w:start w:w="120" w:type="dxa"/>
              <w:bottom w:w="100" w:type="dxa"/>
              <w:end w:w="120" w:type="dxa"/>
            </w:tcMar>
            <w:shd w:fill="F5F3EF"/>
          </w:tcPr>
          <w:p>
            <w:r>
              <w:rPr>
                <w:color w:val="141414"/>
                <w:sz w:val="17"/>
              </w:rPr>
              <w:t>Reserved IDs and reconciliation</w:t>
            </w:r>
          </w:p>
        </w:tc>
        <w:tc>
          <w:tcPr>
            <w:tcW w:type="dxa" w:w="3096"/>
            <w:vAlign w:val="center"/>
            <w:tcMar>
              <w:top w:w="100" w:type="dxa"/>
              <w:start w:w="120" w:type="dxa"/>
              <w:bottom w:w="100" w:type="dxa"/>
              <w:end w:w="120" w:type="dxa"/>
            </w:tcMar>
            <w:shd w:fill="F5F3EF"/>
          </w:tcPr>
          <w:p>
            <w:r>
              <w:rPr>
                <w:color w:val="141414"/>
                <w:sz w:val="17"/>
              </w:rPr>
              <w:t>Paper recovery journey</w:t>
            </w:r>
          </w:p>
        </w:tc>
      </w:tr>
      <w:tr>
        <w:tc>
          <w:tcPr>
            <w:tcW w:type="dxa" w:w="2520"/>
            <w:vAlign w:val="center"/>
            <w:tcMar>
              <w:top w:w="100" w:type="dxa"/>
              <w:start w:w="120" w:type="dxa"/>
              <w:bottom w:w="100" w:type="dxa"/>
              <w:end w:w="120" w:type="dxa"/>
            </w:tcMar>
          </w:tcPr>
          <w:p>
            <w:r>
              <w:rPr>
                <w:color w:val="141414"/>
                <w:sz w:val="17"/>
              </w:rPr>
              <w:t>Allergy overclaim</w:t>
            </w:r>
          </w:p>
        </w:tc>
        <w:tc>
          <w:tcPr>
            <w:tcW w:type="dxa" w:w="4104"/>
            <w:vAlign w:val="center"/>
            <w:tcMar>
              <w:top w:w="100" w:type="dxa"/>
              <w:start w:w="120" w:type="dxa"/>
              <w:bottom w:w="100" w:type="dxa"/>
              <w:end w:w="120" w:type="dxa"/>
            </w:tcMar>
          </w:tcPr>
          <w:p>
            <w:r>
              <w:rPr>
                <w:color w:val="141414"/>
                <w:sz w:val="17"/>
              </w:rPr>
              <w:t>Explicit capability decision and stop rule</w:t>
            </w:r>
          </w:p>
        </w:tc>
        <w:tc>
          <w:tcPr>
            <w:tcW w:type="dxa" w:w="3096"/>
            <w:vAlign w:val="center"/>
            <w:tcMar>
              <w:top w:w="100" w:type="dxa"/>
              <w:start w:w="120" w:type="dxa"/>
              <w:bottom w:w="100" w:type="dxa"/>
              <w:end w:w="120" w:type="dxa"/>
            </w:tcMar>
          </w:tcPr>
          <w:p>
            <w:r>
              <w:rPr>
                <w:color w:val="141414"/>
                <w:sz w:val="17"/>
              </w:rPr>
              <w:t>Safety boundary tests</w:t>
            </w:r>
          </w:p>
        </w:tc>
      </w:tr>
      <w:tr>
        <w:tc>
          <w:tcPr>
            <w:tcW w:type="dxa" w:w="2520"/>
            <w:vAlign w:val="center"/>
            <w:tcMar>
              <w:top w:w="100" w:type="dxa"/>
              <w:start w:w="120" w:type="dxa"/>
              <w:bottom w:w="100" w:type="dxa"/>
              <w:end w:w="120" w:type="dxa"/>
            </w:tcMar>
            <w:shd w:fill="F5F3EF"/>
          </w:tcPr>
          <w:p>
            <w:r>
              <w:rPr>
                <w:color w:val="141414"/>
                <w:sz w:val="17"/>
              </w:rPr>
              <w:t>Vendor data leakage</w:t>
            </w:r>
          </w:p>
        </w:tc>
        <w:tc>
          <w:tcPr>
            <w:tcW w:type="dxa" w:w="4104"/>
            <w:vAlign w:val="center"/>
            <w:tcMar>
              <w:top w:w="100" w:type="dxa"/>
              <w:start w:w="120" w:type="dxa"/>
              <w:bottom w:w="100" w:type="dxa"/>
              <w:end w:w="120" w:type="dxa"/>
            </w:tcMar>
            <w:shd w:fill="F5F3EF"/>
          </w:tcPr>
          <w:p>
            <w:r>
              <w:rPr>
                <w:color w:val="141414"/>
                <w:sz w:val="17"/>
              </w:rPr>
              <w:t>Minimum projection and scoped grants</w:t>
            </w:r>
          </w:p>
        </w:tc>
        <w:tc>
          <w:tcPr>
            <w:tcW w:type="dxa" w:w="3096"/>
            <w:vAlign w:val="center"/>
            <w:tcMar>
              <w:top w:w="100" w:type="dxa"/>
              <w:start w:w="120" w:type="dxa"/>
              <w:bottom w:w="100" w:type="dxa"/>
              <w:end w:w="120" w:type="dxa"/>
            </w:tcMar>
            <w:shd w:fill="F5F3EF"/>
          </w:tcPr>
          <w:p>
            <w:r>
              <w:rPr>
                <w:color w:val="141414"/>
                <w:sz w:val="17"/>
              </w:rPr>
              <w:t>Isolation tests</w:t>
            </w:r>
          </w:p>
        </w:tc>
      </w:tr>
    </w:tbl>
    <w:p/>
    <w:p>
      <w:pPr>
        <w:pStyle w:val="Heading1"/>
      </w:pPr>
      <w:r>
        <w:t>Material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376"/>
            <w:shd w:fill="262626"/>
            <w:vAlign w:val="center"/>
            <w:tcMar>
              <w:top w:w="100" w:type="dxa"/>
              <w:start w:w="120" w:type="dxa"/>
              <w:bottom w:w="100" w:type="dxa"/>
              <w:end w:w="120" w:type="dxa"/>
            </w:tcMar>
          </w:tcPr>
          <w:p>
            <w:r>
              <w:rPr>
                <w:b/>
                <w:color w:val="FFFFFF"/>
                <w:sz w:val="18"/>
              </w:rPr>
              <w:t>Risk</w:t>
            </w:r>
          </w:p>
        </w:tc>
        <w:tc>
          <w:tcPr>
            <w:tcW w:type="dxa" w:w="4320"/>
            <w:shd w:fill="262626"/>
            <w:vAlign w:val="center"/>
            <w:tcMar>
              <w:top w:w="100" w:type="dxa"/>
              <w:start w:w="120" w:type="dxa"/>
              <w:bottom w:w="100" w:type="dxa"/>
              <w:end w:w="120" w:type="dxa"/>
            </w:tcMar>
          </w:tcPr>
          <w:p>
            <w:r>
              <w:rPr>
                <w:b/>
                <w:color w:val="FFFFFF"/>
                <w:sz w:val="18"/>
              </w:rPr>
              <w:t>Control</w:t>
            </w:r>
          </w:p>
        </w:tc>
        <w:tc>
          <w:tcPr>
            <w:tcW w:type="dxa" w:w="3024"/>
            <w:shd w:fill="262626"/>
            <w:vAlign w:val="center"/>
            <w:tcMar>
              <w:top w:w="100" w:type="dxa"/>
              <w:start w:w="120" w:type="dxa"/>
              <w:bottom w:w="100" w:type="dxa"/>
              <w:end w:w="120" w:type="dxa"/>
            </w:tcMar>
          </w:tcPr>
          <w:p>
            <w:r>
              <w:rPr>
                <w:b/>
                <w:color w:val="FFFFFF"/>
                <w:sz w:val="18"/>
              </w:rPr>
              <w:t>Acceptance posture</w:t>
            </w:r>
          </w:p>
        </w:tc>
      </w:tr>
      <w:tr>
        <w:tc>
          <w:tcPr>
            <w:tcW w:type="dxa" w:w="2376"/>
            <w:vAlign w:val="center"/>
            <w:tcMar>
              <w:top w:w="100" w:type="dxa"/>
              <w:start w:w="120" w:type="dxa"/>
              <w:bottom w:w="100" w:type="dxa"/>
              <w:end w:w="120" w:type="dxa"/>
            </w:tcMar>
          </w:tcPr>
          <w:p>
            <w:r>
              <w:rPr>
                <w:color w:val="141414"/>
                <w:sz w:val="17"/>
              </w:rPr>
              <w:t>Frontline overload</w:t>
            </w:r>
          </w:p>
        </w:tc>
        <w:tc>
          <w:tcPr>
            <w:tcW w:type="dxa" w:w="4320"/>
            <w:vAlign w:val="center"/>
            <w:tcMar>
              <w:top w:w="100" w:type="dxa"/>
              <w:start w:w="120" w:type="dxa"/>
              <w:bottom w:w="100" w:type="dxa"/>
              <w:end w:w="120" w:type="dxa"/>
            </w:tcMar>
          </w:tcPr>
          <w:p>
            <w:r>
              <w:rPr>
                <w:color w:val="141414"/>
                <w:sz w:val="17"/>
              </w:rPr>
              <w:t>Six interfaces, action budget, training gate</w:t>
            </w:r>
          </w:p>
        </w:tc>
        <w:tc>
          <w:tcPr>
            <w:tcW w:type="dxa" w:w="3024"/>
            <w:vAlign w:val="center"/>
            <w:tcMar>
              <w:top w:w="100" w:type="dxa"/>
              <w:start w:w="120" w:type="dxa"/>
              <w:bottom w:w="100" w:type="dxa"/>
              <w:end w:w="120" w:type="dxa"/>
            </w:tcMar>
          </w:tcPr>
          <w:p>
            <w:r>
              <w:rPr>
                <w:color w:val="141414"/>
                <w:sz w:val="17"/>
              </w:rPr>
              <w:t>Block if novice targets fail</w:t>
            </w:r>
          </w:p>
        </w:tc>
      </w:tr>
      <w:tr>
        <w:tc>
          <w:tcPr>
            <w:tcW w:type="dxa" w:w="2376"/>
            <w:vAlign w:val="center"/>
            <w:tcMar>
              <w:top w:w="100" w:type="dxa"/>
              <w:start w:w="120" w:type="dxa"/>
              <w:bottom w:w="100" w:type="dxa"/>
              <w:end w:w="120" w:type="dxa"/>
            </w:tcMar>
            <w:shd w:fill="F5F3EF"/>
          </w:tcPr>
          <w:p>
            <w:r>
              <w:rPr>
                <w:color w:val="141414"/>
                <w:sz w:val="17"/>
              </w:rPr>
              <w:t>Stale seating context</w:t>
            </w:r>
          </w:p>
        </w:tc>
        <w:tc>
          <w:tcPr>
            <w:tcW w:type="dxa" w:w="4320"/>
            <w:vAlign w:val="center"/>
            <w:tcMar>
              <w:top w:w="100" w:type="dxa"/>
              <w:start w:w="120" w:type="dxa"/>
              <w:bottom w:w="100" w:type="dxa"/>
              <w:end w:w="120" w:type="dxa"/>
            </w:tcMar>
            <w:shd w:fill="F5F3EF"/>
          </w:tcPr>
          <w:p>
            <w:r>
              <w:rPr>
                <w:color w:val="141414"/>
                <w:sz w:val="17"/>
              </w:rPr>
              <w:t>Authority version and service-location separation</w:t>
            </w:r>
          </w:p>
        </w:tc>
        <w:tc>
          <w:tcPr>
            <w:tcW w:type="dxa" w:w="3024"/>
            <w:vAlign w:val="center"/>
            <w:tcMar>
              <w:top w:w="100" w:type="dxa"/>
              <w:start w:w="120" w:type="dxa"/>
              <w:bottom w:w="100" w:type="dxa"/>
              <w:end w:w="120" w:type="dxa"/>
            </w:tcMar>
            <w:shd w:fill="F5F3EF"/>
          </w:tcPr>
          <w:p>
            <w:r>
              <w:rPr>
                <w:color w:val="141414"/>
                <w:sz w:val="17"/>
              </w:rPr>
              <w:t>Explicit warning/reconciliation</w:t>
            </w:r>
          </w:p>
        </w:tc>
      </w:tr>
      <w:tr>
        <w:tc>
          <w:tcPr>
            <w:tcW w:type="dxa" w:w="2376"/>
            <w:vAlign w:val="center"/>
            <w:tcMar>
              <w:top w:w="100" w:type="dxa"/>
              <w:start w:w="120" w:type="dxa"/>
              <w:bottom w:w="100" w:type="dxa"/>
              <w:end w:w="120" w:type="dxa"/>
            </w:tcMar>
          </w:tcPr>
          <w:p>
            <w:r>
              <w:rPr>
                <w:color w:val="141414"/>
                <w:sz w:val="17"/>
              </w:rPr>
              <w:t>Walk-in identity pollution</w:t>
            </w:r>
          </w:p>
        </w:tc>
        <w:tc>
          <w:tcPr>
            <w:tcW w:type="dxa" w:w="4320"/>
            <w:vAlign w:val="center"/>
            <w:tcMar>
              <w:top w:w="100" w:type="dxa"/>
              <w:start w:w="120" w:type="dxa"/>
              <w:bottom w:w="100" w:type="dxa"/>
              <w:end w:w="120" w:type="dxa"/>
            </w:tcMar>
          </w:tcPr>
          <w:p>
            <w:r>
              <w:rPr>
                <w:color w:val="141414"/>
                <w:sz w:val="17"/>
              </w:rPr>
              <w:t>Temporary DiningSubject</w:t>
            </w:r>
          </w:p>
        </w:tc>
        <w:tc>
          <w:tcPr>
            <w:tcW w:type="dxa" w:w="3024"/>
            <w:vAlign w:val="center"/>
            <w:tcMar>
              <w:top w:w="100" w:type="dxa"/>
              <w:start w:w="120" w:type="dxa"/>
              <w:bottom w:w="100" w:type="dxa"/>
              <w:end w:w="120" w:type="dxa"/>
            </w:tcMar>
          </w:tcPr>
          <w:p>
            <w:r>
              <w:rPr>
                <w:color w:val="141414"/>
                <w:sz w:val="17"/>
              </w:rPr>
              <w:t>No silent promotion</w:t>
            </w:r>
          </w:p>
        </w:tc>
      </w:tr>
      <w:tr>
        <w:tc>
          <w:tcPr>
            <w:tcW w:type="dxa" w:w="2376"/>
            <w:vAlign w:val="center"/>
            <w:tcMar>
              <w:top w:w="100" w:type="dxa"/>
              <w:start w:w="120" w:type="dxa"/>
              <w:bottom w:w="100" w:type="dxa"/>
              <w:end w:w="120" w:type="dxa"/>
            </w:tcMar>
            <w:shd w:fill="F5F3EF"/>
          </w:tcPr>
          <w:p>
            <w:r>
              <w:rPr>
                <w:color w:val="141414"/>
                <w:sz w:val="17"/>
              </w:rPr>
              <w:t>Duplicate offline order</w:t>
            </w:r>
          </w:p>
        </w:tc>
        <w:tc>
          <w:tcPr>
            <w:tcW w:type="dxa" w:w="4320"/>
            <w:vAlign w:val="center"/>
            <w:tcMar>
              <w:top w:w="100" w:type="dxa"/>
              <w:start w:w="120" w:type="dxa"/>
              <w:bottom w:w="100" w:type="dxa"/>
              <w:end w:w="120" w:type="dxa"/>
            </w:tcMar>
            <w:shd w:fill="F5F3EF"/>
          </w:tcPr>
          <w:p>
            <w:r>
              <w:rPr>
                <w:color w:val="141414"/>
                <w:sz w:val="17"/>
              </w:rPr>
              <w:t>Idempotency and monotonic device sequence</w:t>
            </w:r>
          </w:p>
        </w:tc>
        <w:tc>
          <w:tcPr>
            <w:tcW w:type="dxa" w:w="3024"/>
            <w:vAlign w:val="center"/>
            <w:tcMar>
              <w:top w:w="100" w:type="dxa"/>
              <w:start w:w="120" w:type="dxa"/>
              <w:bottom w:w="100" w:type="dxa"/>
              <w:end w:w="120" w:type="dxa"/>
            </w:tcMar>
            <w:shd w:fill="F5F3EF"/>
          </w:tcPr>
          <w:p>
            <w:r>
              <w:rPr>
                <w:color w:val="141414"/>
                <w:sz w:val="17"/>
              </w:rPr>
              <w:t>Zero duplicate effect</w:t>
            </w:r>
          </w:p>
        </w:tc>
      </w:tr>
      <w:tr>
        <w:tc>
          <w:tcPr>
            <w:tcW w:type="dxa" w:w="2376"/>
            <w:vAlign w:val="center"/>
            <w:tcMar>
              <w:top w:w="100" w:type="dxa"/>
              <w:start w:w="120" w:type="dxa"/>
              <w:bottom w:w="100" w:type="dxa"/>
              <w:end w:w="120" w:type="dxa"/>
            </w:tcMar>
          </w:tcPr>
          <w:p>
            <w:r>
              <w:rPr>
                <w:color w:val="141414"/>
                <w:sz w:val="17"/>
              </w:rPr>
              <w:t>Unsafe substitution</w:t>
            </w:r>
          </w:p>
        </w:tc>
        <w:tc>
          <w:tcPr>
            <w:tcW w:type="dxa" w:w="4320"/>
            <w:vAlign w:val="center"/>
            <w:tcMar>
              <w:top w:w="100" w:type="dxa"/>
              <w:start w:w="120" w:type="dxa"/>
              <w:bottom w:w="100" w:type="dxa"/>
              <w:end w:w="120" w:type="dxa"/>
            </w:tcMar>
          </w:tcPr>
          <w:p>
            <w:r>
              <w:rPr>
                <w:color w:val="141414"/>
                <w:sz w:val="17"/>
              </w:rPr>
              <w:t>Capability and guest/authority decision</w:t>
            </w:r>
          </w:p>
        </w:tc>
        <w:tc>
          <w:tcPr>
            <w:tcW w:type="dxa" w:w="3024"/>
            <w:vAlign w:val="center"/>
            <w:tcMar>
              <w:top w:w="100" w:type="dxa"/>
              <w:start w:w="120" w:type="dxa"/>
              <w:bottom w:w="100" w:type="dxa"/>
              <w:end w:w="120" w:type="dxa"/>
            </w:tcMar>
          </w:tcPr>
          <w:p>
            <w:r>
              <w:rPr>
                <w:color w:val="141414"/>
                <w:sz w:val="17"/>
              </w:rPr>
              <w:t>No automatic substitution</w:t>
            </w:r>
          </w:p>
        </w:tc>
      </w:tr>
      <w:tr>
        <w:tc>
          <w:tcPr>
            <w:tcW w:type="dxa" w:w="2376"/>
            <w:vAlign w:val="center"/>
            <w:tcMar>
              <w:top w:w="100" w:type="dxa"/>
              <w:start w:w="120" w:type="dxa"/>
              <w:bottom w:w="100" w:type="dxa"/>
              <w:end w:w="120" w:type="dxa"/>
            </w:tcMar>
            <w:shd w:fill="F5F3EF"/>
          </w:tcPr>
          <w:p>
            <w:r>
              <w:rPr>
                <w:color w:val="141414"/>
                <w:sz w:val="17"/>
              </w:rPr>
              <w:t>Vendor access persists</w:t>
            </w:r>
          </w:p>
        </w:tc>
        <w:tc>
          <w:tcPr>
            <w:tcW w:type="dxa" w:w="4320"/>
            <w:vAlign w:val="center"/>
            <w:tcMar>
              <w:top w:w="100" w:type="dxa"/>
              <w:start w:w="120" w:type="dxa"/>
              <w:bottom w:w="100" w:type="dxa"/>
              <w:end w:w="120" w:type="dxa"/>
            </w:tcMar>
            <w:shd w:fill="F5F3EF"/>
          </w:tcPr>
          <w:p>
            <w:r>
              <w:rPr>
                <w:color w:val="141414"/>
                <w:sz w:val="17"/>
              </w:rPr>
              <w:t>Expiring grants and device leases</w:t>
            </w:r>
          </w:p>
        </w:tc>
        <w:tc>
          <w:tcPr>
            <w:tcW w:type="dxa" w:w="3024"/>
            <w:vAlign w:val="center"/>
            <w:tcMar>
              <w:top w:w="100" w:type="dxa"/>
              <w:start w:w="120" w:type="dxa"/>
              <w:bottom w:w="100" w:type="dxa"/>
              <w:end w:w="120" w:type="dxa"/>
            </w:tcMar>
            <w:shd w:fill="F5F3EF"/>
          </w:tcPr>
          <w:p>
            <w:r>
              <w:rPr>
                <w:color w:val="141414"/>
                <w:sz w:val="17"/>
              </w:rPr>
              <w:t>Auto-expire and revoke evidence</w:t>
            </w:r>
          </w:p>
        </w:tc>
      </w:tr>
      <w:tr>
        <w:tc>
          <w:tcPr>
            <w:tcW w:type="dxa" w:w="2376"/>
            <w:vAlign w:val="center"/>
            <w:tcMar>
              <w:top w:w="100" w:type="dxa"/>
              <w:start w:w="120" w:type="dxa"/>
              <w:bottom w:w="100" w:type="dxa"/>
              <w:end w:w="120" w:type="dxa"/>
            </w:tcMar>
          </w:tcPr>
          <w:p>
            <w:r>
              <w:rPr>
                <w:color w:val="141414"/>
                <w:sz w:val="17"/>
              </w:rPr>
              <w:t>Edge single point</w:t>
            </w:r>
          </w:p>
        </w:tc>
        <w:tc>
          <w:tcPr>
            <w:tcW w:type="dxa" w:w="4320"/>
            <w:vAlign w:val="center"/>
            <w:tcMar>
              <w:top w:w="100" w:type="dxa"/>
              <w:start w:w="120" w:type="dxa"/>
              <w:bottom w:w="100" w:type="dxa"/>
              <w:end w:w="120" w:type="dxa"/>
            </w:tcMar>
          </w:tcPr>
          <w:p>
            <w:r>
              <w:rPr>
                <w:color w:val="141414"/>
                <w:sz w:val="17"/>
              </w:rPr>
              <w:t>Warm standby, UPS, restore drill</w:t>
            </w:r>
          </w:p>
        </w:tc>
        <w:tc>
          <w:tcPr>
            <w:tcW w:type="dxa" w:w="3024"/>
            <w:vAlign w:val="center"/>
            <w:tcMar>
              <w:top w:w="100" w:type="dxa"/>
              <w:start w:w="120" w:type="dxa"/>
              <w:bottom w:w="100" w:type="dxa"/>
              <w:end w:w="120" w:type="dxa"/>
            </w:tcMar>
          </w:tcPr>
          <w:p>
            <w:r>
              <w:rPr>
                <w:color w:val="141414"/>
                <w:sz w:val="17"/>
              </w:rPr>
              <w:t>Recovery target must pass</w:t>
            </w:r>
          </w:p>
        </w:tc>
      </w:tr>
      <w:tr>
        <w:tc>
          <w:tcPr>
            <w:tcW w:type="dxa" w:w="2376"/>
            <w:vAlign w:val="center"/>
            <w:tcMar>
              <w:top w:w="100" w:type="dxa"/>
              <w:start w:w="120" w:type="dxa"/>
              <w:bottom w:w="100" w:type="dxa"/>
              <w:end w:w="120" w:type="dxa"/>
            </w:tcMar>
            <w:shd w:fill="F5F3EF"/>
          </w:tcPr>
          <w:p>
            <w:r>
              <w:rPr>
                <w:color w:val="141414"/>
                <w:sz w:val="17"/>
              </w:rPr>
              <w:t>Metrics create unfair blame</w:t>
            </w:r>
          </w:p>
        </w:tc>
        <w:tc>
          <w:tcPr>
            <w:tcW w:type="dxa" w:w="4320"/>
            <w:vAlign w:val="center"/>
            <w:tcMar>
              <w:top w:w="100" w:type="dxa"/>
              <w:start w:w="120" w:type="dxa"/>
              <w:bottom w:w="100" w:type="dxa"/>
              <w:end w:w="120" w:type="dxa"/>
            </w:tcMar>
            <w:shd w:fill="F5F3EF"/>
          </w:tcPr>
          <w:p>
            <w:r>
              <w:rPr>
                <w:color w:val="141414"/>
                <w:sz w:val="17"/>
              </w:rPr>
              <w:t>Phase-separated timings and context</w:t>
            </w:r>
          </w:p>
        </w:tc>
        <w:tc>
          <w:tcPr>
            <w:tcW w:type="dxa" w:w="3024"/>
            <w:vAlign w:val="center"/>
            <w:tcMar>
              <w:top w:w="100" w:type="dxa"/>
              <w:start w:w="120" w:type="dxa"/>
              <w:bottom w:w="100" w:type="dxa"/>
              <w:end w:w="120" w:type="dxa"/>
            </w:tcMar>
            <w:shd w:fill="F5F3EF"/>
          </w:tcPr>
          <w:p>
            <w:r>
              <w:rPr>
                <w:color w:val="141414"/>
                <w:sz w:val="17"/>
              </w:rPr>
              <w:t>No unqualified ranking</w:t>
            </w:r>
          </w:p>
        </w:tc>
      </w:tr>
      <w:tr>
        <w:tc>
          <w:tcPr>
            <w:tcW w:type="dxa" w:w="2376"/>
            <w:vAlign w:val="center"/>
            <w:tcMar>
              <w:top w:w="100" w:type="dxa"/>
              <w:start w:w="120" w:type="dxa"/>
              <w:bottom w:w="100" w:type="dxa"/>
              <w:end w:w="120" w:type="dxa"/>
            </w:tcMar>
          </w:tcPr>
          <w:p>
            <w:r>
              <w:rPr>
                <w:color w:val="141414"/>
                <w:sz w:val="17"/>
              </w:rPr>
              <w:t>Dirty/clean crossing</w:t>
            </w:r>
          </w:p>
        </w:tc>
        <w:tc>
          <w:tcPr>
            <w:tcW w:type="dxa" w:w="4320"/>
            <w:vAlign w:val="center"/>
            <w:tcMar>
              <w:top w:w="100" w:type="dxa"/>
              <w:start w:w="120" w:type="dxa"/>
              <w:bottom w:w="100" w:type="dxa"/>
              <w:end w:w="120" w:type="dxa"/>
            </w:tcMar>
          </w:tcPr>
          <w:p>
            <w:r>
              <w:rPr>
                <w:color w:val="141414"/>
                <w:sz w:val="17"/>
              </w:rPr>
              <w:t>Physical route and receiving controls</w:t>
            </w:r>
          </w:p>
        </w:tc>
        <w:tc>
          <w:tcPr>
            <w:tcW w:type="dxa" w:w="3024"/>
            <w:vAlign w:val="center"/>
            <w:tcMar>
              <w:top w:w="100" w:type="dxa"/>
              <w:start w:w="120" w:type="dxa"/>
              <w:bottom w:w="100" w:type="dxa"/>
              <w:end w:w="120" w:type="dxa"/>
            </w:tcMar>
          </w:tcPr>
          <w:p>
            <w:r>
              <w:rPr>
                <w:color w:val="141414"/>
                <w:sz w:val="17"/>
              </w:rPr>
              <w:t>Operational rehearsal</w:t>
            </w:r>
          </w:p>
        </w:tc>
      </w:tr>
      <w:tr>
        <w:tc>
          <w:tcPr>
            <w:tcW w:type="dxa" w:w="2376"/>
            <w:vAlign w:val="center"/>
            <w:tcMar>
              <w:top w:w="100" w:type="dxa"/>
              <w:start w:w="120" w:type="dxa"/>
              <w:bottom w:w="100" w:type="dxa"/>
              <w:end w:w="120" w:type="dxa"/>
            </w:tcMar>
            <w:shd w:fill="F5F3EF"/>
          </w:tcPr>
          <w:p>
            <w:r>
              <w:rPr>
                <w:color w:val="141414"/>
                <w:sz w:val="17"/>
              </w:rPr>
              <w:t>UI pending ambiguity</w:t>
            </w:r>
          </w:p>
        </w:tc>
        <w:tc>
          <w:tcPr>
            <w:tcW w:type="dxa" w:w="4320"/>
            <w:vAlign w:val="center"/>
            <w:tcMar>
              <w:top w:w="100" w:type="dxa"/>
              <w:start w:w="120" w:type="dxa"/>
              <w:bottom w:w="100" w:type="dxa"/>
              <w:end w:w="120" w:type="dxa"/>
            </w:tcMar>
            <w:shd w:fill="F5F3EF"/>
          </w:tcPr>
          <w:p>
            <w:r>
              <w:rPr>
                <w:color w:val="141414"/>
                <w:sz w:val="17"/>
              </w:rPr>
              <w:t>Outcome and retry-safe feedback</w:t>
            </w:r>
          </w:p>
        </w:tc>
        <w:tc>
          <w:tcPr>
            <w:tcW w:type="dxa" w:w="3024"/>
            <w:vAlign w:val="center"/>
            <w:tcMar>
              <w:top w:w="100" w:type="dxa"/>
              <w:start w:w="120" w:type="dxa"/>
              <w:bottom w:w="100" w:type="dxa"/>
              <w:end w:w="120" w:type="dxa"/>
            </w:tcMar>
            <w:shd w:fill="F5F3EF"/>
          </w:tcPr>
          <w:p>
            <w:r>
              <w:rPr>
                <w:color w:val="141414"/>
                <w:sz w:val="17"/>
              </w:rPr>
              <w:t>Block infinite pending</w:t>
            </w:r>
          </w:p>
        </w:tc>
      </w:tr>
    </w:tbl>
    <w:p/>
    <w:p>
      <w:pPr>
        <w:pStyle w:val="Heading1"/>
      </w:pPr>
      <w:r>
        <w:t>Future Claude verification prompt</w:t>
      </w:r>
    </w:p>
    <w:p>
      <w:r>
        <w:t>Authority: independently verify the exact deployed synthetic EOS-S06D fixture and application identity supplied in the authorised execution record. Do not remediate, inspect repositories, reproduce automated suites, use real guest data, activate providers or inspect any other Railway project/service/environment. Confirm productionAuthorised:false before continuing.</w:t>
      </w:r>
    </w:p>
    <w:p>
      <w:pPr>
        <w:pStyle w:val="ListNumber"/>
      </w:pPr>
      <w:r>
        <w:t>Confirm exact origin, application SHA, deployment source, documentation identity, event ID, corpus edition and synthetic badge. Stop on mismatch.</w:t>
      </w:r>
    </w:p>
    <w:p>
      <w:pPr>
        <w:pStyle w:val="ListNumber"/>
      </w:pPr>
      <w:r>
        <w:t>As Dining Concierge, select a table and reconcile visible seating/check-in context. Confirm it is labelled as context, not physical-presence truth.</w:t>
      </w:r>
    </w:p>
    <w:p>
      <w:pPr>
        <w:pStyle w:val="ListNumber"/>
      </w:pPr>
      <w:r>
        <w:t>Create one order spanning at least three vendors for seated guests. Confirm one guest-facing reference and correct vendor task separation.</w:t>
      </w:r>
    </w:p>
    <w:p>
      <w:pPr>
        <w:pStyle w:val="ListNumber"/>
      </w:pPr>
      <w:r>
        <w:t>Use Add someone here for a named walk-in and an unnamed guest. Confirm no silent canonical guest or seating mutation.</w:t>
      </w:r>
    </w:p>
    <w:p>
      <w:pPr>
        <w:pStyle w:val="ListNumber"/>
      </w:pPr>
      <w:r>
        <w:t>Create a late-arrival order and a seconds order after prior delivery. Confirm additive history.</w:t>
      </w:r>
    </w:p>
    <w:p>
      <w:pPr>
        <w:pStyle w:val="ListNumber"/>
      </w:pPr>
      <w:r>
        <w:t>As each vendor, confirm only that station’s minimum-data queue and complete Accept → Ready; declare another item unavailable.</w:t>
      </w:r>
    </w:p>
    <w:p>
      <w:pPr>
        <w:pStyle w:val="ListNumber"/>
      </w:pPr>
      <w:r>
        <w:t>As Expeditor, coordinate a bundle, split one delayed item and release an explicit exception.</w:t>
      </w:r>
    </w:p>
    <w:p>
      <w:pPr>
        <w:pStyle w:val="ListNumber"/>
      </w:pPr>
      <w:r>
        <w:t>As Runner, collect and deliver; report one issue and verify recovery routing.</w:t>
      </w:r>
    </w:p>
    <w:p>
      <w:pPr>
        <w:pStyle w:val="ListNumber"/>
      </w:pPr>
      <w:r>
        <w:t>As Clearing, clear the whole table and confirm reset without vendor-specific table behaviour.</w:t>
      </w:r>
    </w:p>
    <w:p>
      <w:pPr>
        <w:pStyle w:val="ListNumber"/>
      </w:pPr>
      <w:r>
        <w:t>Verify server-side role refusals for vendor, runner, planner and auditor.</w:t>
      </w:r>
    </w:p>
    <w:p>
      <w:pPr>
        <w:pStyle w:val="ListNumber"/>
      </w:pPr>
      <w:r>
        <w:t>Verify responsive handheld and large-touch layouts, keyboard operation, visible focus and accessible action feedback.</w:t>
      </w:r>
    </w:p>
    <w:p>
      <w:pPr>
        <w:pStyle w:val="ListNumber"/>
      </w:pPr>
      <w:r>
        <w:t>Exercise a safe degraded/offline demonstration if prepared; confirm queued/pending/replayed truth and no duplicate effect.</w:t>
      </w:r>
    </w:p>
    <w:p>
      <w:pPr>
        <w:pStyle w:val="ListNumber"/>
      </w:pPr>
      <w:r>
        <w:t>Return PASS, PASS WITH CONTROLLED OBSERVATIONS, FAIL or BLOCKED with evidence and consolidated defects.</w:t>
      </w:r>
    </w:p>
    <w:p>
      <w:pPr>
        <w:pStyle w:val="Heading1"/>
      </w:pPr>
      <w:r>
        <w:t>Ratification checklist</w:t>
      </w:r>
    </w:p>
    <w:p>
      <w:pPr>
        <w:pStyle w:val="ListBullet"/>
      </w:pPr>
      <w:r>
        <w:t>Complete product, not MVP.</w:t>
      </w:r>
    </w:p>
    <w:p>
      <w:pPr>
        <w:pStyle w:val="ListBullet"/>
      </w:pPr>
      <w:r>
        <w:t>Simple enough for vendor training and high-pressure service.</w:t>
      </w:r>
    </w:p>
    <w:p>
      <w:pPr>
        <w:pStyle w:val="ListBullet"/>
      </w:pPr>
      <w:r>
        <w:t>Flexible table/guest identity without corrupting canonical records.</w:t>
      </w:r>
    </w:p>
    <w:p>
      <w:pPr>
        <w:pStyle w:val="ListBullet"/>
      </w:pPr>
      <w:r>
        <w:t>Multiple menus, vendors, orders and service episodes.</w:t>
      </w:r>
    </w:p>
    <w:p>
      <w:pPr>
        <w:pStyle w:val="ListBullet"/>
      </w:pPr>
      <w:r>
        <w:t>Local-first with paper continuity.</w:t>
      </w:r>
    </w:p>
    <w:p>
      <w:pPr>
        <w:pStyle w:val="ListBullet"/>
      </w:pPr>
      <w:r>
        <w:t>Food-safety claims bounded.</w:t>
      </w:r>
    </w:p>
    <w:p>
      <w:pPr>
        <w:pStyle w:val="ListBullet"/>
      </w:pPr>
      <w:r>
        <w:t>Accessibility and privacy designed in.</w:t>
      </w:r>
    </w:p>
    <w:p>
      <w:pPr>
        <w:pStyle w:val="ListBullet"/>
      </w:pPr>
      <w:r>
        <w:t>Evidence, stop-loss and independent verification defined.</w:t>
      </w:r>
    </w:p>
    <w:p>
      <w:pPr>
        <w:pStyle w:val="ListBullet"/>
      </w:pPr>
      <w:r>
        <w:t>No implementation or deployment authority embedded.</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