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maison-doclar-executive-event-command"/>
    <w:p>
      <w:pPr>
        <w:pStyle w:val="Heading1"/>
      </w:pPr>
      <w:r>
        <w:t xml:space="preserve">Maison Doclar Executive Event Command</w:t>
      </w:r>
    </w:p>
    <w:bookmarkStart w:id="20" w:name="Xe9bdea9c6b45c8455fcd6028c9b181395280c20"/>
    <w:p>
      <w:pPr>
        <w:pStyle w:val="Heading2"/>
      </w:pPr>
      <w:r>
        <w:t xml:space="preserve">Ratification-ready specification and execution suite</w:t>
      </w:r>
    </w:p>
    <w:p>
      <w:pPr>
        <w:pStyle w:val="FirstParagraph"/>
      </w:pPr>
      <w:r>
        <w:t xml:space="preserve">Status:</w:t>
      </w:r>
      <w:r>
        <w:t xml:space="preserve"> </w:t>
      </w:r>
      <w:r>
        <w:rPr>
          <w:bCs/>
          <w:b/>
        </w:rPr>
        <w:t xml:space="preserve">CEO REVIEW DRAFT — NOT IMPLEMENTATION AUTHORITY</w:t>
      </w:r>
      <w:r>
        <w:br/>
      </w:r>
      <w:r>
        <w:t xml:space="preserve">Proposed slice identity:</w:t>
      </w:r>
      <w:r>
        <w:t xml:space="preserve"> </w:t>
      </w:r>
      <w:r>
        <w:rPr>
          <w:bCs/>
          <w:b/>
        </w:rPr>
        <w:t xml:space="preserve">EOS-S05A — Discovery, Investment &amp; Executive Event Command</w:t>
      </w:r>
      <w:r>
        <w:br/>
      </w:r>
      <w:r>
        <w:t xml:space="preserve">Proposed implementation-authority control:</w:t>
      </w:r>
      <w:r>
        <w:t xml:space="preserve"> </w:t>
      </w:r>
      <w:r>
        <w:rPr>
          <w:bCs/>
          <w:b/>
        </w:rPr>
        <w:t xml:space="preserve">MD-PR-S037</w:t>
      </w:r>
      <w:r>
        <w:br/>
      </w:r>
      <w:r>
        <w:t xml:space="preserve">Historical EOS-S06:</w:t>
      </w:r>
      <w:r>
        <w:t xml:space="preserve"> </w:t>
      </w:r>
      <w:r>
        <w:rPr>
          <w:bCs/>
          <w:b/>
        </w:rPr>
        <w:t xml:space="preserve">retained as Seating Allocation; not started and not authorised</w:t>
      </w:r>
    </w:p>
    <w:bookmarkEnd w:id="20"/>
    <w:bookmarkStart w:id="21" w:name="programme-decision"/>
    <w:p>
      <w:pPr>
        <w:pStyle w:val="Heading2"/>
      </w:pPr>
      <w:r>
        <w:t xml:space="preserve">Programme decision</w:t>
      </w:r>
    </w:p>
    <w:p>
      <w:pPr>
        <w:pStyle w:val="FirstParagraph"/>
      </w:pPr>
      <w:r>
        <w:t xml:space="preserve">Executive Event Command is a controlled non-catalogue insert after accepted EOS-S05 and before historical EOS-S06. It does not renumber EOS-S01–EOS-S05, does not consume</w:t>
      </w:r>
      <w:r>
        <w:t xml:space="preserve"> </w:t>
      </w:r>
      <w:r>
        <w:rPr>
          <w:rStyle w:val="VerbatimChar"/>
        </w:rPr>
        <w:t xml:space="preserve">MD-PR-S036</w:t>
      </w:r>
      <w:r>
        <w:t xml:space="preserve">, does not increment the catalogue accepted-slice count, and does not change the dependency meaning of EOS-S06.</w:t>
      </w:r>
    </w:p>
    <w:p>
      <w:pPr>
        <w:pStyle w:val="BodyText"/>
      </w:pPr>
      <w:r>
        <w:t xml:space="preserve">The capability converts first-contact conversation and later client communications into governed event intelligence without allowing AI-generated interpretation to become operational truth automatically.</w:t>
      </w:r>
    </w:p>
    <w:bookmarkEnd w:id="21"/>
    <w:bookmarkStart w:id="22" w:name="pack-contents"/>
    <w:p>
      <w:pPr>
        <w:pStyle w:val="Heading2"/>
      </w:pPr>
      <w:r>
        <w:t xml:space="preserve">Pack contents</w:t>
      </w:r>
    </w:p>
    <w:p>
      <w:pPr>
        <w:numPr>
          <w:ilvl w:val="0"/>
          <w:numId w:val="1001"/>
        </w:numPr>
        <w:pStyle w:val="Compact"/>
      </w:pPr>
      <w:r>
        <w:rPr>
          <w:rStyle w:val="VerbatimChar"/>
        </w:rPr>
        <w:t xml:space="preserve">01_RATIFICATION_ARCHITECTURE_AND_COMPATIBILITY.md</w:t>
      </w:r>
    </w:p>
    <w:p>
      <w:pPr>
        <w:numPr>
          <w:ilvl w:val="1"/>
          <w:numId w:val="1002"/>
        </w:numPr>
        <w:pStyle w:val="Compact"/>
      </w:pPr>
      <w:r>
        <w:t xml:space="preserve">CEO doctrine, scope, sequencing, architecture, accepted-contract reconciliation, non-goals and decision record.</w:t>
      </w:r>
    </w:p>
    <w:p>
      <w:pPr>
        <w:numPr>
          <w:ilvl w:val="0"/>
          <w:numId w:val="1001"/>
        </w:numPr>
        <w:pStyle w:val="Compact"/>
      </w:pPr>
      <w:r>
        <w:rPr>
          <w:rStyle w:val="VerbatimChar"/>
        </w:rPr>
        <w:t xml:space="preserve">02_PRODUCT_DOMAIN_AND_DATA_SPECIFICATION.md</w:t>
      </w:r>
    </w:p>
    <w:p>
      <w:pPr>
        <w:numPr>
          <w:ilvl w:val="1"/>
          <w:numId w:val="1003"/>
        </w:numPr>
        <w:pStyle w:val="Compact"/>
      </w:pPr>
      <w:r>
        <w:t xml:space="preserve">Pre-engagement, discovery, canonical brief, investment, roadmap, change intelligence, states, data dictionary, permissions, projections and domain events.</w:t>
      </w:r>
    </w:p>
    <w:p>
      <w:pPr>
        <w:numPr>
          <w:ilvl w:val="0"/>
          <w:numId w:val="1001"/>
        </w:numPr>
        <w:pStyle w:val="Compact"/>
      </w:pPr>
      <w:r>
        <w:rPr>
          <w:rStyle w:val="VerbatimChar"/>
        </w:rPr>
        <w:t xml:space="preserve">02A_BUDGET_INTELLIGENCE_ENGINE_ADDENDUM.md</w:t>
      </w:r>
    </w:p>
    <w:p>
      <w:pPr>
        <w:numPr>
          <w:ilvl w:val="1"/>
          <w:numId w:val="1004"/>
        </w:numPr>
        <w:pStyle w:val="Compact"/>
      </w:pPr>
      <w:r>
        <w:t xml:space="preserve">Deterministic bill-of-materials, price knowledge, safe rule DSL, evidence, scenarios, maturity path and Budget Studio.</w:t>
      </w:r>
    </w:p>
    <w:p>
      <w:pPr>
        <w:numPr>
          <w:ilvl w:val="0"/>
          <w:numId w:val="1001"/>
        </w:numPr>
        <w:pStyle w:val="Compact"/>
      </w:pPr>
      <w:r>
        <w:rPr>
          <w:rStyle w:val="VerbatimChar"/>
        </w:rPr>
        <w:t xml:space="preserve">03_AI_SAFETY_PRIVACY_UX_AND_EVALUATION.md</w:t>
      </w:r>
    </w:p>
    <w:p>
      <w:pPr>
        <w:numPr>
          <w:ilvl w:val="1"/>
          <w:numId w:val="1005"/>
        </w:numPr>
        <w:pStyle w:val="Compact"/>
      </w:pPr>
      <w:r>
        <w:t xml:space="preserve">Interview behaviour, completeness ontology, provenance, consent, privacy, provider boundary, adversarial safety, premium experience and evaluation suite.</w:t>
      </w:r>
    </w:p>
    <w:p>
      <w:pPr>
        <w:numPr>
          <w:ilvl w:val="0"/>
          <w:numId w:val="1001"/>
        </w:numPr>
        <w:pStyle w:val="Compact"/>
      </w:pPr>
      <w:r>
        <w:rPr>
          <w:rStyle w:val="VerbatimChar"/>
        </w:rPr>
        <w:t xml:space="preserve">04A_CURSOR_PACK_CONTROL_AND_FOUNDATIONS.md</w:t>
      </w:r>
    </w:p>
    <w:p>
      <w:pPr>
        <w:numPr>
          <w:ilvl w:val="1"/>
          <w:numId w:val="1006"/>
        </w:numPr>
        <w:pStyle w:val="Compact"/>
      </w:pPr>
      <w:r>
        <w:t xml:space="preserve">Global execution law and EEC-00–EEC-10.</w:t>
      </w:r>
    </w:p>
    <w:p>
      <w:pPr>
        <w:numPr>
          <w:ilvl w:val="0"/>
          <w:numId w:val="1001"/>
        </w:numPr>
        <w:pStyle w:val="Compact"/>
      </w:pPr>
      <w:r>
        <w:rPr>
          <w:rStyle w:val="VerbatimChar"/>
        </w:rPr>
        <w:t xml:space="preserve">04B_CURSOR_PACK_BRIEF_AND_BUDGET_ENGINE.md</w:t>
      </w:r>
    </w:p>
    <w:p>
      <w:pPr>
        <w:numPr>
          <w:ilvl w:val="1"/>
          <w:numId w:val="1007"/>
        </w:numPr>
        <w:pStyle w:val="Compact"/>
      </w:pPr>
      <w:r>
        <w:t xml:space="preserve">Canonical Brief, conversion and the full Budget Intelligence Engine, EEC-11–EEC-25.</w:t>
      </w:r>
    </w:p>
    <w:p>
      <w:pPr>
        <w:numPr>
          <w:ilvl w:val="0"/>
          <w:numId w:val="1001"/>
        </w:numPr>
        <w:pStyle w:val="Compact"/>
      </w:pPr>
      <w:r>
        <w:rPr>
          <w:rStyle w:val="VerbatimChar"/>
        </w:rPr>
        <w:t xml:space="preserve">04C_CURSOR_PACK_ROADMAP_AI_AND_EXPERIENCE.md</w:t>
      </w:r>
    </w:p>
    <w:p>
      <w:pPr>
        <w:numPr>
          <w:ilvl w:val="1"/>
          <w:numId w:val="1008"/>
        </w:numPr>
        <w:pStyle w:val="Compact"/>
      </w:pPr>
      <w:r>
        <w:t xml:space="preserve">Roadmap, change intelligence, AI and Executive Event Command, EEC-26–EEC-40.</w:t>
      </w:r>
    </w:p>
    <w:p>
      <w:pPr>
        <w:numPr>
          <w:ilvl w:val="0"/>
          <w:numId w:val="1001"/>
        </w:numPr>
        <w:pStyle w:val="Compact"/>
      </w:pPr>
      <w:r>
        <w:rPr>
          <w:rStyle w:val="VerbatimChar"/>
        </w:rPr>
        <w:t xml:space="preserve">04D_CURSOR_PACK_RELEASE_ASSURANCE_AND_REPORTING.md</w:t>
      </w:r>
    </w:p>
    <w:p>
      <w:pPr>
        <w:numPr>
          <w:ilvl w:val="1"/>
          <w:numId w:val="1009"/>
        </w:numPr>
        <w:pStyle w:val="Compact"/>
      </w:pPr>
      <w:r>
        <w:t xml:space="preserve">Integration, adversarial assurance, E2E, deployment and reporting, EEC-41–EEC-45.</w:t>
      </w:r>
    </w:p>
    <w:p>
      <w:pPr>
        <w:numPr>
          <w:ilvl w:val="0"/>
          <w:numId w:val="1001"/>
        </w:numPr>
        <w:pStyle w:val="Compact"/>
      </w:pPr>
      <w:r>
        <w:rPr>
          <w:rStyle w:val="VerbatimChar"/>
        </w:rPr>
        <w:t xml:space="preserve">05_INDEPENDENT_VERIFICATION_AND_ACCEPTANCE.md</w:t>
      </w:r>
    </w:p>
    <w:p>
      <w:pPr>
        <w:numPr>
          <w:ilvl w:val="1"/>
          <w:numId w:val="1010"/>
        </w:numPr>
        <w:pStyle w:val="Compact"/>
      </w:pPr>
      <w:r>
        <w:t xml:space="preserve">Claude/browser verification model, role-efficient UX testing, acceptance criteria, remediation and acceptance-record template.</w:t>
      </w:r>
    </w:p>
    <w:bookmarkEnd w:id="22"/>
    <w:bookmarkStart w:id="23" w:name="source-doctrine-incorporated"/>
    <w:p>
      <w:pPr>
        <w:pStyle w:val="Heading2"/>
      </w:pPr>
      <w:r>
        <w:t xml:space="preserve">Source doctrine incorporated</w:t>
      </w:r>
    </w:p>
    <w:p>
      <w:pPr>
        <w:pStyle w:val="FirstParagraph"/>
      </w:pPr>
      <w:r>
        <w:t xml:space="preserve">The supplied CEO Mastery material is controlling product input for:</w:t>
      </w:r>
    </w:p>
    <w:p>
      <w:pPr>
        <w:numPr>
          <w:ilvl w:val="0"/>
          <w:numId w:val="1011"/>
        </w:numPr>
        <w:pStyle w:val="Compact"/>
      </w:pPr>
      <w:r>
        <w:t xml:space="preserve">premium judgement and frugal stewardship;</w:t>
      </w:r>
    </w:p>
    <w:p>
      <w:pPr>
        <w:numPr>
          <w:ilvl w:val="0"/>
          <w:numId w:val="1011"/>
        </w:numPr>
        <w:pStyle w:val="Compact"/>
      </w:pPr>
      <w:r>
        <w:t xml:space="preserve">investment as a design/governance parameter rather than a wealth signal;</w:t>
      </w:r>
    </w:p>
    <w:p>
      <w:pPr>
        <w:numPr>
          <w:ilvl w:val="0"/>
          <w:numId w:val="1011"/>
        </w:numPr>
        <w:pStyle w:val="Compact"/>
      </w:pPr>
      <w:r>
        <w:t xml:space="preserve">no obligation to consume an available envelope;</w:t>
      </w:r>
    </w:p>
    <w:p>
      <w:pPr>
        <w:numPr>
          <w:ilvl w:val="0"/>
          <w:numId w:val="1011"/>
        </w:numPr>
        <w:pStyle w:val="Compact"/>
      </w:pPr>
      <w:r>
        <w:t xml:space="preserve">distinction between envelope, commitment, payment, forecast and cash-flow;</w:t>
      </w:r>
    </w:p>
    <w:p>
      <w:pPr>
        <w:numPr>
          <w:ilvl w:val="0"/>
          <w:numId w:val="1011"/>
        </w:numPr>
        <w:pStyle w:val="Compact"/>
      </w:pPr>
      <w:r>
        <w:t xml:space="preserve">three-layer roadmap: client, operational and decision milestones;</w:t>
      </w:r>
    </w:p>
    <w:p>
      <w:pPr>
        <w:numPr>
          <w:ilvl w:val="0"/>
          <w:numId w:val="1011"/>
        </w:numPr>
        <w:pStyle w:val="Compact"/>
      </w:pPr>
      <w:r>
        <w:t xml:space="preserve">dynamic long-lead and compressed short-lead planning;</w:t>
      </w:r>
    </w:p>
    <w:p>
      <w:pPr>
        <w:numPr>
          <w:ilvl w:val="0"/>
          <w:numId w:val="1011"/>
        </w:numPr>
        <w:pStyle w:val="Compact"/>
      </w:pPr>
      <w:r>
        <w:t xml:space="preserve">dependency and critical-path intelligence;</w:t>
      </w:r>
    </w:p>
    <w:p>
      <w:pPr>
        <w:numPr>
          <w:ilvl w:val="0"/>
          <w:numId w:val="1011"/>
        </w:numPr>
        <w:pStyle w:val="Compact"/>
      </w:pPr>
      <w:r>
        <w:t xml:space="preserve">first-interview question coverage;</w:t>
      </w:r>
    </w:p>
    <w:p>
      <w:pPr>
        <w:numPr>
          <w:ilvl w:val="0"/>
          <w:numId w:val="1011"/>
        </w:numPr>
        <w:pStyle w:val="Compact"/>
      </w:pPr>
      <w:r>
        <w:t xml:space="preserve">living discovery and governed change;</w:t>
      </w:r>
    </w:p>
    <w:p>
      <w:pPr>
        <w:numPr>
          <w:ilvl w:val="0"/>
          <w:numId w:val="1011"/>
        </w:numPr>
        <w:pStyle w:val="Compact"/>
      </w:pPr>
      <w:r>
        <w:t xml:space="preserve">the rule that consequential information must not remain only in prose.</w:t>
      </w:r>
    </w:p>
    <w:bookmarkEnd w:id="23"/>
    <w:bookmarkStart w:id="24" w:name="Xcb4501443a77297323d3a685111c461a7771334"/>
    <w:p>
      <w:pPr>
        <w:pStyle w:val="Heading2"/>
      </w:pPr>
      <w:r>
        <w:t xml:space="preserve">Required CEO decision before implementation</w:t>
      </w:r>
    </w:p>
    <w:p>
      <w:pPr>
        <w:pStyle w:val="FirstParagraph"/>
      </w:pPr>
      <w:r>
        <w:t xml:space="preserve">Approval of the complete</w:t>
      </w:r>
      <w:r>
        <w:t xml:space="preserve"> </w:t>
      </w:r>
      <w:r>
        <w:rPr>
          <w:rStyle w:val="VerbatimChar"/>
        </w:rPr>
        <w:t xml:space="preserve">MD-PR-S037</w:t>
      </w:r>
      <w:r>
        <w:t xml:space="preserve"> </w:t>
      </w:r>
      <w:r>
        <w:t xml:space="preserve">authority prompt is required. Until then:</w:t>
      </w:r>
    </w:p>
    <w:p>
      <w:pPr>
        <w:numPr>
          <w:ilvl w:val="0"/>
          <w:numId w:val="1012"/>
        </w:numPr>
        <w:pStyle w:val="Compact"/>
      </w:pPr>
      <w:r>
        <w:t xml:space="preserve">EOS-S05A is not ratified;</w:t>
      </w:r>
    </w:p>
    <w:p>
      <w:pPr>
        <w:numPr>
          <w:ilvl w:val="0"/>
          <w:numId w:val="1012"/>
        </w:numPr>
        <w:pStyle w:val="Compact"/>
      </w:pPr>
      <w:r>
        <w:t xml:space="preserve">Cursor must not implement it;</w:t>
      </w:r>
    </w:p>
    <w:p>
      <w:pPr>
        <w:numPr>
          <w:ilvl w:val="0"/>
          <w:numId w:val="1012"/>
        </w:numPr>
        <w:pStyle w:val="Compact"/>
      </w:pPr>
      <w:r>
        <w:t xml:space="preserve">no repository or deployment change is authorised;</w:t>
      </w:r>
    </w:p>
    <w:p>
      <w:pPr>
        <w:numPr>
          <w:ilvl w:val="0"/>
          <w:numId w:val="1012"/>
        </w:numPr>
        <w:pStyle w:val="Compact"/>
      </w:pPr>
      <w:r>
        <w:t xml:space="preserve">EOS-S06 remains not authorised;</w:t>
      </w:r>
    </w:p>
    <w:p>
      <w:pPr>
        <w:numPr>
          <w:ilvl w:val="0"/>
          <w:numId w:val="1012"/>
        </w:numPr>
        <w:pStyle w:val="Compact"/>
      </w:pPr>
      <w:r>
        <w:t xml:space="preserve">production operations remain unauthorised.</w:t>
      </w:r>
    </w:p>
    <w:bookmarkEnd w:id="24"/>
    <w:bookmarkEnd w:id="25"/>
    <w:bookmarkStart w:id="51" w:name="X9a77f902a13bd4b12cbd84cc10a1afbdeea16d5"/>
    <w:p>
      <w:pPr>
        <w:pStyle w:val="Heading1"/>
      </w:pPr>
      <w:r>
        <w:t xml:space="preserve">EOS-S05A — Budget Intelligence Engine Addendum</w:t>
      </w:r>
    </w:p>
    <w:p>
      <w:pPr>
        <w:pStyle w:val="FirstParagraph"/>
      </w:pPr>
      <w:r>
        <w:t xml:space="preserve">Status:</w:t>
      </w:r>
      <w:r>
        <w:t xml:space="preserve"> </w:t>
      </w:r>
      <w:r>
        <w:rPr>
          <w:bCs/>
          <w:b/>
        </w:rPr>
        <w:t xml:space="preserve">CEO REVIEW / ADDITIVE RATIFICATION REQUIRED</w:t>
      </w:r>
      <w:r>
        <w:br/>
      </w:r>
      <w:r>
        <w:t xml:space="preserve">Relationship: extends the ratified Investment Intelligence requirements; does not replace them.</w:t>
      </w:r>
    </w:p>
    <w:bookmarkStart w:id="26" w:name="product-outcome"/>
    <w:p>
      <w:pPr>
        <w:pStyle w:val="Heading2"/>
      </w:pPr>
      <w:r>
        <w:t xml:space="preserve">1. Product outcome</w:t>
      </w:r>
    </w:p>
    <w:p>
      <w:pPr>
        <w:pStyle w:val="FirstParagraph"/>
      </w:pPr>
      <w:r>
        <w:t xml:space="preserve">The Budget Intelligence Engine converts the confirmed Event Brief, curated price knowledge and explicit planning assumptions into explainable budget scenarios. It is not a spreadsheet, quotation scraper, black-box estimator or payment product.</w:t>
      </w:r>
    </w:p>
    <w:p>
      <w:pPr>
        <w:pStyle w:val="BodyText"/>
      </w:pPr>
      <w:r>
        <w:t xml:space="preserve">It must answer:</w:t>
      </w:r>
    </w:p>
    <w:p>
      <w:pPr>
        <w:numPr>
          <w:ilvl w:val="0"/>
          <w:numId w:val="1013"/>
        </w:numPr>
        <w:pStyle w:val="Compact"/>
      </w:pPr>
      <w:r>
        <w:t xml:space="preserve">What does the current brief responsibly require?</w:t>
      </w:r>
    </w:p>
    <w:p>
      <w:pPr>
        <w:numPr>
          <w:ilvl w:val="0"/>
          <w:numId w:val="1013"/>
        </w:numPr>
        <w:pStyle w:val="Compact"/>
      </w:pPr>
      <w:r>
        <w:t xml:space="preserve">Which costs are required, conditional, recommended or optional?</w:t>
      </w:r>
    </w:p>
    <w:p>
      <w:pPr>
        <w:numPr>
          <w:ilvl w:val="0"/>
          <w:numId w:val="1013"/>
        </w:numPr>
        <w:pStyle w:val="Compact"/>
      </w:pPr>
      <w:r>
        <w:t xml:space="preserve">What quantity and price assumptions produced each amount?</w:t>
      </w:r>
    </w:p>
    <w:p>
      <w:pPr>
        <w:numPr>
          <w:ilvl w:val="0"/>
          <w:numId w:val="1013"/>
        </w:numPr>
        <w:pStyle w:val="Compact"/>
      </w:pPr>
      <w:r>
        <w:t xml:space="preserve">Which prices are current, stale, indicative, quoted or contracted?</w:t>
      </w:r>
    </w:p>
    <w:p>
      <w:pPr>
        <w:numPr>
          <w:ilvl w:val="0"/>
          <w:numId w:val="1013"/>
        </w:numPr>
        <w:pStyle w:val="Compact"/>
      </w:pPr>
      <w:r>
        <w:t xml:space="preserve">Where does money create value against the client’s priorities?</w:t>
      </w:r>
    </w:p>
    <w:p>
      <w:pPr>
        <w:numPr>
          <w:ilvl w:val="0"/>
          <w:numId w:val="1013"/>
        </w:numPr>
        <w:pStyle w:val="Compact"/>
      </w:pPr>
      <w:r>
        <w:t xml:space="preserve">Where can Maison Doclar responsibly recommend restraint?</w:t>
      </w:r>
    </w:p>
    <w:p>
      <w:pPr>
        <w:numPr>
          <w:ilvl w:val="0"/>
          <w:numId w:val="1013"/>
        </w:numPr>
        <w:pStyle w:val="Compact"/>
      </w:pPr>
      <w:r>
        <w:t xml:space="preserve">What changes when guest count, venue, date, service level or scope changes?</w:t>
      </w:r>
    </w:p>
    <w:p>
      <w:pPr>
        <w:numPr>
          <w:ilvl w:val="0"/>
          <w:numId w:val="1013"/>
        </w:numPr>
        <w:pStyle w:val="Compact"/>
      </w:pPr>
      <w:r>
        <w:t xml:space="preserve">How does the forecast compare with the authorised envelope?</w:t>
      </w:r>
    </w:p>
    <w:p>
      <w:pPr>
        <w:numPr>
          <w:ilvl w:val="0"/>
          <w:numId w:val="1013"/>
        </w:numPr>
        <w:pStyle w:val="Compact"/>
      </w:pPr>
      <w:r>
        <w:t xml:space="preserve">When is cash likely to be required?</w:t>
      </w:r>
    </w:p>
    <w:p>
      <w:pPr>
        <w:numPr>
          <w:ilvl w:val="0"/>
          <w:numId w:val="1013"/>
        </w:numPr>
        <w:pStyle w:val="Compact"/>
      </w:pPr>
      <w:r>
        <w:t xml:space="preserve">Which uncertainties could move the result materially?</w:t>
      </w:r>
    </w:p>
    <w:bookmarkEnd w:id="26"/>
    <w:bookmarkStart w:id="27" w:name="design-doctrine"/>
    <w:p>
      <w:pPr>
        <w:pStyle w:val="Heading2"/>
      </w:pPr>
      <w:r>
        <w:t xml:space="preserve">2. Design doctrine</w:t>
      </w:r>
    </w:p>
    <w:p>
      <w:pPr>
        <w:numPr>
          <w:ilvl w:val="0"/>
          <w:numId w:val="1014"/>
        </w:numPr>
        <w:pStyle w:val="Compact"/>
      </w:pPr>
      <w:r>
        <w:t xml:space="preserve">Deterministic calculation is authoritative; AI is advisory only.</w:t>
      </w:r>
    </w:p>
    <w:p>
      <w:pPr>
        <w:numPr>
          <w:ilvl w:val="0"/>
          <w:numId w:val="1014"/>
        </w:numPr>
        <w:pStyle w:val="Compact"/>
      </w:pPr>
      <w:r>
        <w:t xml:space="preserve">Every number has a source, effective date, currency, basis and confidence.</w:t>
      </w:r>
    </w:p>
    <w:p>
      <w:pPr>
        <w:numPr>
          <w:ilvl w:val="0"/>
          <w:numId w:val="1014"/>
        </w:numPr>
        <w:pStyle w:val="Compact"/>
      </w:pPr>
      <w:r>
        <w:t xml:space="preserve">A range is not false precision disguised as a total.</w:t>
      </w:r>
    </w:p>
    <w:p>
      <w:pPr>
        <w:numPr>
          <w:ilvl w:val="0"/>
          <w:numId w:val="1014"/>
        </w:numPr>
        <w:pStyle w:val="Compact"/>
      </w:pPr>
      <w:r>
        <w:t xml:space="preserve">Vendor quotation, benchmark, estimate, commitment and payment are distinct.</w:t>
      </w:r>
    </w:p>
    <w:p>
      <w:pPr>
        <w:numPr>
          <w:ilvl w:val="0"/>
          <w:numId w:val="1014"/>
        </w:numPr>
        <w:pStyle w:val="Compact"/>
      </w:pPr>
      <w:r>
        <w:t xml:space="preserve">The client envelope is never a consumption target.</w:t>
      </w:r>
    </w:p>
    <w:p>
      <w:pPr>
        <w:numPr>
          <w:ilvl w:val="0"/>
          <w:numId w:val="1014"/>
        </w:numPr>
        <w:pStyle w:val="Compact"/>
      </w:pPr>
      <w:r>
        <w:t xml:space="preserve">Budget scenarios optimise for the client’s stated value architecture, not generic luxury tiers.</w:t>
      </w:r>
    </w:p>
    <w:p>
      <w:pPr>
        <w:numPr>
          <w:ilvl w:val="0"/>
          <w:numId w:val="1014"/>
        </w:numPr>
        <w:pStyle w:val="Compact"/>
      </w:pPr>
      <w:r>
        <w:t xml:space="preserve">Historical intelligence improves future estimates only through governed, de-identified and comparable cohorts.</w:t>
      </w:r>
    </w:p>
    <w:p>
      <w:pPr>
        <w:numPr>
          <w:ilvl w:val="0"/>
          <w:numId w:val="1014"/>
        </w:numPr>
        <w:pStyle w:val="Compact"/>
      </w:pPr>
      <w:r>
        <w:t xml:space="preserve">Old calculations remain reproducible from versioned inputs and rules.</w:t>
      </w:r>
    </w:p>
    <w:bookmarkEnd w:id="27"/>
    <w:bookmarkStart w:id="30" w:name="price-knowledge-model"/>
    <w:p>
      <w:pPr>
        <w:pStyle w:val="Heading2"/>
      </w:pPr>
      <w:r>
        <w:t xml:space="preserve">3. Price knowledge model</w:t>
      </w:r>
    </w:p>
    <w:bookmarkStart w:id="28" w:name="core-records"/>
    <w:p>
      <w:pPr>
        <w:pStyle w:val="Heading3"/>
      </w:pPr>
      <w:r>
        <w:t xml:space="preserve">Core records</w:t>
      </w:r>
    </w:p>
    <w:p>
      <w:pPr>
        <w:numPr>
          <w:ilvl w:val="0"/>
          <w:numId w:val="1015"/>
        </w:numPr>
        <w:pStyle w:val="Compact"/>
      </w:pPr>
      <w:r>
        <w:rPr>
          <w:bCs/>
          <w:b/>
        </w:rPr>
        <w:t xml:space="preserve">BudgetTaxonomyEdition:</w:t>
      </w:r>
      <w:r>
        <w:t xml:space="preserve"> </w:t>
      </w:r>
      <w:r>
        <w:t xml:space="preserve">immutable category and subcategory hierarchy.</w:t>
      </w:r>
    </w:p>
    <w:p>
      <w:pPr>
        <w:numPr>
          <w:ilvl w:val="0"/>
          <w:numId w:val="1015"/>
        </w:numPr>
        <w:pStyle w:val="Compact"/>
      </w:pPr>
      <w:r>
        <w:rPr>
          <w:bCs/>
          <w:b/>
        </w:rPr>
        <w:t xml:space="preserve">CostItemDefinition:</w:t>
      </w:r>
      <w:r>
        <w:t xml:space="preserve"> </w:t>
      </w:r>
      <w:r>
        <w:t xml:space="preserve">governed purchasable or provisionable concept.</w:t>
      </w:r>
    </w:p>
    <w:p>
      <w:pPr>
        <w:numPr>
          <w:ilvl w:val="0"/>
          <w:numId w:val="1015"/>
        </w:numPr>
        <w:pStyle w:val="Compact"/>
      </w:pPr>
      <w:r>
        <w:rPr>
          <w:bCs/>
          <w:b/>
        </w:rPr>
        <w:t xml:space="preserve">QuantityDriverDefinition:</w:t>
      </w:r>
      <w:r>
        <w:t xml:space="preserve"> </w:t>
      </w:r>
      <w:r>
        <w:t xml:space="preserve">named input such as guests, hours, tables, rooms or days.</w:t>
      </w:r>
    </w:p>
    <w:p>
      <w:pPr>
        <w:numPr>
          <w:ilvl w:val="0"/>
          <w:numId w:val="1015"/>
        </w:numPr>
        <w:pStyle w:val="Compact"/>
      </w:pPr>
      <w:r>
        <w:rPr>
          <w:bCs/>
          <w:b/>
        </w:rPr>
        <w:t xml:space="preserve">CostRuleEdition:</w:t>
      </w:r>
      <w:r>
        <w:t xml:space="preserve"> </w:t>
      </w:r>
      <w:r>
        <w:t xml:space="preserve">safe deterministic calculation rule.</w:t>
      </w:r>
    </w:p>
    <w:p>
      <w:pPr>
        <w:numPr>
          <w:ilvl w:val="0"/>
          <w:numId w:val="1015"/>
        </w:numPr>
        <w:pStyle w:val="Compact"/>
      </w:pPr>
      <w:r>
        <w:rPr>
          <w:bCs/>
          <w:b/>
        </w:rPr>
        <w:t xml:space="preserve">EventBudgetTemplateEdition:</w:t>
      </w:r>
      <w:r>
        <w:t xml:space="preserve"> </w:t>
      </w:r>
      <w:r>
        <w:t xml:space="preserve">conditional bill-of-material pattern for an event archetype.</w:t>
      </w:r>
    </w:p>
    <w:p>
      <w:pPr>
        <w:numPr>
          <w:ilvl w:val="0"/>
          <w:numId w:val="1015"/>
        </w:numPr>
        <w:pStyle w:val="Compact"/>
      </w:pPr>
      <w:r>
        <w:rPr>
          <w:bCs/>
          <w:b/>
        </w:rPr>
        <w:t xml:space="preserve">VendorProfile:</w:t>
      </w:r>
      <w:r>
        <w:t xml:space="preserve"> </w:t>
      </w:r>
      <w:r>
        <w:t xml:space="preserve">existing or linked supplier identity projection, never a parallel vendor ledger.</w:t>
      </w:r>
    </w:p>
    <w:p>
      <w:pPr>
        <w:numPr>
          <w:ilvl w:val="0"/>
          <w:numId w:val="1015"/>
        </w:numPr>
        <w:pStyle w:val="Compact"/>
      </w:pPr>
      <w:r>
        <w:rPr>
          <w:bCs/>
          <w:b/>
        </w:rPr>
        <w:t xml:space="preserve">VendorPriceCardEdition:</w:t>
      </w:r>
      <w:r>
        <w:t xml:space="preserve"> </w:t>
      </w:r>
      <w:r>
        <w:t xml:space="preserve">time-bounded supplier price terms.</w:t>
      </w:r>
    </w:p>
    <w:p>
      <w:pPr>
        <w:numPr>
          <w:ilvl w:val="0"/>
          <w:numId w:val="1015"/>
        </w:numPr>
        <w:pStyle w:val="Compact"/>
      </w:pPr>
      <w:r>
        <w:rPr>
          <w:bCs/>
          <w:b/>
        </w:rPr>
        <w:t xml:space="preserve">MarketIndexObservation:</w:t>
      </w:r>
      <w:r>
        <w:t xml:space="preserve"> </w:t>
      </w:r>
      <w:r>
        <w:t xml:space="preserve">governed inflation, FX, fuel or category-index observation.</w:t>
      </w:r>
    </w:p>
    <w:p>
      <w:pPr>
        <w:numPr>
          <w:ilvl w:val="0"/>
          <w:numId w:val="1015"/>
        </w:numPr>
        <w:pStyle w:val="Compact"/>
      </w:pPr>
      <w:r>
        <w:rPr>
          <w:bCs/>
          <w:b/>
        </w:rPr>
        <w:t xml:space="preserve">PriceEvidence:</w:t>
      </w:r>
      <w:r>
        <w:t xml:space="preserve"> </w:t>
      </w:r>
      <w:r>
        <w:t xml:space="preserve">quote, rate-card or benchmark provenance and private artefact reference.</w:t>
      </w:r>
    </w:p>
    <w:p>
      <w:pPr>
        <w:numPr>
          <w:ilvl w:val="0"/>
          <w:numId w:val="1015"/>
        </w:numPr>
        <w:pStyle w:val="Compact"/>
      </w:pPr>
      <w:r>
        <w:rPr>
          <w:bCs/>
          <w:b/>
        </w:rPr>
        <w:t xml:space="preserve">BudgetAssumption:</w:t>
      </w:r>
      <w:r>
        <w:t xml:space="preserve"> </w:t>
      </w:r>
      <w:r>
        <w:t xml:space="preserve">event-scoped selected value and source.</w:t>
      </w:r>
    </w:p>
    <w:p>
      <w:pPr>
        <w:numPr>
          <w:ilvl w:val="0"/>
          <w:numId w:val="1015"/>
        </w:numPr>
        <w:pStyle w:val="Compact"/>
      </w:pPr>
      <w:r>
        <w:rPr>
          <w:bCs/>
          <w:b/>
        </w:rPr>
        <w:t xml:space="preserve">BudgetLine:</w:t>
      </w:r>
      <w:r>
        <w:t xml:space="preserve"> </w:t>
      </w:r>
      <w:r>
        <w:t xml:space="preserve">materialised calculation result with trace.</w:t>
      </w:r>
    </w:p>
    <w:p>
      <w:pPr>
        <w:numPr>
          <w:ilvl w:val="0"/>
          <w:numId w:val="1015"/>
        </w:numPr>
        <w:pStyle w:val="Compact"/>
      </w:pPr>
      <w:r>
        <w:rPr>
          <w:bCs/>
          <w:b/>
        </w:rPr>
        <w:t xml:space="preserve">BudgetScenarioEdition:</w:t>
      </w:r>
      <w:r>
        <w:t xml:space="preserve"> </w:t>
      </w:r>
      <w:r>
        <w:t xml:space="preserve">immutable complete scenario.</w:t>
      </w:r>
    </w:p>
    <w:p>
      <w:pPr>
        <w:numPr>
          <w:ilvl w:val="0"/>
          <w:numId w:val="1015"/>
        </w:numPr>
        <w:pStyle w:val="Compact"/>
      </w:pPr>
      <w:r>
        <w:rPr>
          <w:bCs/>
          <w:b/>
        </w:rPr>
        <w:t xml:space="preserve">BudgetRecommendationEdition:</w:t>
      </w:r>
      <w:r>
        <w:t xml:space="preserve"> </w:t>
      </w:r>
      <w:r>
        <w:t xml:space="preserve">Maison Doclar advice over exact scenario hashes.</w:t>
      </w:r>
    </w:p>
    <w:p>
      <w:pPr>
        <w:numPr>
          <w:ilvl w:val="0"/>
          <w:numId w:val="1015"/>
        </w:numPr>
        <w:pStyle w:val="Compact"/>
      </w:pPr>
      <w:r>
        <w:rPr>
          <w:bCs/>
          <w:b/>
        </w:rPr>
        <w:t xml:space="preserve">FinancialStateDeclaration:</w:t>
      </w:r>
      <w:r>
        <w:t xml:space="preserve"> </w:t>
      </w:r>
      <w:r>
        <w:t xml:space="preserve">separately declared envelope, commitment, payment, forecast or cash need.</w:t>
      </w:r>
    </w:p>
    <w:p>
      <w:pPr>
        <w:numPr>
          <w:ilvl w:val="0"/>
          <w:numId w:val="1015"/>
        </w:numPr>
        <w:pStyle w:val="Compact"/>
      </w:pPr>
      <w:r>
        <w:rPr>
          <w:bCs/>
          <w:b/>
        </w:rPr>
        <w:t xml:space="preserve">ComparableEventCohortEdition:</w:t>
      </w:r>
      <w:r>
        <w:t xml:space="preserve"> </w:t>
      </w:r>
      <w:r>
        <w:t xml:space="preserve">governed de-identified benchmark definition.</w:t>
      </w:r>
    </w:p>
    <w:bookmarkEnd w:id="28"/>
    <w:bookmarkStart w:id="29" w:name="cost-item-requirements"/>
    <w:p>
      <w:pPr>
        <w:pStyle w:val="Heading3"/>
      </w:pPr>
      <w:r>
        <w:t xml:space="preserve">Cost item requirements</w:t>
      </w:r>
    </w:p>
    <w:p>
      <w:pPr>
        <w:pStyle w:val="FirstParagraph"/>
      </w:pPr>
      <w:r>
        <w:t xml:space="preserve">Each</w:t>
      </w:r>
      <w:r>
        <w:t xml:space="preserve"> </w:t>
      </w:r>
      <w:r>
        <w:rPr>
          <w:rStyle w:val="VerbatimChar"/>
        </w:rPr>
        <w:t xml:space="preserve">CostItemDefinition</w:t>
      </w:r>
      <w:r>
        <w:t xml:space="preserve"> </w:t>
      </w:r>
      <w:r>
        <w:t xml:space="preserve">carries:</w:t>
      </w:r>
    </w:p>
    <w:p>
      <w:pPr>
        <w:numPr>
          <w:ilvl w:val="0"/>
          <w:numId w:val="1016"/>
        </w:numPr>
        <w:pStyle w:val="Compact"/>
      </w:pPr>
      <w:r>
        <w:t xml:space="preserve">stable code and human title;</w:t>
      </w:r>
    </w:p>
    <w:p>
      <w:pPr>
        <w:numPr>
          <w:ilvl w:val="0"/>
          <w:numId w:val="1016"/>
        </w:numPr>
        <w:pStyle w:val="Compact"/>
      </w:pPr>
      <w:r>
        <w:t xml:space="preserve">taxonomy path;</w:t>
      </w:r>
    </w:p>
    <w:p>
      <w:pPr>
        <w:numPr>
          <w:ilvl w:val="0"/>
          <w:numId w:val="1016"/>
        </w:numPr>
        <w:pStyle w:val="Compact"/>
      </w:pPr>
      <w:r>
        <w:t xml:space="preserve">unit kind;</w:t>
      </w:r>
    </w:p>
    <w:p>
      <w:pPr>
        <w:numPr>
          <w:ilvl w:val="0"/>
          <w:numId w:val="1016"/>
        </w:numPr>
        <w:pStyle w:val="Compact"/>
      </w:pPr>
      <w:r>
        <w:t xml:space="preserve">quantity-driver schema;</w:t>
      </w:r>
    </w:p>
    <w:p>
      <w:pPr>
        <w:numPr>
          <w:ilvl w:val="0"/>
          <w:numId w:val="1016"/>
        </w:numPr>
        <w:pStyle w:val="Compact"/>
      </w:pPr>
      <w:r>
        <w:t xml:space="preserve">required/conditional/recommended/optional classification;</w:t>
      </w:r>
    </w:p>
    <w:p>
      <w:pPr>
        <w:numPr>
          <w:ilvl w:val="0"/>
          <w:numId w:val="1016"/>
        </w:numPr>
        <w:pStyle w:val="Compact"/>
      </w:pPr>
      <w:r>
        <w:t xml:space="preserve">inclusion predicates;</w:t>
      </w:r>
    </w:p>
    <w:p>
      <w:pPr>
        <w:numPr>
          <w:ilvl w:val="0"/>
          <w:numId w:val="1016"/>
        </w:numPr>
        <w:pStyle w:val="Compact"/>
      </w:pPr>
      <w:r>
        <w:t xml:space="preserve">mutually exclusive/compatible item relationships;</w:t>
      </w:r>
    </w:p>
    <w:p>
      <w:pPr>
        <w:numPr>
          <w:ilvl w:val="0"/>
          <w:numId w:val="1016"/>
        </w:numPr>
        <w:pStyle w:val="Compact"/>
      </w:pPr>
      <w:r>
        <w:t xml:space="preserve">minimum/maximum/order increments;</w:t>
      </w:r>
    </w:p>
    <w:p>
      <w:pPr>
        <w:numPr>
          <w:ilvl w:val="0"/>
          <w:numId w:val="1016"/>
        </w:numPr>
        <w:pStyle w:val="Compact"/>
      </w:pPr>
      <w:r>
        <w:t xml:space="preserve">location, duration, season, FX and lead-time sensitivity;</w:t>
      </w:r>
    </w:p>
    <w:p>
      <w:pPr>
        <w:numPr>
          <w:ilvl w:val="0"/>
          <w:numId w:val="1016"/>
        </w:numPr>
        <w:pStyle w:val="Compact"/>
      </w:pPr>
      <w:r>
        <w:t xml:space="preserve">whether taxes/fees are embedded;</w:t>
      </w:r>
    </w:p>
    <w:p>
      <w:pPr>
        <w:numPr>
          <w:ilvl w:val="0"/>
          <w:numId w:val="1016"/>
        </w:numPr>
        <w:pStyle w:val="Compact"/>
      </w:pPr>
      <w:r>
        <w:t xml:space="preserve">default contingency class;</w:t>
      </w:r>
    </w:p>
    <w:p>
      <w:pPr>
        <w:numPr>
          <w:ilvl w:val="0"/>
          <w:numId w:val="1016"/>
        </w:numPr>
        <w:pStyle w:val="Compact"/>
      </w:pPr>
      <w:r>
        <w:t xml:space="preserve">client-visible description;</w:t>
      </w:r>
    </w:p>
    <w:p>
      <w:pPr>
        <w:numPr>
          <w:ilvl w:val="0"/>
          <w:numId w:val="1016"/>
        </w:numPr>
        <w:pStyle w:val="Compact"/>
      </w:pPr>
      <w:r>
        <w:t xml:space="preserve">internal procurement notes;</w:t>
      </w:r>
    </w:p>
    <w:p>
      <w:pPr>
        <w:numPr>
          <w:ilvl w:val="0"/>
          <w:numId w:val="1016"/>
        </w:numPr>
        <w:pStyle w:val="Compact"/>
      </w:pPr>
      <w:r>
        <w:t xml:space="preserve">lifecycle and edition provenance.</w:t>
      </w:r>
    </w:p>
    <w:bookmarkEnd w:id="29"/>
    <w:bookmarkEnd w:id="30"/>
    <w:bookmarkStart w:id="31" w:name="unit-and-money-safety"/>
    <w:p>
      <w:pPr>
        <w:pStyle w:val="Heading2"/>
      </w:pPr>
      <w:r>
        <w:t xml:space="preserve">4. Unit and money safety</w:t>
      </w:r>
    </w:p>
    <w:p>
      <w:pPr>
        <w:pStyle w:val="FirstParagraph"/>
      </w:pPr>
      <w:r>
        <w:t xml:space="preserve">Amounts must use integer minor units and ISO currency. Never use binary floating-point for money.</w:t>
      </w:r>
    </w:p>
    <w:p>
      <w:pPr>
        <w:pStyle w:val="SourceCode"/>
      </w:pPr>
      <w:r>
        <w:rPr>
          <w:rStyle w:val="KeywordTok"/>
        </w:rPr>
        <w:t xml:space="preserve">type</w:t>
      </w:r>
      <w:r>
        <w:rPr>
          <w:rStyle w:val="NormalTok"/>
        </w:rPr>
        <w:t xml:space="preserve"> CurrencyCode </w:t>
      </w:r>
      <w:r>
        <w:rPr>
          <w:rStyle w:val="OperatorTok"/>
        </w:rPr>
        <w:t xml:space="preserve">=</w:t>
      </w:r>
      <w:r>
        <w:rPr>
          <w:rStyle w:val="NormalTok"/>
        </w:rPr>
        <w:t xml:space="preserve"> </w:t>
      </w:r>
      <w:r>
        <w:rPr>
          <w:rStyle w:val="StringTok"/>
        </w:rPr>
        <w:t xml:space="preserve">"NGN"</w:t>
      </w:r>
      <w:r>
        <w:rPr>
          <w:rStyle w:val="NormalTok"/>
        </w:rPr>
        <w:t xml:space="preserve"> </w:t>
      </w:r>
      <w:r>
        <w:rPr>
          <w:rStyle w:val="OperatorTok"/>
        </w:rPr>
        <w:t xml:space="preserve">|</w:t>
      </w:r>
      <w:r>
        <w:rPr>
          <w:rStyle w:val="NormalTok"/>
        </w:rPr>
        <w:t xml:space="preserve"> </w:t>
      </w:r>
      <w:r>
        <w:rPr>
          <w:rStyle w:val="StringTok"/>
        </w:rPr>
        <w:t xml:space="preserve">"GBP"</w:t>
      </w:r>
      <w:r>
        <w:rPr>
          <w:rStyle w:val="NormalTok"/>
        </w:rPr>
        <w:t xml:space="preserve"> </w:t>
      </w:r>
      <w:r>
        <w:rPr>
          <w:rStyle w:val="OperatorTok"/>
        </w:rPr>
        <w:t xml:space="preserve">|</w:t>
      </w:r>
      <w:r>
        <w:rPr>
          <w:rStyle w:val="NormalTok"/>
        </w:rPr>
        <w:t xml:space="preserve"> </w:t>
      </w:r>
      <w:r>
        <w:rPr>
          <w:rStyle w:val="StringTok"/>
        </w:rPr>
        <w:t xml:space="preserve">"USD"</w:t>
      </w:r>
      <w:r>
        <w:rPr>
          <w:rStyle w:val="NormalTok"/>
        </w:rPr>
        <w:t xml:space="preserve"> </w:t>
      </w:r>
      <w:r>
        <w:rPr>
          <w:rStyle w:val="OperatorTok"/>
        </w:rPr>
        <w:t xml:space="preserve">|</w:t>
      </w:r>
      <w:r>
        <w:rPr>
          <w:rStyle w:val="NormalTok"/>
        </w:rPr>
        <w:t xml:space="preserve"> </w:t>
      </w:r>
      <w:r>
        <w:rPr>
          <w:rStyle w:val="StringTok"/>
        </w:rPr>
        <w:t xml:space="preserve">"EUR"</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KeywordTok"/>
        </w:rPr>
        <w:t xml:space="preserve">type</w:t>
      </w:r>
      <w:r>
        <w:rPr>
          <w:rStyle w:val="NormalTok"/>
        </w:rPr>
        <w:t xml:space="preserve"> Money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currency</w:t>
      </w:r>
      <w:r>
        <w:rPr>
          <w:rStyle w:val="OperatorTok"/>
        </w:rPr>
        <w:t xml:space="preserve">:</w:t>
      </w:r>
      <w:r>
        <w:rPr>
          <w:rStyle w:val="NormalTok"/>
        </w:rPr>
        <w:t xml:space="preserve"> CurrencyCode</w:t>
      </w:r>
      <w:r>
        <w:rPr>
          <w:rStyle w:val="OperatorTok"/>
        </w:rPr>
        <w:t xml:space="preserve">;</w:t>
      </w:r>
      <w:r>
        <w:br/>
      </w:r>
      <w:r>
        <w:rPr>
          <w:rStyle w:val="NormalTok"/>
        </w:rPr>
        <w:t xml:space="preserve">  minor</w:t>
      </w:r>
      <w:r>
        <w:rPr>
          <w:rStyle w:val="OperatorTok"/>
        </w:rPr>
        <w:t xml:space="preserve">:</w:t>
      </w:r>
      <w:r>
        <w:rPr>
          <w:rStyle w:val="NormalTok"/>
        </w:rPr>
        <w:t xml:space="preserve"> </w:t>
      </w:r>
      <w:r>
        <w:rPr>
          <w:rStyle w:val="DataTypeTok"/>
        </w:rPr>
        <w:t xml:space="preserve">bigint</w:t>
      </w:r>
      <w:r>
        <w:rPr>
          <w:rStyle w:val="OperatorTok"/>
        </w:rPr>
        <w:t xml:space="preserve">;</w:t>
      </w:r>
      <w:r>
        <w:br/>
      </w:r>
      <w:r>
        <w:rPr>
          <w:rStyle w:val="NormalTok"/>
        </w:rPr>
        <w:t xml:space="preserve">}</w:t>
      </w:r>
      <w:r>
        <w:rPr>
          <w:rStyle w:val="OperatorTok"/>
        </w:rPr>
        <w:t xml:space="preserve">&gt;;</w:t>
      </w:r>
      <w:r>
        <w:br/>
      </w:r>
      <w:r>
        <w:br/>
      </w:r>
      <w:r>
        <w:rPr>
          <w:rStyle w:val="KeywordTok"/>
        </w:rPr>
        <w:t xml:space="preserve">type</w:t>
      </w:r>
      <w:r>
        <w:rPr>
          <w:rStyle w:val="NormalTok"/>
        </w:rPr>
        <w:t xml:space="preserve"> MoneyRange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low</w:t>
      </w:r>
      <w:r>
        <w:rPr>
          <w:rStyle w:val="OperatorTok"/>
        </w:rPr>
        <w:t xml:space="preserve">:</w:t>
      </w:r>
      <w:r>
        <w:rPr>
          <w:rStyle w:val="NormalTok"/>
        </w:rPr>
        <w:t xml:space="preserve"> Money</w:t>
      </w:r>
      <w:r>
        <w:rPr>
          <w:rStyle w:val="OperatorTok"/>
        </w:rPr>
        <w:t xml:space="preserve">;</w:t>
      </w:r>
      <w:r>
        <w:br/>
      </w:r>
      <w:r>
        <w:rPr>
          <w:rStyle w:val="NormalTok"/>
        </w:rPr>
        <w:t xml:space="preserve">  expected</w:t>
      </w:r>
      <w:r>
        <w:rPr>
          <w:rStyle w:val="OperatorTok"/>
        </w:rPr>
        <w:t xml:space="preserve">:</w:t>
      </w:r>
      <w:r>
        <w:rPr>
          <w:rStyle w:val="NormalTok"/>
        </w:rPr>
        <w:t xml:space="preserve"> Money</w:t>
      </w:r>
      <w:r>
        <w:rPr>
          <w:rStyle w:val="OperatorTok"/>
        </w:rPr>
        <w:t xml:space="preserve">;</w:t>
      </w:r>
      <w:r>
        <w:br/>
      </w:r>
      <w:r>
        <w:rPr>
          <w:rStyle w:val="NormalTok"/>
        </w:rPr>
        <w:t xml:space="preserve">  high</w:t>
      </w:r>
      <w:r>
        <w:rPr>
          <w:rStyle w:val="OperatorTok"/>
        </w:rPr>
        <w:t xml:space="preserve">:</w:t>
      </w:r>
      <w:r>
        <w:rPr>
          <w:rStyle w:val="NormalTok"/>
        </w:rPr>
        <w:t xml:space="preserve"> Money</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w:t>
      </w:r>
      <w:r>
        <w:rPr>
          <w:rStyle w:val="OperatorTok"/>
        </w:rPr>
        <w:t xml:space="preserve">&gt;;</w:t>
      </w:r>
    </w:p>
    <w:p>
      <w:pPr>
        <w:pStyle w:val="FirstParagraph"/>
      </w:pPr>
      <w:r>
        <w:t xml:space="preserve">Quantities carry explicit units. Conversions use governed definitions. Adding different currencies without an explicit FX conversion is rejected.</w:t>
      </w:r>
    </w:p>
    <w:bookmarkEnd w:id="31"/>
    <w:bookmarkStart w:id="32" w:name="safe-rule-language"/>
    <w:p>
      <w:pPr>
        <w:pStyle w:val="Heading2"/>
      </w:pPr>
      <w:r>
        <w:t xml:space="preserve">5. Safe rule language</w:t>
      </w:r>
    </w:p>
    <w:p>
      <w:pPr>
        <w:pStyle w:val="FirstParagraph"/>
      </w:pPr>
      <w:r>
        <w:t xml:space="preserve">Do not evaluate arbitrary JavaScript or user expressions. Store a closed discriminated-union AST validated with strict schemas.</w:t>
      </w:r>
    </w:p>
    <w:p>
      <w:pPr>
        <w:pStyle w:val="SourceCode"/>
      </w:pPr>
      <w:r>
        <w:rPr>
          <w:rStyle w:val="KeywordTok"/>
        </w:rPr>
        <w:t xml:space="preserve">type</w:t>
      </w:r>
      <w:r>
        <w:rPr>
          <w:rStyle w:val="NormalTok"/>
        </w:rPr>
        <w:t xml:space="preserve"> BudgetExpr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"CONST_MONEY"</w:t>
      </w:r>
      <w:r>
        <w:rPr>
          <w:rStyle w:val="OperatorTok"/>
        </w:rPr>
        <w:t xml:space="preserve">;</w:t>
      </w:r>
      <w:r>
        <w:rPr>
          <w:rStyle w:val="NormalTok"/>
        </w:rPr>
        <w:t xml:space="preserve"> valueMinor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currency</w:t>
      </w:r>
      <w:r>
        <w:rPr>
          <w:rStyle w:val="OperatorTok"/>
        </w:rPr>
        <w:t xml:space="preserve">:</w:t>
      </w:r>
      <w:r>
        <w:rPr>
          <w:rStyle w:val="NormalTok"/>
        </w:rPr>
        <w:t xml:space="preserve"> CurrencyCode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"CONST_NUMBER"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"DRIVER"</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terms</w:t>
      </w:r>
      <w:r>
        <w:rPr>
          <w:rStyle w:val="OperatorTok"/>
        </w:rPr>
        <w:t xml:space="preserve">:</w:t>
      </w:r>
      <w:r>
        <w:rPr>
          <w:rStyle w:val="NormalTok"/>
        </w:rPr>
        <w:t xml:space="preserve"> BudgetExpr[]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"MULTIPLY"</w:t>
      </w:r>
      <w:r>
        <w:rPr>
          <w:rStyle w:val="OperatorTok"/>
        </w:rPr>
        <w:t xml:space="preserve">;</w:t>
      </w:r>
      <w:r>
        <w:rPr>
          <w:rStyle w:val="NormalTok"/>
        </w:rPr>
        <w:t xml:space="preserve"> factors</w:t>
      </w:r>
      <w:r>
        <w:rPr>
          <w:rStyle w:val="OperatorTok"/>
        </w:rPr>
        <w:t xml:space="preserve">:</w:t>
      </w:r>
      <w:r>
        <w:rPr>
          <w:rStyle w:val="NormalTok"/>
        </w:rPr>
        <w:t xml:space="preserve"> BudgetExpr[]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"MAX"</w:t>
      </w:r>
      <w:r>
        <w:rPr>
          <w:rStyle w:val="OperatorTok"/>
        </w:rPr>
        <w:t xml:space="preserve">;</w:t>
      </w:r>
      <w:r>
        <w:rPr>
          <w:rStyle w:val="NormalTok"/>
        </w:rPr>
        <w:t xml:space="preserve"> values</w:t>
      </w:r>
      <w:r>
        <w:rPr>
          <w:rStyle w:val="OperatorTok"/>
        </w:rPr>
        <w:t xml:space="preserve">:</w:t>
      </w:r>
      <w:r>
        <w:rPr>
          <w:rStyle w:val="NormalTok"/>
        </w:rPr>
        <w:t xml:space="preserve"> BudgetExpr[]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values</w:t>
      </w:r>
      <w:r>
        <w:rPr>
          <w:rStyle w:val="OperatorTok"/>
        </w:rPr>
        <w:t xml:space="preserve">:</w:t>
      </w:r>
      <w:r>
        <w:rPr>
          <w:rStyle w:val="NormalTok"/>
        </w:rPr>
        <w:t xml:space="preserve"> BudgetExpr[]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"ROUND"</w:t>
      </w:r>
      <w:r>
        <w:rPr>
          <w:rStyle w:val="OperatorTok"/>
        </w:rPr>
        <w:t xml:space="preserve">;</w:t>
      </w:r>
      <w:r>
        <w:rPr>
          <w:rStyle w:val="NormalTok"/>
        </w:rPr>
        <w:t xml:space="preserve"> value</w:t>
      </w:r>
      <w:r>
        <w:rPr>
          <w:rStyle w:val="OperatorTok"/>
        </w:rPr>
        <w:t xml:space="preserve">:</w:t>
      </w:r>
      <w:r>
        <w:rPr>
          <w:rStyle w:val="NormalTok"/>
        </w:rPr>
        <w:t xml:space="preserve"> BudgetExpr</w:t>
      </w:r>
      <w:r>
        <w:rPr>
          <w:rStyle w:val="OperatorTok"/>
        </w:rPr>
        <w:t xml:space="preserve">;</w:t>
      </w:r>
      <w:r>
        <w:rPr>
          <w:rStyle w:val="NormalTok"/>
        </w:rPr>
        <w:t xml:space="preserve"> increment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"UP"</w:t>
      </w:r>
      <w:r>
        <w:rPr>
          <w:rStyle w:val="NormalTok"/>
        </w:rPr>
        <w:t xml:space="preserve"> </w:t>
      </w:r>
      <w:r>
        <w:rPr>
          <w:rStyle w:val="OperatorTok"/>
        </w:rPr>
        <w:t xml:space="preserve">|</w:t>
      </w:r>
      <w:r>
        <w:rPr>
          <w:rStyle w:val="NormalTok"/>
        </w:rPr>
        <w:t xml:space="preserve"> </w:t>
      </w:r>
      <w:r>
        <w:rPr>
          <w:rStyle w:val="StringTok"/>
        </w:rPr>
        <w:t xml:space="preserve">"DOWN"</w:t>
      </w:r>
      <w:r>
        <w:rPr>
          <w:rStyle w:val="NormalTok"/>
        </w:rPr>
        <w:t xml:space="preserve"> </w:t>
      </w:r>
      <w:r>
        <w:rPr>
          <w:rStyle w:val="OperatorTok"/>
        </w:rPr>
        <w:t xml:space="preserve">|</w:t>
      </w:r>
      <w:r>
        <w:rPr>
          <w:rStyle w:val="NormalTok"/>
        </w:rPr>
        <w:t xml:space="preserve"> </w:t>
      </w:r>
      <w:r>
        <w:rPr>
          <w:rStyle w:val="StringTok"/>
        </w:rPr>
        <w:t xml:space="preserve">"NEAREST"</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tableId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input</w:t>
      </w:r>
      <w:r>
        <w:rPr>
          <w:rStyle w:val="OperatorTok"/>
        </w:rPr>
        <w:t xml:space="preserve">:</w:t>
      </w:r>
      <w:r>
        <w:rPr>
          <w:rStyle w:val="NormalTok"/>
        </w:rPr>
        <w:t xml:space="preserve"> BudgetExpr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"IF"</w:t>
      </w:r>
      <w:r>
        <w:rPr>
          <w:rStyle w:val="OperatorTok"/>
        </w:rPr>
        <w:t xml:space="preserve">;</w:t>
      </w:r>
      <w:r>
        <w:rPr>
          <w:rStyle w:val="NormalTok"/>
        </w:rPr>
        <w:t xml:space="preserve"> condition</w:t>
      </w:r>
      <w:r>
        <w:rPr>
          <w:rStyle w:val="OperatorTok"/>
        </w:rPr>
        <w:t xml:space="preserve">:</w:t>
      </w:r>
      <w:r>
        <w:rPr>
          <w:rStyle w:val="NormalTok"/>
        </w:rPr>
        <w:t xml:space="preserve"> BudgetCondition</w:t>
      </w:r>
      <w:r>
        <w:rPr>
          <w:rStyle w:val="OperatorTok"/>
        </w:rPr>
        <w:t xml:space="preserve">;</w:t>
      </w:r>
      <w:r>
        <w:rPr>
          <w:rStyle w:val="NormalTok"/>
        </w:rPr>
        <w:t xml:space="preserve"> then</w:t>
      </w:r>
      <w:r>
        <w:rPr>
          <w:rStyle w:val="OperatorTok"/>
        </w:rPr>
        <w:t xml:space="preserve">:</w:t>
      </w:r>
      <w:r>
        <w:rPr>
          <w:rStyle w:val="NormalTok"/>
        </w:rPr>
        <w:t xml:space="preserve"> BudgetExpr</w:t>
      </w:r>
      <w:r>
        <w:rPr>
          <w:rStyle w:val="OperatorTok"/>
        </w:rPr>
        <w:t xml:space="preserve">;</w:t>
      </w:r>
      <w:r>
        <w:rPr>
          <w:rStyle w:val="NormalTok"/>
        </w:rPr>
        <w:t xml:space="preserve"> otherwise</w:t>
      </w:r>
      <w:r>
        <w:rPr>
          <w:rStyle w:val="OperatorTok"/>
        </w:rPr>
        <w:t xml:space="preserve">:</w:t>
      </w:r>
      <w:r>
        <w:rPr>
          <w:rStyle w:val="NormalTok"/>
        </w:rPr>
        <w:t xml:space="preserve"> BudgetExpr }</w:t>
      </w:r>
      <w:r>
        <w:rPr>
          <w:rStyle w:val="OperatorTok"/>
        </w:rPr>
        <w:t xml:space="preserve">;</w:t>
      </w:r>
      <w:r>
        <w:br/>
      </w:r>
      <w:r>
        <w:br/>
      </w:r>
      <w:r>
        <w:rPr>
          <w:rStyle w:val="KeywordTok"/>
        </w:rPr>
        <w:t xml:space="preserve">type</w:t>
      </w:r>
      <w:r>
        <w:rPr>
          <w:rStyle w:val="NormalTok"/>
        </w:rPr>
        <w:t xml:space="preserve"> BudgetCondition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"COMPARE"</w:t>
      </w:r>
      <w:r>
        <w:rPr>
          <w:rStyle w:val="OperatorTok"/>
        </w:rPr>
        <w:t xml:space="preserve">;</w:t>
      </w:r>
      <w:r>
        <w:rPr>
          <w:rStyle w:val="NormalTok"/>
        </w:rPr>
        <w:t xml:space="preserve"> operator</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"LTE"</w:t>
      </w:r>
      <w:r>
        <w:rPr>
          <w:rStyle w:val="NormalTok"/>
        </w:rPr>
        <w:t xml:space="preserve"> </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"GTE"</w:t>
      </w:r>
      <w:r>
        <w:rPr>
          <w:rStyle w:val="NormalTok"/>
        </w:rPr>
        <w:t xml:space="preserve"> </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left</w:t>
      </w:r>
      <w:r>
        <w:rPr>
          <w:rStyle w:val="OperatorTok"/>
        </w:rPr>
        <w:t xml:space="preserve">:</w:t>
      </w:r>
      <w:r>
        <w:rPr>
          <w:rStyle w:val="NormalTok"/>
        </w:rPr>
        <w:t xml:space="preserve"> BudgetExpr</w:t>
      </w:r>
      <w:r>
        <w:rPr>
          <w:rStyle w:val="OperatorTok"/>
        </w:rPr>
        <w:t xml:space="preserve">;</w:t>
      </w:r>
      <w:r>
        <w:rPr>
          <w:rStyle w:val="NormalTok"/>
        </w:rPr>
        <w:t xml:space="preserve"> right</w:t>
      </w:r>
      <w:r>
        <w:rPr>
          <w:rStyle w:val="OperatorTok"/>
        </w:rPr>
        <w:t xml:space="preserve">:</w:t>
      </w:r>
      <w:r>
        <w:rPr>
          <w:rStyle w:val="NormalTok"/>
        </w:rPr>
        <w:t xml:space="preserve"> BudgetExpr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value</w:t>
      </w:r>
      <w:r>
        <w:rPr>
          <w:rStyle w:val="OperatorTok"/>
        </w:rPr>
        <w:t xml:space="preserve">:</w:t>
      </w:r>
      <w:r>
        <w:rPr>
          <w:rStyle w:val="NormalTok"/>
        </w:rPr>
        <w:t xml:space="preserve"> BudgetExpr</w:t>
      </w:r>
      <w:r>
        <w:rPr>
          <w:rStyle w:val="OperatorTok"/>
        </w:rPr>
        <w:t xml:space="preserve">;</w:t>
      </w:r>
      <w:r>
        <w:rPr>
          <w:rStyle w:val="NormalTok"/>
        </w:rPr>
        <w:t xml:space="preserve"> choices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"AND"</w:t>
      </w:r>
      <w:r>
        <w:rPr>
          <w:rStyle w:val="NormalTok"/>
        </w:rPr>
        <w:t xml:space="preserve"> </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conditions</w:t>
      </w:r>
      <w:r>
        <w:rPr>
          <w:rStyle w:val="OperatorTok"/>
        </w:rPr>
        <w:t xml:space="preserve">:</w:t>
      </w:r>
      <w:r>
        <w:rPr>
          <w:rStyle w:val="NormalTok"/>
        </w:rPr>
        <w:t xml:space="preserve"> BudgetCondition[] }</w:t>
      </w:r>
      <w:r>
        <w:rPr>
          <w:rStyle w:val="OperatorTok"/>
        </w:rPr>
        <w:t xml:space="preserve">;</w:t>
      </w:r>
    </w:p>
    <w:p>
      <w:pPr>
        <w:pStyle w:val="FirstParagraph"/>
      </w:pPr>
      <w:r>
        <w:t xml:space="preserve">The evaluator must enforce maximum depth/node count, type compatibility, deterministic decimal arithmetic, no I/O and a complete trace.</w:t>
      </w:r>
    </w:p>
    <w:bookmarkEnd w:id="32"/>
    <w:bookmarkStart w:id="33" w:name="calculation-trace"/>
    <w:p>
      <w:pPr>
        <w:pStyle w:val="Heading2"/>
      </w:pPr>
      <w:r>
        <w:t xml:space="preserve">6. Calculation trace</w:t>
      </w:r>
    </w:p>
    <w:p>
      <w:pPr>
        <w:pStyle w:val="FirstParagraph"/>
      </w:pPr>
      <w:r>
        <w:t xml:space="preserve">Every materialised Budget Line records:</w:t>
      </w:r>
    </w:p>
    <w:p>
      <w:pPr>
        <w:numPr>
          <w:ilvl w:val="0"/>
          <w:numId w:val="1017"/>
        </w:numPr>
        <w:pStyle w:val="Compact"/>
      </w:pPr>
      <w:r>
        <w:t xml:space="preserve">selected cost-item and rule edition;</w:t>
      </w:r>
    </w:p>
    <w:p>
      <w:pPr>
        <w:numPr>
          <w:ilvl w:val="0"/>
          <w:numId w:val="1017"/>
        </w:numPr>
        <w:pStyle w:val="Compact"/>
      </w:pPr>
      <w:r>
        <w:t xml:space="preserve">source template and inclusion reason;</w:t>
      </w:r>
    </w:p>
    <w:p>
      <w:pPr>
        <w:numPr>
          <w:ilvl w:val="0"/>
          <w:numId w:val="1017"/>
        </w:numPr>
        <w:pStyle w:val="Compact"/>
      </w:pPr>
      <w:r>
        <w:t xml:space="preserve">input drivers and their provenance;</w:t>
      </w:r>
    </w:p>
    <w:p>
      <w:pPr>
        <w:numPr>
          <w:ilvl w:val="0"/>
          <w:numId w:val="1017"/>
        </w:numPr>
        <w:pStyle w:val="Compact"/>
      </w:pPr>
      <w:r>
        <w:t xml:space="preserve">selected vendor price card/benchmark;</w:t>
      </w:r>
    </w:p>
    <w:p>
      <w:pPr>
        <w:numPr>
          <w:ilvl w:val="0"/>
          <w:numId w:val="1017"/>
        </w:numPr>
        <w:pStyle w:val="Compact"/>
      </w:pPr>
      <w:r>
        <w:t xml:space="preserve">base price or range;</w:t>
      </w:r>
    </w:p>
    <w:p>
      <w:pPr>
        <w:numPr>
          <w:ilvl w:val="0"/>
          <w:numId w:val="1017"/>
        </w:numPr>
        <w:pStyle w:val="Compact"/>
      </w:pPr>
      <w:r>
        <w:t xml:space="preserve">quantity calculation;</w:t>
      </w:r>
    </w:p>
    <w:p>
      <w:pPr>
        <w:numPr>
          <w:ilvl w:val="0"/>
          <w:numId w:val="1017"/>
        </w:numPr>
        <w:pStyle w:val="Compact"/>
      </w:pPr>
      <w:r>
        <w:t xml:space="preserve">each factor/lookup/rounding step;</w:t>
      </w:r>
    </w:p>
    <w:p>
      <w:pPr>
        <w:numPr>
          <w:ilvl w:val="0"/>
          <w:numId w:val="1017"/>
        </w:numPr>
        <w:pStyle w:val="Compact"/>
      </w:pPr>
      <w:r>
        <w:t xml:space="preserve">tax/service/contingency treatment;</w:t>
      </w:r>
    </w:p>
    <w:p>
      <w:pPr>
        <w:numPr>
          <w:ilvl w:val="0"/>
          <w:numId w:val="1017"/>
        </w:numPr>
        <w:pStyle w:val="Compact"/>
      </w:pPr>
      <w:r>
        <w:t xml:space="preserve">FX rate and observation date where applicable;</w:t>
      </w:r>
    </w:p>
    <w:p>
      <w:pPr>
        <w:numPr>
          <w:ilvl w:val="0"/>
          <w:numId w:val="1017"/>
        </w:numPr>
        <w:pStyle w:val="Compact"/>
      </w:pPr>
      <w:r>
        <w:t xml:space="preserve">low/expected/high result;</w:t>
      </w:r>
    </w:p>
    <w:p>
      <w:pPr>
        <w:numPr>
          <w:ilvl w:val="0"/>
          <w:numId w:val="1017"/>
        </w:numPr>
        <w:pStyle w:val="Compact"/>
      </w:pPr>
      <w:r>
        <w:t xml:space="preserve">staleness and confidence;</w:t>
      </w:r>
    </w:p>
    <w:p>
      <w:pPr>
        <w:numPr>
          <w:ilvl w:val="0"/>
          <w:numId w:val="1017"/>
        </w:numPr>
        <w:pStyle w:val="Compact"/>
      </w:pPr>
      <w:r>
        <w:t xml:space="preserve">warnings and unresolved inputs;</w:t>
      </w:r>
    </w:p>
    <w:p>
      <w:pPr>
        <w:numPr>
          <w:ilvl w:val="0"/>
          <w:numId w:val="1017"/>
        </w:numPr>
        <w:pStyle w:val="Compact"/>
      </w:pPr>
      <w:r>
        <w:t xml:space="preserve">content hash.</w:t>
      </w:r>
    </w:p>
    <w:p>
      <w:pPr>
        <w:pStyle w:val="FirstParagraph"/>
      </w:pPr>
      <w:r>
        <w:t xml:space="preserve">The same immutable inputs and rule editions must reproduce the same output hash.</w:t>
      </w:r>
    </w:p>
    <w:bookmarkEnd w:id="33"/>
    <w:bookmarkStart w:id="34" w:name="bill-of-material-generation"/>
    <w:p>
      <w:pPr>
        <w:pStyle w:val="Heading2"/>
      </w:pPr>
      <w:r>
        <w:t xml:space="preserve">7. Bill-of-material generation</w:t>
      </w:r>
    </w:p>
    <w:p>
      <w:pPr>
        <w:pStyle w:val="FirstParagraph"/>
      </w:pPr>
      <w:r>
        <w:t xml:space="preserve">Templates contain conditional item selectors, not fixed packages. A template may propose a line because of event type, guest count, programme, venue status, service duration, client priority or risk requirement.</w:t>
      </w:r>
    </w:p>
    <w:p>
      <w:pPr>
        <w:pStyle w:val="BodyText"/>
      </w:pPr>
      <w:r>
        <w:t xml:space="preserve">Line presence states:</w:t>
      </w:r>
    </w:p>
    <w:p>
      <w:pPr>
        <w:pStyle w:val="BodyText"/>
      </w:pPr>
      <w:r>
        <w:rPr>
          <w:rStyle w:val="VerbatimChar"/>
        </w:rPr>
        <w:t xml:space="preserve">REQUIRED</w:t>
      </w:r>
      <w:r>
        <w:t xml:space="preserve">,</w:t>
      </w:r>
      <w:r>
        <w:t xml:space="preserve"> </w:t>
      </w:r>
      <w:r>
        <w:rPr>
          <w:rStyle w:val="VerbatimChar"/>
        </w:rPr>
        <w:t xml:space="preserve">CONDITIONAL</w:t>
      </w:r>
      <w:r>
        <w:t xml:space="preserve">,</w:t>
      </w:r>
      <w:r>
        <w:t xml:space="preserve"> </w:t>
      </w:r>
      <w:r>
        <w:rPr>
          <w:rStyle w:val="VerbatimChar"/>
        </w:rPr>
        <w:t xml:space="preserve">RECOMMENDED</w:t>
      </w:r>
      <w:r>
        <w:t xml:space="preserve">,</w:t>
      </w:r>
      <w:r>
        <w:t xml:space="preserve"> </w:t>
      </w:r>
      <w:r>
        <w:rPr>
          <w:rStyle w:val="VerbatimChar"/>
        </w:rPr>
        <w:t xml:space="preserve">OPTIONAL</w:t>
      </w:r>
      <w:r>
        <w:t xml:space="preserve">,</w:t>
      </w:r>
      <w:r>
        <w:t xml:space="preserve"> </w:t>
      </w:r>
      <w:r>
        <w:rPr>
          <w:rStyle w:val="VerbatimChar"/>
        </w:rPr>
        <w:t xml:space="preserve">EXCLUDED_BY_CLIENT</w:t>
      </w:r>
      <w:r>
        <w:t xml:space="preserve">,</w:t>
      </w:r>
      <w:r>
        <w:t xml:space="preserve"> </w:t>
      </w:r>
      <w:r>
        <w:rPr>
          <w:rStyle w:val="VerbatimChar"/>
        </w:rPr>
        <w:t xml:space="preserve">NOT_APPLICABLE</w:t>
      </w:r>
      <w:r>
        <w:t xml:space="preserve">,</w:t>
      </w:r>
      <w:r>
        <w:t xml:space="preserve"> </w:t>
      </w:r>
      <w:r>
        <w:rPr>
          <w:rStyle w:val="VerbatimChar"/>
        </w:rPr>
        <w:t xml:space="preserve">UNRESOLVED</w:t>
      </w:r>
      <w:r>
        <w:t xml:space="preserve">.</w:t>
      </w:r>
    </w:p>
    <w:p>
      <w:pPr>
        <w:pStyle w:val="BodyText"/>
      </w:pPr>
      <w:r>
        <w:t xml:space="preserve">An exclusion of a safety, legal, power-resilience or other protected requirement must produce an explicit risk/approval route rather than silently reducing the number.</w:t>
      </w:r>
    </w:p>
    <w:bookmarkEnd w:id="34"/>
    <w:bookmarkStart w:id="35" w:name="prices-and-evidence"/>
    <w:p>
      <w:pPr>
        <w:pStyle w:val="Heading2"/>
      </w:pPr>
      <w:r>
        <w:t xml:space="preserve">8. Prices and evidence</w:t>
      </w:r>
    </w:p>
    <w:p>
      <w:pPr>
        <w:pStyle w:val="FirstParagraph"/>
      </w:pPr>
      <w:r>
        <w:t xml:space="preserve">Price basis:</w:t>
      </w:r>
    </w:p>
    <w:p>
      <w:pPr>
        <w:pStyle w:val="BodyText"/>
      </w:pPr>
      <w:r>
        <w:rPr>
          <w:rStyle w:val="VerbatimChar"/>
        </w:rPr>
        <w:t xml:space="preserve">VENDOR_QUOTE</w:t>
      </w:r>
      <w:r>
        <w:t xml:space="preserve">,</w:t>
      </w:r>
      <w:r>
        <w:t xml:space="preserve"> </w:t>
      </w:r>
      <w:r>
        <w:rPr>
          <w:rStyle w:val="VerbatimChar"/>
        </w:rPr>
        <w:t xml:space="preserve">VENDOR_RATE_CARD</w:t>
      </w:r>
      <w:r>
        <w:t xml:space="preserve">,</w:t>
      </w:r>
      <w:r>
        <w:t xml:space="preserve"> </w:t>
      </w:r>
      <w:r>
        <w:rPr>
          <w:rStyle w:val="VerbatimChar"/>
        </w:rPr>
        <w:t xml:space="preserve">CONTRACTED</w:t>
      </w:r>
      <w:r>
        <w:t xml:space="preserve">,</w:t>
      </w:r>
      <w:r>
        <w:t xml:space="preserve"> </w:t>
      </w:r>
      <w:r>
        <w:rPr>
          <w:rStyle w:val="VerbatimChar"/>
        </w:rPr>
        <w:t xml:space="preserve">INTERNAL_BENCHMARK</w:t>
      </w:r>
      <w:r>
        <w:t xml:space="preserve">,</w:t>
      </w:r>
      <w:r>
        <w:t xml:space="preserve"> </w:t>
      </w:r>
      <w:r>
        <w:rPr>
          <w:rStyle w:val="VerbatimChar"/>
        </w:rPr>
        <w:t xml:space="preserve">COMPARABLE_EVENT</w:t>
      </w:r>
      <w:r>
        <w:t xml:space="preserve">,</w:t>
      </w:r>
      <w:r>
        <w:t xml:space="preserve"> </w:t>
      </w:r>
      <w:r>
        <w:rPr>
          <w:rStyle w:val="VerbatimChar"/>
        </w:rPr>
        <w:t xml:space="preserve">MARKET_ESTIMATE</w:t>
      </w:r>
      <w:r>
        <w:t xml:space="preserve">,</w:t>
      </w:r>
      <w:r>
        <w:t xml:space="preserve"> </w:t>
      </w:r>
      <w:r>
        <w:rPr>
          <w:rStyle w:val="VerbatimChar"/>
        </w:rPr>
        <w:t xml:space="preserve">MANUAL_ASSUMPTION</w:t>
      </w:r>
      <w:r>
        <w:t xml:space="preserve">.</w:t>
      </w:r>
    </w:p>
    <w:p>
      <w:pPr>
        <w:pStyle w:val="BodyText"/>
      </w:pPr>
      <w:r>
        <w:t xml:space="preserve">Price confidence considers evidence kind, age, conditions, volatility and unresolved scope. A stale price is not automatically inflated into truth. The engine may produce an indexed planning estimate alongside the original evidence, clearly labelled.</w:t>
      </w:r>
    </w:p>
    <w:p>
      <w:pPr>
        <w:pStyle w:val="BodyText"/>
      </w:pPr>
      <w:r>
        <w:t xml:space="preserve">Vendor records must not be scraped or activated automatically. AI may extract a proposed price card from an inert document; an authorised maker/checker process publishes the edition.</w:t>
      </w:r>
    </w:p>
    <w:bookmarkEnd w:id="35"/>
    <w:bookmarkStart w:id="36" w:name="lagos-inflation-and-fx"/>
    <w:p>
      <w:pPr>
        <w:pStyle w:val="Heading2"/>
      </w:pPr>
      <w:r>
        <w:t xml:space="preserve">9. Lagos, inflation and FX</w:t>
      </w:r>
    </w:p>
    <w:p>
      <w:pPr>
        <w:pStyle w:val="FirstParagraph"/>
      </w:pPr>
      <w:r>
        <w:t xml:space="preserve">Model location through governed zones and logistics rules, not stereotypes. Support:</w:t>
      </w:r>
    </w:p>
    <w:p>
      <w:pPr>
        <w:numPr>
          <w:ilvl w:val="0"/>
          <w:numId w:val="1018"/>
        </w:numPr>
        <w:pStyle w:val="Compact"/>
      </w:pPr>
      <w:r>
        <w:t xml:space="preserve">mainland/island and event-specific access conditions;</w:t>
      </w:r>
    </w:p>
    <w:p>
      <w:pPr>
        <w:numPr>
          <w:ilvl w:val="0"/>
          <w:numId w:val="1018"/>
        </w:numPr>
        <w:pStyle w:val="Compact"/>
      </w:pPr>
      <w:r>
        <w:t xml:space="preserve">distance/travel bands;</w:t>
      </w:r>
    </w:p>
    <w:p>
      <w:pPr>
        <w:numPr>
          <w:ilvl w:val="0"/>
          <w:numId w:val="1018"/>
        </w:numPr>
        <w:pStyle w:val="Compact"/>
      </w:pPr>
      <w:r>
        <w:t xml:space="preserve">setup/strike timing;</w:t>
      </w:r>
    </w:p>
    <w:p>
      <w:pPr>
        <w:numPr>
          <w:ilvl w:val="0"/>
          <w:numId w:val="1018"/>
        </w:numPr>
        <w:pStyle w:val="Compact"/>
      </w:pPr>
      <w:r>
        <w:t xml:space="preserve">festive/peak windows;</w:t>
      </w:r>
    </w:p>
    <w:p>
      <w:pPr>
        <w:numPr>
          <w:ilvl w:val="0"/>
          <w:numId w:val="1018"/>
        </w:numPr>
        <w:pStyle w:val="Compact"/>
      </w:pPr>
      <w:r>
        <w:t xml:space="preserve">power/fuel assumptions;</w:t>
      </w:r>
    </w:p>
    <w:p>
      <w:pPr>
        <w:numPr>
          <w:ilvl w:val="0"/>
          <w:numId w:val="1018"/>
        </w:numPr>
        <w:pStyle w:val="Compact"/>
      </w:pPr>
      <w:r>
        <w:t xml:space="preserve">imported-material FX exposure;</w:t>
      </w:r>
    </w:p>
    <w:p>
      <w:pPr>
        <w:numPr>
          <w:ilvl w:val="0"/>
          <w:numId w:val="1018"/>
        </w:numPr>
        <w:pStyle w:val="Compact"/>
      </w:pPr>
      <w:r>
        <w:t xml:space="preserve">quote validity and repricing dates;</w:t>
      </w:r>
    </w:p>
    <w:p>
      <w:pPr>
        <w:numPr>
          <w:ilvl w:val="0"/>
          <w:numId w:val="1018"/>
        </w:numPr>
        <w:pStyle w:val="Compact"/>
      </w:pPr>
      <w:r>
        <w:t xml:space="preserve">multi-currency lines and locked/indicative FX rates.</w:t>
      </w:r>
    </w:p>
    <w:p>
      <w:pPr>
        <w:pStyle w:val="FirstParagraph"/>
      </w:pPr>
      <w:r>
        <w:t xml:space="preserve">External market data is never silently trusted. Observations require source, retrieval time, effective time and approval state. Provider failure retains the last approved observation and marks freshness honestly.</w:t>
      </w:r>
    </w:p>
    <w:bookmarkEnd w:id="36"/>
    <w:bookmarkStart w:id="37" w:name="scenario-engine"/>
    <w:p>
      <w:pPr>
        <w:pStyle w:val="Heading2"/>
      </w:pPr>
      <w:r>
        <w:t xml:space="preserve">10. Scenario engine</w:t>
      </w:r>
    </w:p>
    <w:p>
      <w:pPr>
        <w:pStyle w:val="FirstParagraph"/>
      </w:pPr>
      <w:r>
        <w:t xml:space="preserve">Scenarios are named by advisory purpose, not status packages:</w:t>
      </w:r>
    </w:p>
    <w:p>
      <w:pPr>
        <w:numPr>
          <w:ilvl w:val="0"/>
          <w:numId w:val="1019"/>
        </w:numPr>
        <w:pStyle w:val="Compact"/>
      </w:pPr>
      <w:r>
        <w:rPr>
          <w:rStyle w:val="VerbatimChar"/>
        </w:rPr>
        <w:t xml:space="preserve">PROTECT_INVESTMENT</w:t>
      </w:r>
      <w:r>
        <w:t xml:space="preserve">;</w:t>
      </w:r>
    </w:p>
    <w:p>
      <w:pPr>
        <w:numPr>
          <w:ilvl w:val="0"/>
          <w:numId w:val="1019"/>
        </w:numPr>
        <w:pStyle w:val="Compact"/>
      </w:pPr>
      <w:r>
        <w:rPr>
          <w:rStyle w:val="VerbatimChar"/>
        </w:rPr>
        <w:t xml:space="preserve">PROTECT_PRIORITIES</w:t>
      </w:r>
      <w:r>
        <w:t xml:space="preserve">;</w:t>
      </w:r>
    </w:p>
    <w:p>
      <w:pPr>
        <w:numPr>
          <w:ilvl w:val="0"/>
          <w:numId w:val="1019"/>
        </w:numPr>
        <w:pStyle w:val="Compact"/>
      </w:pPr>
      <w:r>
        <w:rPr>
          <w:rStyle w:val="VerbatimChar"/>
        </w:rPr>
        <w:t xml:space="preserve">PROTECT_FULL_BRIEF</w:t>
      </w:r>
      <w:r>
        <w:t xml:space="preserve">;</w:t>
      </w:r>
    </w:p>
    <w:p>
      <w:pPr>
        <w:numPr>
          <w:ilvl w:val="0"/>
          <w:numId w:val="1019"/>
        </w:numPr>
        <w:pStyle w:val="Compact"/>
      </w:pPr>
      <w:r>
        <w:rPr>
          <w:rStyle w:val="VerbatimChar"/>
        </w:rPr>
        <w:t xml:space="preserve">MAISON_RECOMMENDED</w:t>
      </w:r>
      <w:r>
        <w:t xml:space="preserve">;</w:t>
      </w:r>
    </w:p>
    <w:p>
      <w:pPr>
        <w:numPr>
          <w:ilvl w:val="0"/>
          <w:numId w:val="1019"/>
        </w:numPr>
        <w:pStyle w:val="Compact"/>
      </w:pPr>
      <w:r>
        <w:t xml:space="preserve">a client-defined alternative.</w:t>
      </w:r>
    </w:p>
    <w:p>
      <w:pPr>
        <w:pStyle w:val="FirstParagraph"/>
      </w:pPr>
      <w:r>
        <w:t xml:space="preserve">The scenario engine must keep protected/non-negotiable lines, expose removed/deferred/changed items and calculate marginal cost/benefit. Optimisation is constrained and explainable; it is not an opaque AI selection.</w:t>
      </w:r>
    </w:p>
    <w:bookmarkEnd w:id="37"/>
    <w:bookmarkStart w:id="38" w:name="contingency-and-uncertainty"/>
    <w:p>
      <w:pPr>
        <w:pStyle w:val="Heading2"/>
      </w:pPr>
      <w:r>
        <w:t xml:space="preserve">11. Contingency and uncertainty</w:t>
      </w:r>
    </w:p>
    <w:p>
      <w:pPr>
        <w:pStyle w:val="FirstParagraph"/>
      </w:pPr>
      <w:r>
        <w:t xml:space="preserve">Contingency may be global or category/risk-specific, inside or outside the envelope. Rules must prohibit accidental double-counting. Show:</w:t>
      </w:r>
    </w:p>
    <w:p>
      <w:pPr>
        <w:numPr>
          <w:ilvl w:val="0"/>
          <w:numId w:val="1020"/>
        </w:numPr>
        <w:pStyle w:val="Compact"/>
      </w:pPr>
      <w:r>
        <w:t xml:space="preserve">priced known scope;</w:t>
      </w:r>
    </w:p>
    <w:p>
      <w:pPr>
        <w:numPr>
          <w:ilvl w:val="0"/>
          <w:numId w:val="1020"/>
        </w:numPr>
        <w:pStyle w:val="Compact"/>
      </w:pPr>
      <w:r>
        <w:t xml:space="preserve">uncertainty range;</w:t>
      </w:r>
    </w:p>
    <w:p>
      <w:pPr>
        <w:numPr>
          <w:ilvl w:val="0"/>
          <w:numId w:val="1020"/>
        </w:numPr>
        <w:pStyle w:val="Compact"/>
      </w:pPr>
      <w:r>
        <w:t xml:space="preserve">explicit contingency;</w:t>
      </w:r>
    </w:p>
    <w:p>
      <w:pPr>
        <w:numPr>
          <w:ilvl w:val="0"/>
          <w:numId w:val="1020"/>
        </w:numPr>
        <w:pStyle w:val="Compact"/>
      </w:pPr>
      <w:r>
        <w:t xml:space="preserve">unpriced/unresolved exposure;</w:t>
      </w:r>
    </w:p>
    <w:p>
      <w:pPr>
        <w:numPr>
          <w:ilvl w:val="0"/>
          <w:numId w:val="1020"/>
        </w:numPr>
        <w:pStyle w:val="Compact"/>
      </w:pPr>
      <w:r>
        <w:t xml:space="preserve">forecast range.</w:t>
      </w:r>
    </w:p>
    <w:p>
      <w:pPr>
        <w:pStyle w:val="FirstParagraph"/>
      </w:pPr>
      <w:r>
        <w:t xml:space="preserve">Do not imply that a contingency reserve is committed or available cash.</w:t>
      </w:r>
    </w:p>
    <w:bookmarkEnd w:id="38"/>
    <w:bookmarkStart w:id="44" w:name="maturation-model"/>
    <w:p>
      <w:pPr>
        <w:pStyle w:val="Heading2"/>
      </w:pPr>
      <w:r>
        <w:t xml:space="preserve">12. Maturation model</w:t>
      </w:r>
    </w:p>
    <w:bookmarkStart w:id="39" w:name="stage-1-curated-deterministic-foundation"/>
    <w:p>
      <w:pPr>
        <w:pStyle w:val="Heading3"/>
      </w:pPr>
      <w:r>
        <w:t xml:space="preserve">Stage 1 — curated deterministic foundation</w:t>
      </w:r>
    </w:p>
    <w:p>
      <w:pPr>
        <w:pStyle w:val="FirstParagraph"/>
      </w:pPr>
      <w:r>
        <w:t xml:space="preserve">Maison Doclar defines taxonomy, rules, templates and benchmark evidence. Calculation is fully traceable.</w:t>
      </w:r>
    </w:p>
    <w:bookmarkEnd w:id="39"/>
    <w:bookmarkStart w:id="40" w:name="stage-2-vendor-price-knowledge"/>
    <w:p>
      <w:pPr>
        <w:pStyle w:val="Heading3"/>
      </w:pPr>
      <w:r>
        <w:t xml:space="preserve">Stage 2 — vendor price knowledge</w:t>
      </w:r>
    </w:p>
    <w:p>
      <w:pPr>
        <w:pStyle w:val="FirstParagraph"/>
      </w:pPr>
      <w:r>
        <w:t xml:space="preserve">Governed price cards, quote validity, comparison and reliability evidence.</w:t>
      </w:r>
    </w:p>
    <w:bookmarkEnd w:id="40"/>
    <w:bookmarkStart w:id="41" w:name="stage-3-completed-event-learning"/>
    <w:p>
      <w:pPr>
        <w:pStyle w:val="Heading3"/>
      </w:pPr>
      <w:r>
        <w:t xml:space="preserve">Stage 3 — completed-event learning</w:t>
      </w:r>
    </w:p>
    <w:p>
      <w:pPr>
        <w:pStyle w:val="FirstParagraph"/>
      </w:pPr>
      <w:r>
        <w:t xml:space="preserve">De-identified comparable cohorts show estimate-vs-commitment-vs-final variance. No client-specific leakage.</w:t>
      </w:r>
    </w:p>
    <w:bookmarkEnd w:id="41"/>
    <w:bookmarkStart w:id="42" w:name="stage-4-assisted-maintenance"/>
    <w:p>
      <w:pPr>
        <w:pStyle w:val="Heading3"/>
      </w:pPr>
      <w:r>
        <w:t xml:space="preserve">Stage 4 — assisted maintenance</w:t>
      </w:r>
    </w:p>
    <w:p>
      <w:pPr>
        <w:pStyle w:val="FirstParagraph"/>
      </w:pPr>
      <w:r>
        <w:t xml:space="preserve">AI proposes quote extraction, stale-price review and missing line items; humans approve.</w:t>
      </w:r>
    </w:p>
    <w:bookmarkEnd w:id="42"/>
    <w:bookmarkStart w:id="43" w:name="stage-5-calibrated-forecasting"/>
    <w:p>
      <w:pPr>
        <w:pStyle w:val="Heading3"/>
      </w:pPr>
      <w:r>
        <w:t xml:space="preserve">Stage 5 — calibrated forecasting</w:t>
      </w:r>
    </w:p>
    <w:p>
      <w:pPr>
        <w:pStyle w:val="FirstParagraph"/>
      </w:pPr>
      <w:r>
        <w:t xml:space="preserve">Statistical ranges supplement deterministic rules when sufficient governed data exists. Model cards, holdout evaluation, drift monitoring and explainability are mandatory.</w:t>
      </w:r>
    </w:p>
    <w:p>
      <w:pPr>
        <w:pStyle w:val="BodyText"/>
      </w:pPr>
      <w:r>
        <w:t xml:space="preserve">No stage is activated merely because code exists.</w:t>
      </w:r>
    </w:p>
    <w:bookmarkEnd w:id="43"/>
    <w:bookmarkEnd w:id="44"/>
    <w:bookmarkStart w:id="48" w:name="user-experience"/>
    <w:p>
      <w:pPr>
        <w:pStyle w:val="Heading2"/>
      </w:pPr>
      <w:r>
        <w:t xml:space="preserve">13. User experience</w:t>
      </w:r>
    </w:p>
    <w:bookmarkStart w:id="45" w:name="planner-budget-studio"/>
    <w:p>
      <w:pPr>
        <w:pStyle w:val="Heading3"/>
      </w:pPr>
      <w:r>
        <w:t xml:space="preserve">Planner Budget Studio</w:t>
      </w:r>
    </w:p>
    <w:p>
      <w:pPr>
        <w:numPr>
          <w:ilvl w:val="0"/>
          <w:numId w:val="1021"/>
        </w:numPr>
        <w:pStyle w:val="Compact"/>
      </w:pPr>
      <w:r>
        <w:t xml:space="preserve">assumption rail with source and confidence;</w:t>
      </w:r>
    </w:p>
    <w:p>
      <w:pPr>
        <w:numPr>
          <w:ilvl w:val="0"/>
          <w:numId w:val="1021"/>
        </w:numPr>
        <w:pStyle w:val="Compact"/>
      </w:pPr>
      <w:r>
        <w:t xml:space="preserve">category tree and line-item table;</w:t>
      </w:r>
    </w:p>
    <w:p>
      <w:pPr>
        <w:numPr>
          <w:ilvl w:val="0"/>
          <w:numId w:val="1021"/>
        </w:numPr>
        <w:pStyle w:val="Compact"/>
      </w:pPr>
      <w:r>
        <w:t xml:space="preserve">price-driver explanation drawer;</w:t>
      </w:r>
    </w:p>
    <w:p>
      <w:pPr>
        <w:numPr>
          <w:ilvl w:val="0"/>
          <w:numId w:val="1021"/>
        </w:numPr>
        <w:pStyle w:val="Compact"/>
      </w:pPr>
      <w:r>
        <w:t xml:space="preserve">unresolved/stale evidence queue;</w:t>
      </w:r>
    </w:p>
    <w:p>
      <w:pPr>
        <w:numPr>
          <w:ilvl w:val="0"/>
          <w:numId w:val="1021"/>
        </w:numPr>
        <w:pStyle w:val="Compact"/>
      </w:pPr>
      <w:r>
        <w:t xml:space="preserve">scenario comparison;</w:t>
      </w:r>
    </w:p>
    <w:p>
      <w:pPr>
        <w:numPr>
          <w:ilvl w:val="0"/>
          <w:numId w:val="1021"/>
        </w:numPr>
        <w:pStyle w:val="Compact"/>
      </w:pPr>
      <w:r>
        <w:t xml:space="preserve">envelope alignment;</w:t>
      </w:r>
    </w:p>
    <w:p>
      <w:pPr>
        <w:numPr>
          <w:ilvl w:val="0"/>
          <w:numId w:val="1021"/>
        </w:numPr>
        <w:pStyle w:val="Compact"/>
      </w:pPr>
      <w:r>
        <w:t xml:space="preserve">version/change history;</w:t>
      </w:r>
    </w:p>
    <w:p>
      <w:pPr>
        <w:numPr>
          <w:ilvl w:val="0"/>
          <w:numId w:val="1021"/>
        </w:numPr>
        <w:pStyle w:val="Compact"/>
      </w:pPr>
      <w:r>
        <w:t xml:space="preserve">keyboard-accessible bulk review without dangerous bulk approval.</w:t>
      </w:r>
    </w:p>
    <w:bookmarkEnd w:id="45"/>
    <w:bookmarkStart w:id="46" w:name="ceo-investment-command"/>
    <w:p>
      <w:pPr>
        <w:pStyle w:val="Heading3"/>
      </w:pPr>
      <w:r>
        <w:t xml:space="preserve">CEO Investment Command</w:t>
      </w:r>
    </w:p>
    <w:p>
      <w:pPr>
        <w:numPr>
          <w:ilvl w:val="0"/>
          <w:numId w:val="1022"/>
        </w:numPr>
        <w:pStyle w:val="Compact"/>
      </w:pPr>
      <w:r>
        <w:t xml:space="preserve">authorised envelope and meaning;</w:t>
      </w:r>
    </w:p>
    <w:p>
      <w:pPr>
        <w:numPr>
          <w:ilvl w:val="0"/>
          <w:numId w:val="1022"/>
        </w:numPr>
        <w:pStyle w:val="Compact"/>
      </w:pPr>
      <w:r>
        <w:t xml:space="preserve">recommended forecast range;</w:t>
      </w:r>
    </w:p>
    <w:p>
      <w:pPr>
        <w:numPr>
          <w:ilvl w:val="0"/>
          <w:numId w:val="1022"/>
        </w:numPr>
        <w:pStyle w:val="Compact"/>
      </w:pPr>
      <w:r>
        <w:t xml:space="preserve">unallocated capacity or misalignment;</w:t>
      </w:r>
    </w:p>
    <w:p>
      <w:pPr>
        <w:numPr>
          <w:ilvl w:val="0"/>
          <w:numId w:val="1022"/>
        </w:numPr>
        <w:pStyle w:val="Compact"/>
      </w:pPr>
      <w:r>
        <w:t xml:space="preserve">committed/paid/forecast distinction;</w:t>
      </w:r>
    </w:p>
    <w:p>
      <w:pPr>
        <w:numPr>
          <w:ilvl w:val="0"/>
          <w:numId w:val="1022"/>
        </w:numPr>
        <w:pStyle w:val="Compact"/>
      </w:pPr>
      <w:r>
        <w:t xml:space="preserve">next cash window;</w:t>
      </w:r>
    </w:p>
    <w:p>
      <w:pPr>
        <w:numPr>
          <w:ilvl w:val="0"/>
          <w:numId w:val="1022"/>
        </w:numPr>
        <w:pStyle w:val="Compact"/>
      </w:pPr>
      <w:r>
        <w:t xml:space="preserve">top variance and stale-price risks;</w:t>
      </w:r>
    </w:p>
    <w:p>
      <w:pPr>
        <w:numPr>
          <w:ilvl w:val="0"/>
          <w:numId w:val="1022"/>
        </w:numPr>
        <w:pStyle w:val="Compact"/>
      </w:pPr>
      <w:r>
        <w:t xml:space="preserve">decisions requiring executive intervention;</w:t>
      </w:r>
    </w:p>
    <w:p>
      <w:pPr>
        <w:numPr>
          <w:ilvl w:val="0"/>
          <w:numId w:val="1022"/>
        </w:numPr>
        <w:pStyle w:val="Compact"/>
      </w:pPr>
      <w:r>
        <w:t xml:space="preserve">explicit</w:t>
      </w:r>
      <w:r>
        <w:t xml:space="preserve"> </w:t>
      </w:r>
      <w:r>
        <w:t xml:space="preserve">“</w:t>
      </w:r>
      <w:r>
        <w:t xml:space="preserve">do not spend</w:t>
      </w:r>
      <w:r>
        <w:t xml:space="preserve">”</w:t>
      </w:r>
      <w:r>
        <w:t xml:space="preserve"> </w:t>
      </w:r>
      <w:r>
        <w:t xml:space="preserve">recommendations.</w:t>
      </w:r>
    </w:p>
    <w:bookmarkEnd w:id="46"/>
    <w:bookmarkStart w:id="47" w:name="client-investment-view"/>
    <w:p>
      <w:pPr>
        <w:pStyle w:val="Heading3"/>
      </w:pPr>
      <w:r>
        <w:t xml:space="preserve">Client investment view</w:t>
      </w:r>
    </w:p>
    <w:p>
      <w:pPr>
        <w:numPr>
          <w:ilvl w:val="0"/>
          <w:numId w:val="1023"/>
        </w:numPr>
        <w:pStyle w:val="Compact"/>
      </w:pPr>
      <w:r>
        <w:t xml:space="preserve">calm total range;</w:t>
      </w:r>
    </w:p>
    <w:p>
      <w:pPr>
        <w:numPr>
          <w:ilvl w:val="0"/>
          <w:numId w:val="1023"/>
        </w:numPr>
        <w:pStyle w:val="Compact"/>
      </w:pPr>
      <w:r>
        <w:t xml:space="preserve">what is protected and optimised;</w:t>
      </w:r>
    </w:p>
    <w:p>
      <w:pPr>
        <w:numPr>
          <w:ilvl w:val="0"/>
          <w:numId w:val="1023"/>
        </w:numPr>
        <w:pStyle w:val="Compact"/>
      </w:pPr>
      <w:r>
        <w:t xml:space="preserve">major category ranges;</w:t>
      </w:r>
    </w:p>
    <w:p>
      <w:pPr>
        <w:numPr>
          <w:ilvl w:val="0"/>
          <w:numId w:val="1023"/>
        </w:numPr>
        <w:pStyle w:val="Compact"/>
      </w:pPr>
      <w:r>
        <w:t xml:space="preserve">assumptions;</w:t>
      </w:r>
    </w:p>
    <w:p>
      <w:pPr>
        <w:numPr>
          <w:ilvl w:val="0"/>
          <w:numId w:val="1023"/>
        </w:numPr>
        <w:pStyle w:val="Compact"/>
      </w:pPr>
      <w:r>
        <w:t xml:space="preserve">optional enhancements with incremental value;</w:t>
      </w:r>
    </w:p>
    <w:p>
      <w:pPr>
        <w:numPr>
          <w:ilvl w:val="0"/>
          <w:numId w:val="1023"/>
        </w:numPr>
        <w:pStyle w:val="Compact"/>
      </w:pPr>
      <w:r>
        <w:t xml:space="preserve">exclusions and decisions;</w:t>
      </w:r>
    </w:p>
    <w:p>
      <w:pPr>
        <w:numPr>
          <w:ilvl w:val="0"/>
          <w:numId w:val="1023"/>
        </w:numPr>
        <w:pStyle w:val="Compact"/>
      </w:pPr>
      <w:r>
        <w:t xml:space="preserve">no vendor margin, internal reliability notes or staff-only benchmark details.</w:t>
      </w:r>
    </w:p>
    <w:bookmarkEnd w:id="47"/>
    <w:bookmarkEnd w:id="48"/>
    <w:bookmarkStart w:id="49" w:name="authority-and-publication"/>
    <w:p>
      <w:pPr>
        <w:pStyle w:val="Heading2"/>
      </w:pPr>
      <w:r>
        <w:t xml:space="preserve">14. Authority and publication</w:t>
      </w:r>
    </w:p>
    <w:p>
      <w:pPr>
        <w:pStyle w:val="FirstParagraph"/>
      </w:pPr>
      <w:r>
        <w:t xml:space="preserve">Draft calculations may be generated by authorised planners. Published client scenarios and formal Maison Doclar recommendations require exact-hash approval by a different authorised checker where consequential. A scenario cannot be presented as approved after any input, rule, price-card or FX edition changes.</w:t>
      </w:r>
    </w:p>
    <w:bookmarkEnd w:id="49"/>
    <w:bookmarkStart w:id="50" w:name="acceptance-tests"/>
    <w:p>
      <w:pPr>
        <w:pStyle w:val="Heading2"/>
      </w:pPr>
      <w:r>
        <w:t xml:space="preserve">15. Acceptance tests</w:t>
      </w:r>
    </w:p>
    <w:p>
      <w:pPr>
        <w:numPr>
          <w:ilvl w:val="0"/>
          <w:numId w:val="1024"/>
        </w:numPr>
        <w:pStyle w:val="Compact"/>
      </w:pPr>
      <w:r>
        <w:t xml:space="preserve">400 guests vs 450 updates all legitimate drivers without changing fixed costs.</w:t>
      </w:r>
    </w:p>
    <w:p>
      <w:pPr>
        <w:numPr>
          <w:ilvl w:val="0"/>
          <w:numId w:val="1024"/>
        </w:numPr>
        <w:pStyle w:val="Compact"/>
      </w:pPr>
      <w:r>
        <w:t xml:space="preserve">hard ceiling, working target and hypothesis produce different alignment behaviour.</w:t>
      </w:r>
    </w:p>
    <w:p>
      <w:pPr>
        <w:numPr>
          <w:ilvl w:val="0"/>
          <w:numId w:val="1024"/>
        </w:numPr>
        <w:pStyle w:val="Compact"/>
      </w:pPr>
      <w:r>
        <w:t xml:space="preserve">client refuses budget; engine provides evidence-labelled range without inventing capacity.</w:t>
      </w:r>
    </w:p>
    <w:p>
      <w:pPr>
        <w:numPr>
          <w:ilvl w:val="0"/>
          <w:numId w:val="1024"/>
        </w:numPr>
        <w:pStyle w:val="Compact"/>
      </w:pPr>
      <w:r>
        <w:t xml:space="preserve">lower responsible forecast produces unallocated capacity and HOLD recommendation.</w:t>
      </w:r>
    </w:p>
    <w:p>
      <w:pPr>
        <w:numPr>
          <w:ilvl w:val="0"/>
          <w:numId w:val="1024"/>
        </w:numPr>
        <w:pStyle w:val="Compact"/>
      </w:pPr>
      <w:r>
        <w:t xml:space="preserve">NGN line plus USD import rejects aggregation until an FX basis is selected.</w:t>
      </w:r>
    </w:p>
    <w:p>
      <w:pPr>
        <w:numPr>
          <w:ilvl w:val="0"/>
          <w:numId w:val="1024"/>
        </w:numPr>
        <w:pStyle w:val="Compact"/>
      </w:pPr>
      <w:r>
        <w:t xml:space="preserve">stale vendor card is visible and reduces confidence.</w:t>
      </w:r>
    </w:p>
    <w:p>
      <w:pPr>
        <w:numPr>
          <w:ilvl w:val="0"/>
          <w:numId w:val="1024"/>
        </w:numPr>
        <w:pStyle w:val="Compact"/>
      </w:pPr>
      <w:r>
        <w:t xml:space="preserve">low/expected/high totals reconcile exactly to their lines.</w:t>
      </w:r>
    </w:p>
    <w:p>
      <w:pPr>
        <w:numPr>
          <w:ilvl w:val="0"/>
          <w:numId w:val="1024"/>
        </w:numPr>
        <w:pStyle w:val="Compact"/>
      </w:pPr>
      <w:r>
        <w:t xml:space="preserve">required safety line cannot disappear silently.</w:t>
      </w:r>
    </w:p>
    <w:p>
      <w:pPr>
        <w:numPr>
          <w:ilvl w:val="0"/>
          <w:numId w:val="1024"/>
        </w:numPr>
        <w:pStyle w:val="Compact"/>
      </w:pPr>
      <w:r>
        <w:t xml:space="preserve">contingency is never double-counted.</w:t>
      </w:r>
    </w:p>
    <w:p>
      <w:pPr>
        <w:numPr>
          <w:ilvl w:val="0"/>
          <w:numId w:val="1024"/>
        </w:numPr>
        <w:pStyle w:val="Compact"/>
      </w:pPr>
      <w:r>
        <w:t xml:space="preserve">old scenario reproduces after later rule/price editions are published.</w:t>
      </w:r>
    </w:p>
    <w:p>
      <w:pPr>
        <w:numPr>
          <w:ilvl w:val="0"/>
          <w:numId w:val="1024"/>
        </w:numPr>
        <w:pStyle w:val="Compact"/>
      </w:pPr>
      <w:r>
        <w:t xml:space="preserve">cross-event/vendor evidence leakage is denied.</w:t>
      </w:r>
    </w:p>
    <w:p>
      <w:pPr>
        <w:numPr>
          <w:ilvl w:val="0"/>
          <w:numId w:val="1024"/>
        </w:numPr>
        <w:pStyle w:val="Compact"/>
      </w:pPr>
      <w:r>
        <w:t xml:space="preserve">AI-proposed price never becomes approved automatically.</w:t>
      </w:r>
    </w:p>
    <w:p>
      <w:pPr>
        <w:numPr>
          <w:ilvl w:val="0"/>
          <w:numId w:val="1024"/>
        </w:numPr>
        <w:pStyle w:val="Compact"/>
      </w:pPr>
      <w:r>
        <w:t xml:space="preserve">client view omits internal/vendor-sensitive fields.</w:t>
      </w:r>
    </w:p>
    <w:bookmarkEnd w:id="50"/>
    <w:bookmarkEnd w:id="51"/>
    <w:bookmarkStart w:id="56" w:name="eos-s05a-detailed-cursor-prompt-pack"/>
    <w:p>
      <w:pPr>
        <w:pStyle w:val="Heading1"/>
      </w:pPr>
      <w:r>
        <w:t xml:space="preserve">EOS-S05A — Detailed Cursor Prompt Pack</w:t>
      </w:r>
    </w:p>
    <w:bookmarkStart w:id="52" w:name="Xfe02b9d7e86d9143bd165a3736fa993f0fb5253"/>
    <w:p>
      <w:pPr>
        <w:pStyle w:val="Heading2"/>
      </w:pPr>
      <w:r>
        <w:t xml:space="preserve">Volume A — Control, Architecture and Discovery Foundations</w:t>
      </w:r>
    </w:p>
    <w:p>
      <w:pPr>
        <w:pStyle w:val="FirstParagraph"/>
      </w:pPr>
      <w:r>
        <w:t xml:space="preserve">Status:</w:t>
      </w:r>
      <w:r>
        <w:t xml:space="preserve"> </w:t>
      </w:r>
      <w:r>
        <w:rPr>
          <w:bCs/>
          <w:b/>
        </w:rPr>
        <w:t xml:space="preserve">CEO REVIEW DRAFT — NOT IMPLEMENTATION AUTHORITY</w:t>
      </w:r>
      <w:r>
        <w:br/>
      </w:r>
      <w:r>
        <w:t xml:space="preserve">Proposed authority:</w:t>
      </w:r>
      <w:r>
        <w:t xml:space="preserve"> </w:t>
      </w:r>
      <w:r>
        <w:rPr>
          <w:rStyle w:val="VerbatimChar"/>
        </w:rPr>
        <w:t xml:space="preserve">MD-PR-S037</w:t>
      </w:r>
      <w:r>
        <w:br/>
      </w:r>
      <w:r>
        <w:t xml:space="preserve">Prompts:</w:t>
      </w:r>
      <w:r>
        <w:t xml:space="preserve"> </w:t>
      </w:r>
      <w:r>
        <w:rPr>
          <w:rStyle w:val="VerbatimChar"/>
        </w:rPr>
        <w:t xml:space="preserve">EEC-00</w:t>
      </w:r>
      <w:r>
        <w:t xml:space="preserve">–</w:t>
      </w:r>
      <w:r>
        <w:rPr>
          <w:rStyle w:val="VerbatimChar"/>
        </w:rPr>
        <w:t xml:space="preserve">EEC-10</w:t>
      </w:r>
    </w:p>
    <w:bookmarkEnd w:id="52"/>
    <w:bookmarkStart w:id="53" w:name="how-this-pack-operates"/>
    <w:p>
      <w:pPr>
        <w:pStyle w:val="Heading2"/>
      </w:pPr>
      <w:r>
        <w:t xml:space="preserve">How this pack operates</w:t>
      </w:r>
    </w:p>
    <w:p>
      <w:pPr>
        <w:pStyle w:val="FirstParagraph"/>
      </w:pPr>
      <w:r>
        <w:t xml:space="preserve">This pack replaces the rejected high-level build prompt. Each execution unit defines the required domain result, TypeScript direction, server boundary, frontend responsibility, tests and stop conditions. Cursor must implement the stated architecture rather than inventing an alternative product.</w:t>
      </w:r>
    </w:p>
    <w:p>
      <w:pPr>
        <w:pStyle w:val="BodyText"/>
      </w:pPr>
      <w:r>
        <w:t xml:space="preserve">The prompts may be issued in milestone batches after CEO approval. Within an authorised batch Cursor may continue through its included prompts with focused commits. It must stop at the stated milestone gate and return one consolidated report. Cursor never accepts the slice.</w:t>
      </w:r>
    </w:p>
    <w:p>
      <w:pPr>
        <w:pStyle w:val="BodyText"/>
      </w:pPr>
      <w:r>
        <w:rPr>
          <w:rStyle w:val="VerbatimChar"/>
        </w:rPr>
        <w:t xml:space="preserve">LAST_ACCEPTED_COMMIT</w:t>
      </w:r>
      <w:r>
        <w:t xml:space="preserve"> </w:t>
      </w:r>
      <w:r>
        <w:t xml:space="preserve">is replaced at release with the exact GitHub</w:t>
      </w:r>
      <w:r>
        <w:t xml:space="preserve"> </w:t>
      </w:r>
      <w:r>
        <w:rPr>
          <w:rStyle w:val="VerbatimChar"/>
        </w:rPr>
        <w:t xml:space="preserve">main</w:t>
      </w:r>
      <w:r>
        <w:t xml:space="preserve"> </w:t>
      </w:r>
      <w:r>
        <w:t xml:space="preserve">SHA after the current UX uplift is complete. Cursor must never execute a prompt containing an unresolved placeholder.</w:t>
      </w:r>
    </w:p>
    <w:bookmarkEnd w:id="53"/>
    <w:bookmarkStart w:id="54" w:name="global-laws-apply-to-every-prompt"/>
    <w:p>
      <w:pPr>
        <w:pStyle w:val="Heading2"/>
      </w:pPr>
      <w:r>
        <w:t xml:space="preserve">Global laws — apply to every prompt</w:t>
      </w:r>
    </w:p>
    <w:p>
      <w:pPr>
        <w:numPr>
          <w:ilvl w:val="0"/>
          <w:numId w:val="1025"/>
        </w:numPr>
        <w:pStyle w:val="Compact"/>
      </w:pPr>
      <w:r>
        <w:t xml:space="preserve">Repository only</w:t>
      </w:r>
      <w:r>
        <w:t xml:space="preserve"> </w:t>
      </w:r>
      <w:r>
        <w:rPr>
          <w:rStyle w:val="VerbatimChar"/>
        </w:rPr>
        <w:t xml:space="preserve">kglaw-Oluseyi/atelier-doclar</w:t>
      </w:r>
      <w:r>
        <w:t xml:space="preserve">, branch</w:t>
      </w:r>
      <w:r>
        <w:t xml:space="preserve"> </w:t>
      </w:r>
      <w:r>
        <w:rPr>
          <w:rStyle w:val="VerbatimChar"/>
        </w:rPr>
        <w:t xml:space="preserve">main</w:t>
      </w:r>
      <w:r>
        <w:t xml:space="preserve">.</w:t>
      </w:r>
    </w:p>
    <w:p>
      <w:pPr>
        <w:numPr>
          <w:ilvl w:val="0"/>
          <w:numId w:val="1025"/>
        </w:numPr>
        <w:pStyle w:val="Compact"/>
      </w:pPr>
      <w:r>
        <w:t xml:space="preserve">Railway only</w:t>
      </w:r>
      <w:r>
        <w:t xml:space="preserve"> </w:t>
      </w:r>
      <w:r>
        <w:rPr>
          <w:rStyle w:val="VerbatimChar"/>
        </w:rPr>
        <w:t xml:space="preserve">atelier-doclar / production / event-os</w:t>
      </w:r>
      <w:r>
        <w:t xml:space="preserve">.</w:t>
      </w:r>
    </w:p>
    <w:p>
      <w:pPr>
        <w:numPr>
          <w:ilvl w:val="0"/>
          <w:numId w:val="1025"/>
        </w:numPr>
        <w:pStyle w:val="Compact"/>
      </w:pPr>
      <w:r>
        <w:t xml:space="preserve">Preserve accepted EOS-S01–EOS-S05 and EOS-S04A–F contracts.</w:t>
      </w:r>
    </w:p>
    <w:p>
      <w:pPr>
        <w:numPr>
          <w:ilvl w:val="0"/>
          <w:numId w:val="1025"/>
        </w:numPr>
        <w:pStyle w:val="Compact"/>
      </w:pPr>
      <w:r>
        <w:t xml:space="preserve">EOS-S05A is a non-catalogue insert; accepted-slice count remains 5.</w:t>
      </w:r>
    </w:p>
    <w:p>
      <w:pPr>
        <w:numPr>
          <w:ilvl w:val="0"/>
          <w:numId w:val="1025"/>
        </w:numPr>
        <w:pStyle w:val="Compact"/>
      </w:pPr>
      <w:r>
        <w:t xml:space="preserve">EOS-S06 Seating Allocation remains not started and not authorised.</w:t>
      </w:r>
    </w:p>
    <w:p>
      <w:pPr>
        <w:numPr>
          <w:ilvl w:val="0"/>
          <w:numId w:val="1025"/>
        </w:numPr>
        <w:pStyle w:val="Compact"/>
      </w:pPr>
      <w:r>
        <w:t xml:space="preserve">Extend</w:t>
      </w:r>
      <w:r>
        <w:t xml:space="preserve"> </w:t>
      </w:r>
      <w:r>
        <w:rPr>
          <w:rStyle w:val="VerbatimChar"/>
        </w:rPr>
        <w:t xml:space="preserve">@maison-doclar/shared-platform</w:t>
      </w:r>
      <w:r>
        <w:t xml:space="preserve">; do not create parallel identity, Client, Event, RSVP, forecast, programme, venue or audit stores.</w:t>
      </w:r>
    </w:p>
    <w:p>
      <w:pPr>
        <w:numPr>
          <w:ilvl w:val="0"/>
          <w:numId w:val="1025"/>
        </w:numPr>
        <w:pStyle w:val="Compact"/>
      </w:pPr>
      <w:r>
        <w:t xml:space="preserve">Server-side permission, organisation/event/engagement scope, optimistic concurrency, idempotency and append-only correlated audit are mandatory.</w:t>
      </w:r>
    </w:p>
    <w:p>
      <w:pPr>
        <w:numPr>
          <w:ilvl w:val="0"/>
          <w:numId w:val="1025"/>
        </w:numPr>
        <w:pStyle w:val="Compact"/>
      </w:pPr>
      <w:r>
        <w:t xml:space="preserve">AI output is proposal data, never governing truth or mutation authority.</w:t>
      </w:r>
    </w:p>
    <w:p>
      <w:pPr>
        <w:numPr>
          <w:ilvl w:val="0"/>
          <w:numId w:val="1025"/>
        </w:numPr>
        <w:pStyle w:val="Compact"/>
      </w:pPr>
      <w:r>
        <w:t xml:space="preserve">Money uses integer minor units plus ISO currency and deterministic decimal/rational arithmetic; no binary floating-point.</w:t>
      </w:r>
    </w:p>
    <w:p>
      <w:pPr>
        <w:numPr>
          <w:ilvl w:val="0"/>
          <w:numId w:val="1025"/>
        </w:numPr>
        <w:pStyle w:val="Compact"/>
      </w:pPr>
      <w:r>
        <w:t xml:space="preserve">No</w:t>
      </w:r>
      <w:r>
        <w:t xml:space="preserve"> </w:t>
      </w:r>
      <w:r>
        <w:rPr>
          <w:rStyle w:val="VerbatimChar"/>
        </w:rPr>
        <w:t xml:space="preserve">eval</w:t>
      </w:r>
      <w:r>
        <w:t xml:space="preserve">,</w:t>
      </w:r>
      <w:r>
        <w:t xml:space="preserve"> </w:t>
      </w:r>
      <w:r>
        <w:rPr>
          <w:rStyle w:val="VerbatimChar"/>
        </w:rPr>
        <w:t xml:space="preserve">Function</w:t>
      </w:r>
      <w:r>
        <w:t xml:space="preserve">, arbitrary expression execution or executable rules from database content.</w:t>
      </w:r>
    </w:p>
    <w:p>
      <w:pPr>
        <w:numPr>
          <w:ilvl w:val="0"/>
          <w:numId w:val="1025"/>
        </w:numPr>
        <w:pStyle w:val="Compact"/>
      </w:pPr>
      <w:r>
        <w:t xml:space="preserve">UI visibility is not authority. Direct action/API attempts must be denied at the service boundary.</w:t>
      </w:r>
    </w:p>
    <w:p>
      <w:pPr>
        <w:numPr>
          <w:ilvl w:val="0"/>
          <w:numId w:val="1025"/>
        </w:numPr>
        <w:pStyle w:val="Compact"/>
      </w:pPr>
      <w:r>
        <w:t xml:space="preserve">Use synthetic data only. No communications, payments, bookings, provider activation, biometrics or real client data.</w:t>
      </w:r>
    </w:p>
    <w:p>
      <w:pPr>
        <w:numPr>
          <w:ilvl w:val="0"/>
          <w:numId w:val="1025"/>
        </w:numPr>
        <w:pStyle w:val="Compact"/>
      </w:pPr>
      <w:r>
        <w:t xml:space="preserve">Command Atelier applies to staff; client experience is softer editorial Atelier.</w:t>
      </w:r>
    </w:p>
    <w:p>
      <w:pPr>
        <w:numPr>
          <w:ilvl w:val="0"/>
          <w:numId w:val="1025"/>
        </w:numPr>
        <w:pStyle w:val="Compact"/>
      </w:pPr>
      <w:r>
        <w:t xml:space="preserve">Every changed primary journey covers loading, empty, permission, error, stale/conflict and success states.</w:t>
      </w:r>
    </w:p>
    <w:p>
      <w:pPr>
        <w:numPr>
          <w:ilvl w:val="0"/>
          <w:numId w:val="1025"/>
        </w:numPr>
        <w:pStyle w:val="Compact"/>
      </w:pPr>
      <w:r>
        <w:t xml:space="preserve">Enabled clicks use pointer, disabled actions</w:t>
      </w:r>
      <w:r>
        <w:t xml:space="preserve"> </w:t>
      </w:r>
      <w:r>
        <w:rPr>
          <w:rStyle w:val="VerbatimChar"/>
        </w:rPr>
        <w:t xml:space="preserve">not-allowed</w:t>
      </w:r>
      <w:r>
        <w:t xml:space="preserve">, inputs text cursor, visible focus, reduced motion, keyboard completion, 360px no document overflow, tablet/desktop and 200% zoom.</w:t>
      </w:r>
    </w:p>
    <w:p>
      <w:pPr>
        <w:numPr>
          <w:ilvl w:val="0"/>
          <w:numId w:val="1025"/>
        </w:numPr>
        <w:pStyle w:val="Compact"/>
      </w:pPr>
      <w:r>
        <w:t xml:space="preserve">Record first-run failures honestly. Do not hide product defects behind reruns.</w:t>
      </w:r>
    </w:p>
    <w:bookmarkEnd w:id="54"/>
    <w:bookmarkStart w:id="55" w:name="common-code-conventions"/>
    <w:p>
      <w:pPr>
        <w:pStyle w:val="Heading2"/>
      </w:pPr>
      <w:r>
        <w:t xml:space="preserve">Common code conventions</w:t>
      </w:r>
    </w:p>
    <w:p>
      <w:pPr>
        <w:pStyle w:val="FirstParagraph"/>
      </w:pPr>
      <w:r>
        <w:t xml:space="preserve">Use strict Zod schemas at untrusted boundaries and readonly discriminated unions internally. Commands have explicit actor scope, expected version, reason and idempotency key. Projections are dedicated permission-safe DTOs; never return persistence rows directly.</w:t>
      </w:r>
    </w:p>
    <w:p>
      <w:pPr>
        <w:pStyle w:val="SourceCode"/>
      </w:pPr>
      <w:r>
        <w:rPr>
          <w:rStyle w:val="KeywordTok"/>
        </w:rPr>
        <w:t xml:space="preserve">type</w:t>
      </w:r>
      <w:r>
        <w:rPr>
          <w:rStyle w:val="NormalTok"/>
        </w:rPr>
        <w:t xml:space="preserve"> ScopedCommand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organisationId</w:t>
      </w:r>
      <w:r>
        <w:rPr>
          <w:rStyle w:val="OperatorTok"/>
        </w:rPr>
        <w:t xml:space="preserve">:</w:t>
      </w:r>
      <w:r>
        <w:rPr>
          <w:rStyle w:val="NormalTok"/>
        </w:rPr>
        <w:t xml:space="preserve"> OrganisationId</w:t>
      </w:r>
      <w:r>
        <w:rPr>
          <w:rStyle w:val="OperatorTok"/>
        </w:rPr>
        <w:t xml:space="preserve">;</w:t>
      </w:r>
      <w:r>
        <w:br/>
      </w:r>
      <w:r>
        <w:rPr>
          <w:rStyle w:val="NormalTok"/>
        </w:rPr>
        <w:t xml:space="preserve">  engagementId</w:t>
      </w:r>
      <w:r>
        <w:rPr>
          <w:rStyle w:val="OperatorTok"/>
        </w:rPr>
        <w:t xml:space="preserve">?:</w:t>
      </w:r>
      <w:r>
        <w:rPr>
          <w:rStyle w:val="NormalTok"/>
        </w:rPr>
        <w:t xml:space="preserve"> EngagementId</w:t>
      </w:r>
      <w:r>
        <w:rPr>
          <w:rStyle w:val="OperatorTok"/>
        </w:rPr>
        <w:t xml:space="preserve">;</w:t>
      </w:r>
      <w:r>
        <w:br/>
      </w:r>
      <w:r>
        <w:rPr>
          <w:rStyle w:val="NormalTok"/>
        </w:rPr>
        <w:t xml:space="preserve">  clientId</w:t>
      </w:r>
      <w:r>
        <w:rPr>
          <w:rStyle w:val="OperatorTok"/>
        </w:rPr>
        <w:t xml:space="preserve">?:</w:t>
      </w:r>
      <w:r>
        <w:rPr>
          <w:rStyle w:val="NormalTok"/>
        </w:rPr>
        <w:t xml:space="preserve"> ClientId</w:t>
      </w:r>
      <w:r>
        <w:rPr>
          <w:rStyle w:val="OperatorTok"/>
        </w:rPr>
        <w:t xml:space="preserve">;</w:t>
      </w:r>
      <w:r>
        <w:br/>
      </w:r>
      <w:r>
        <w:rPr>
          <w:rStyle w:val="NormalTok"/>
        </w:rPr>
        <w:t xml:space="preserve">  eventId</w:t>
      </w:r>
      <w:r>
        <w:rPr>
          <w:rStyle w:val="OperatorTok"/>
        </w:rPr>
        <w:t xml:space="preserve">?:</w:t>
      </w:r>
      <w:r>
        <w:rPr>
          <w:rStyle w:val="NormalTok"/>
        </w:rPr>
        <w:t xml:space="preserve"> EventId</w:t>
      </w:r>
      <w:r>
        <w:rPr>
          <w:rStyle w:val="OperatorTok"/>
        </w:rPr>
        <w:t xml:space="preserve">;</w:t>
      </w:r>
      <w:r>
        <w:br/>
      </w:r>
      <w:r>
        <w:rPr>
          <w:rStyle w:val="NormalTok"/>
        </w:rPr>
        <w:t xml:space="preserve">  expectedVersion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r>
        <w:br/>
      </w:r>
      <w:r>
        <w:br/>
      </w:r>
      <w:r>
        <w:rPr>
          <w:rStyle w:val="KeywordTok"/>
        </w:rPr>
        <w:t xml:space="preserve">type</w:t>
      </w:r>
      <w:r>
        <w:rPr>
          <w:rStyle w:val="NormalTok"/>
        </w:rPr>
        <w:t xml:space="preserve"> Provenance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createdAt</w:t>
      </w:r>
      <w:r>
        <w:rPr>
          <w:rStyle w:val="OperatorTok"/>
        </w:rPr>
        <w:t xml:space="preserve">:</w:t>
      </w:r>
      <w:r>
        <w:rPr>
          <w:rStyle w:val="NormalTok"/>
        </w:rPr>
        <w:t xml:space="preserve"> IsoDateTime</w:t>
      </w:r>
      <w:r>
        <w:rPr>
          <w:rStyle w:val="OperatorTok"/>
        </w:rPr>
        <w:t xml:space="preserve">;</w:t>
      </w:r>
      <w:r>
        <w:br/>
      </w:r>
      <w:r>
        <w:rPr>
          <w:rStyle w:val="NormalTok"/>
        </w:rPr>
        <w:t xml:space="preserve">  createdByPersonId</w:t>
      </w:r>
      <w:r>
        <w:rPr>
          <w:rStyle w:val="OperatorTok"/>
        </w:rPr>
        <w:t xml:space="preserve">:</w:t>
      </w:r>
      <w:r>
        <w:rPr>
          <w:rStyle w:val="NormalTok"/>
        </w:rPr>
        <w:t xml:space="preserve"> PersonId</w:t>
      </w:r>
      <w:r>
        <w:rPr>
          <w:rStyle w:val="OperatorTok"/>
        </w:rPr>
        <w:t xml:space="preserve">;</w:t>
      </w:r>
      <w:r>
        <w:br/>
      </w:r>
      <w:r>
        <w:rPr>
          <w:rStyle w:val="NormalTok"/>
        </w:rPr>
        <w:t xml:space="preserve">  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sourceIds</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schemaVersion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p>
    <w:p>
      <w:pPr>
        <w:pStyle w:val="FirstParagraph"/>
      </w:pPr>
      <w:r>
        <w:t xml:space="preserve">Routes/server actions remain thin: authenticate, parse, call application service, create truthful action result, redirect/project. Domain services own invariants.</w:t>
      </w:r>
    </w:p>
    <w:p>
      <w:r>
        <w:pict>
          <v:rect style="width:0;height:1.5pt" o:hralign="center" o:hrstd="t" o:hr="t"/>
        </w:pict>
      </w:r>
    </w:p>
    <w:bookmarkEnd w:id="55"/>
    <w:bookmarkEnd w:id="56"/>
    <w:bookmarkStart w:id="61" w:name="Xf657d5ec71f6a1d382ded9fc2c649297cf90f76"/>
    <w:p>
      <w:pPr>
        <w:pStyle w:val="Heading1"/>
      </w:pPr>
      <w:r>
        <w:t xml:space="preserve">EEC-00 — Baseline, authority ingestion and compatibility ledger</w:t>
      </w:r>
    </w:p>
    <w:bookmarkStart w:id="57" w:name="objective"/>
    <w:p>
      <w:pPr>
        <w:pStyle w:val="Heading2"/>
      </w:pPr>
      <w:r>
        <w:t xml:space="preserve">Objective</w:t>
      </w:r>
    </w:p>
    <w:p>
      <w:pPr>
        <w:pStyle w:val="FirstParagraph"/>
      </w:pPr>
      <w:r>
        <w:t xml:space="preserve">Establish exact execution authority and a file-level implementation map before changing application code.</w:t>
      </w:r>
    </w:p>
    <w:bookmarkEnd w:id="57"/>
    <w:bookmarkStart w:id="58" w:name="required-work"/>
    <w:p>
      <w:pPr>
        <w:pStyle w:val="Heading2"/>
      </w:pPr>
      <w:r>
        <w:t xml:space="preserve">Required work</w:t>
      </w:r>
    </w:p>
    <w:p>
      <w:pPr>
        <w:numPr>
          <w:ilvl w:val="0"/>
          <w:numId w:val="1026"/>
        </w:numPr>
        <w:pStyle w:val="Compact"/>
      </w:pPr>
      <w:r>
        <w:t xml:space="preserve">Verify clean local HEAD equals origin/main and GitHub main at</w:t>
      </w:r>
      <w:r>
        <w:t xml:space="preserve"> </w:t>
      </w:r>
      <w:r>
        <w:rPr>
          <w:rStyle w:val="VerbatimChar"/>
        </w:rPr>
        <w:t xml:space="preserve">LAST_ACCEPTED_COMMIT</w:t>
      </w:r>
      <w:r>
        <w:t xml:space="preserve">.</w:t>
      </w:r>
    </w:p>
    <w:p>
      <w:pPr>
        <w:numPr>
          <w:ilvl w:val="0"/>
          <w:numId w:val="1026"/>
        </w:numPr>
        <w:pStyle w:val="Compact"/>
      </w:pPr>
      <w:r>
        <w:t xml:space="preserve">Read all ratified EOS-S05A documents, the Budget Engine addendum, current programme/control records and affected accepted-slice contracts.</w:t>
      </w:r>
    </w:p>
    <w:p>
      <w:pPr>
        <w:numPr>
          <w:ilvl w:val="0"/>
          <w:numId w:val="1026"/>
        </w:numPr>
        <w:pStyle w:val="Compact"/>
      </w:pPr>
      <w:r>
        <w:t xml:space="preserve">Inspect existing shared-platform store/service/schema/policy/audit patterns and Event OS route/component/action patterns.</w:t>
      </w:r>
    </w:p>
    <w:p>
      <w:pPr>
        <w:numPr>
          <w:ilvl w:val="0"/>
          <w:numId w:val="1026"/>
        </w:numPr>
        <w:pStyle w:val="Compact"/>
      </w:pPr>
      <w:r>
        <w:t xml:space="preserve">Create</w:t>
      </w:r>
      <w:r>
        <w:t xml:space="preserve"> </w:t>
      </w:r>
      <w:r>
        <w:rPr>
          <w:rStyle w:val="VerbatimChar"/>
        </w:rPr>
        <w:t xml:space="preserve">docs/control/EOS_S05A_RATIFICATION.md</w:t>
      </w:r>
      <w:r>
        <w:t xml:space="preserve">,</w:t>
      </w:r>
      <w:r>
        <w:t xml:space="preserve"> </w:t>
      </w:r>
      <w:r>
        <w:rPr>
          <w:rStyle w:val="VerbatimChar"/>
        </w:rPr>
        <w:t xml:space="preserve">EOS_S05A_IMPLEMENTATION.md</w:t>
      </w:r>
      <w:r>
        <w:t xml:space="preserve">,</w:t>
      </w:r>
      <w:r>
        <w:t xml:space="preserve"> </w:t>
      </w:r>
      <w:r>
        <w:rPr>
          <w:rStyle w:val="VerbatimChar"/>
        </w:rPr>
        <w:t xml:space="preserve">EOS_S05A_BUILD_LEDGER.md</w:t>
      </w:r>
      <w:r>
        <w:t xml:space="preserve">, ADR placeholder and traceability entries under</w:t>
      </w:r>
      <w:r>
        <w:t xml:space="preserve"> </w:t>
      </w:r>
      <w:r>
        <w:rPr>
          <w:rStyle w:val="VerbatimChar"/>
        </w:rPr>
        <w:t xml:space="preserve">MD-PR-S037</w:t>
      </w:r>
      <w:r>
        <w:t xml:space="preserve">.</w:t>
      </w:r>
    </w:p>
    <w:p>
      <w:pPr>
        <w:numPr>
          <w:ilvl w:val="0"/>
          <w:numId w:val="1026"/>
        </w:numPr>
        <w:pStyle w:val="Compact"/>
      </w:pPr>
      <w:r>
        <w:t xml:space="preserve">Record every historical contradiction and its controlling resolution, including EOS-S06 remaining Seating Allocation.</w:t>
      </w:r>
    </w:p>
    <w:p>
      <w:pPr>
        <w:numPr>
          <w:ilvl w:val="0"/>
          <w:numId w:val="1026"/>
        </w:numPr>
        <w:pStyle w:val="Compact"/>
      </w:pPr>
      <w:r>
        <w:t xml:space="preserve">Map each proposed record to an existing store extension and each UI to an existing navigation/session boundary.</w:t>
      </w:r>
    </w:p>
    <w:p>
      <w:pPr>
        <w:numPr>
          <w:ilvl w:val="0"/>
          <w:numId w:val="1026"/>
        </w:numPr>
        <w:pStyle w:val="Compact"/>
      </w:pPr>
      <w:r>
        <w:t xml:space="preserve">Do not add application behaviour in this prompt.</w:t>
      </w:r>
    </w:p>
    <w:bookmarkEnd w:id="58"/>
    <w:bookmarkStart w:id="59" w:name="evidence"/>
    <w:p>
      <w:pPr>
        <w:pStyle w:val="Heading2"/>
      </w:pPr>
      <w:r>
        <w:t xml:space="preserve">Evidence</w:t>
      </w:r>
    </w:p>
    <w:p>
      <w:pPr>
        <w:numPr>
          <w:ilvl w:val="0"/>
          <w:numId w:val="1027"/>
        </w:numPr>
        <w:pStyle w:val="Compact"/>
      </w:pPr>
      <w:r>
        <w:t xml:space="preserve">clean baseline/parity;</w:t>
      </w:r>
    </w:p>
    <w:p>
      <w:pPr>
        <w:numPr>
          <w:ilvl w:val="0"/>
          <w:numId w:val="1027"/>
        </w:numPr>
        <w:pStyle w:val="Compact"/>
      </w:pPr>
      <w:r>
        <w:t xml:space="preserve">compatibility table for Organisation, Client, Event, Person, permissions, audit, RSVP, forecast, programme, communications, Atelier, language, venue/layout;</w:t>
      </w:r>
    </w:p>
    <w:p>
      <w:pPr>
        <w:numPr>
          <w:ilvl w:val="0"/>
          <w:numId w:val="1027"/>
        </w:numPr>
        <w:pStyle w:val="Compact"/>
      </w:pPr>
      <w:r>
        <w:t xml:space="preserve">proposed additive migration sequence;</w:t>
      </w:r>
    </w:p>
    <w:p>
      <w:pPr>
        <w:numPr>
          <w:ilvl w:val="0"/>
          <w:numId w:val="1027"/>
        </w:numPr>
        <w:pStyle w:val="Compact"/>
      </w:pPr>
      <w:r>
        <w:t xml:space="preserve">explicit provider and production exclusions.</w:t>
      </w:r>
    </w:p>
    <w:bookmarkEnd w:id="59"/>
    <w:bookmarkStart w:id="60" w:name="stop"/>
    <w:p>
      <w:pPr>
        <w:pStyle w:val="Heading2"/>
      </w:pPr>
      <w:r>
        <w:t xml:space="preserve">Stop</w:t>
      </w:r>
    </w:p>
    <w:p>
      <w:pPr>
        <w:pStyle w:val="FirstParagraph"/>
      </w:pPr>
      <w:r>
        <w:t xml:space="preserve">Stop if ratified docs are absent, baseline differs, a current authority supersedes EOS-S05A, or the design requires a parallel canonical ledger.</w:t>
      </w:r>
    </w:p>
    <w:p>
      <w:r>
        <w:pict>
          <v:rect style="width:0;height:1.5pt" o:hralign="center" o:hrstd="t" o:hr="t"/>
        </w:pict>
      </w:r>
    </w:p>
    <w:bookmarkEnd w:id="60"/>
    <w:bookmarkEnd w:id="61"/>
    <w:bookmarkStart w:id="66" w:name="Xd29ba7b14debab0b1584d4c5c128aa81c489e9c"/>
    <w:p>
      <w:pPr>
        <w:pStyle w:val="Heading1"/>
      </w:pPr>
      <w:r>
        <w:t xml:space="preserve">EEC-01 — Bounded-context ADR and package architecture</w:t>
      </w:r>
    </w:p>
    <w:bookmarkStart w:id="62" w:name="objective-1"/>
    <w:p>
      <w:pPr>
        <w:pStyle w:val="Heading2"/>
      </w:pPr>
      <w:r>
        <w:t xml:space="preserve">Objective</w:t>
      </w:r>
    </w:p>
    <w:p>
      <w:pPr>
        <w:pStyle w:val="FirstParagraph"/>
      </w:pPr>
      <w:r>
        <w:t xml:space="preserve">Freeze module ownership and dependency direction.</w:t>
      </w:r>
    </w:p>
    <w:bookmarkEnd w:id="62"/>
    <w:bookmarkStart w:id="63" w:name="required-modules"/>
    <w:p>
      <w:pPr>
        <w:pStyle w:val="Heading2"/>
      </w:pPr>
      <w:r>
        <w:t xml:space="preserve">Required modules</w:t>
      </w:r>
    </w:p>
    <w:p>
      <w:pPr>
        <w:pStyle w:val="FirstParagraph"/>
      </w:pPr>
      <w:r>
        <w:t xml:space="preserve">Within shared-platform, create bounded modules with explicit public exports:</w:t>
      </w:r>
    </w:p>
    <w:p>
      <w:pPr>
        <w:pStyle w:val="SourceCode"/>
      </w:pPr>
      <w:r>
        <w:rPr>
          <w:rStyle w:val="VerbatimChar"/>
        </w:rPr>
        <w:t xml:space="preserve">engagement-intake</w:t>
      </w:r>
      <w:r>
        <w:br/>
      </w:r>
      <w:r>
        <w:rPr>
          <w:rStyle w:val="VerbatimChar"/>
        </w:rPr>
        <w:t xml:space="preserve">discovery-intelligence</w:t>
      </w:r>
      <w:r>
        <w:br/>
      </w:r>
      <w:r>
        <w:rPr>
          <w:rStyle w:val="VerbatimChar"/>
        </w:rPr>
        <w:t xml:space="preserve">event-brief</w:t>
      </w:r>
      <w:r>
        <w:br/>
      </w:r>
      <w:r>
        <w:rPr>
          <w:rStyle w:val="VerbatimChar"/>
        </w:rPr>
        <w:t xml:space="preserve">investment-intelligence</w:t>
      </w:r>
      <w:r>
        <w:br/>
      </w:r>
      <w:r>
        <w:rPr>
          <w:rStyle w:val="VerbatimChar"/>
        </w:rPr>
        <w:t xml:space="preserve">budget-intelligence</w:t>
      </w:r>
      <w:r>
        <w:br/>
      </w:r>
      <w:r>
        <w:rPr>
          <w:rStyle w:val="VerbatimChar"/>
        </w:rPr>
        <w:t xml:space="preserve">roadmap-intelligence</w:t>
      </w:r>
      <w:r>
        <w:br/>
      </w:r>
      <w:r>
        <w:rPr>
          <w:rStyle w:val="VerbatimChar"/>
        </w:rPr>
        <w:t xml:space="preserve">change-intelligence</w:t>
      </w:r>
      <w:r>
        <w:br/>
      </w:r>
      <w:r>
        <w:rPr>
          <w:rStyle w:val="VerbatimChar"/>
        </w:rPr>
        <w:t xml:space="preserve">executive-event-command</w:t>
      </w:r>
      <w:r>
        <w:br/>
      </w:r>
      <w:r>
        <w:rPr>
          <w:rStyle w:val="VerbatimChar"/>
        </w:rPr>
        <w:t xml:space="preserve">ai-assistance</w:t>
      </w:r>
    </w:p>
    <w:p>
      <w:pPr>
        <w:pStyle w:val="FirstParagraph"/>
      </w:pPr>
      <w:r>
        <w:t xml:space="preserve">Dependencies flow from shared identity/event primitives into these modules.</w:t>
      </w:r>
      <w:r>
        <w:t xml:space="preserve"> </w:t>
      </w:r>
      <w:r>
        <w:rPr>
          <w:rStyle w:val="VerbatimChar"/>
        </w:rPr>
        <w:t xml:space="preserve">executive-event-command</w:t>
      </w:r>
      <w:r>
        <w:t xml:space="preserve"> </w:t>
      </w:r>
      <w:r>
        <w:t xml:space="preserve">consumes projections; it owns no truth.</w:t>
      </w:r>
      <w:r>
        <w:t xml:space="preserve"> </w:t>
      </w:r>
      <w:r>
        <w:rPr>
          <w:rStyle w:val="VerbatimChar"/>
        </w:rPr>
        <w:t xml:space="preserve">ai-assistance</w:t>
      </w:r>
      <w:r>
        <w:t xml:space="preserve"> </w:t>
      </w:r>
      <w:r>
        <w:t xml:space="preserve">creates proposals through application interfaces and may not import persistence adapters directly. Destination domains own approved propagation adapters.</w:t>
      </w:r>
    </w:p>
    <w:bookmarkEnd w:id="63"/>
    <w:bookmarkStart w:id="64" w:name="adr-decisions"/>
    <w:p>
      <w:pPr>
        <w:pStyle w:val="Heading2"/>
      </w:pPr>
      <w:r>
        <w:t xml:space="preserve">ADR decisions</w:t>
      </w:r>
    </w:p>
    <w:p>
      <w:pPr>
        <w:numPr>
          <w:ilvl w:val="0"/>
          <w:numId w:val="1028"/>
        </w:numPr>
        <w:pStyle w:val="Compact"/>
      </w:pPr>
      <w:r>
        <w:t xml:space="preserve">pre-engagement records are organisation-scoped and not Events;</w:t>
      </w:r>
    </w:p>
    <w:p>
      <w:pPr>
        <w:numPr>
          <w:ilvl w:val="0"/>
          <w:numId w:val="1028"/>
        </w:numPr>
        <w:pStyle w:val="Compact"/>
      </w:pPr>
      <w:r>
        <w:t xml:space="preserve">operational conversion is explicit and idempotent;</w:t>
      </w:r>
    </w:p>
    <w:p>
      <w:pPr>
        <w:numPr>
          <w:ilvl w:val="0"/>
          <w:numId w:val="1028"/>
        </w:numPr>
        <w:pStyle w:val="Compact"/>
      </w:pPr>
      <w:r>
        <w:t xml:space="preserve">immutable edition/content-hash pattern for brief, investment, price/rule/template, roadmap and recommendation publications;</w:t>
      </w:r>
    </w:p>
    <w:p>
      <w:pPr>
        <w:numPr>
          <w:ilvl w:val="0"/>
          <w:numId w:val="1028"/>
        </w:numPr>
        <w:pStyle w:val="Compact"/>
      </w:pPr>
      <w:r>
        <w:t xml:space="preserve">append-only source/provenance/audit;</w:t>
      </w:r>
    </w:p>
    <w:p>
      <w:pPr>
        <w:numPr>
          <w:ilvl w:val="0"/>
          <w:numId w:val="1028"/>
        </w:numPr>
        <w:pStyle w:val="Compact"/>
      </w:pPr>
      <w:r>
        <w:t xml:space="preserve">mutable working records use CAS;</w:t>
      </w:r>
    </w:p>
    <w:p>
      <w:pPr>
        <w:numPr>
          <w:ilvl w:val="0"/>
          <w:numId w:val="1028"/>
        </w:numPr>
        <w:pStyle w:val="Compact"/>
      </w:pPr>
      <w:r>
        <w:t xml:space="preserve">calculations are pure functions over immutable snapshots;</w:t>
      </w:r>
    </w:p>
    <w:p>
      <w:pPr>
        <w:numPr>
          <w:ilvl w:val="0"/>
          <w:numId w:val="1028"/>
        </w:numPr>
        <w:pStyle w:val="Compact"/>
      </w:pPr>
      <w:r>
        <w:t xml:space="preserve">AI provider interface is optional and disabled by default;</w:t>
      </w:r>
    </w:p>
    <w:p>
      <w:pPr>
        <w:numPr>
          <w:ilvl w:val="0"/>
          <w:numId w:val="1028"/>
        </w:numPr>
        <w:pStyle w:val="Compact"/>
      </w:pPr>
      <w:r>
        <w:t xml:space="preserve">Executive Event Command is distinct from Programme Control Tower.</w:t>
      </w:r>
    </w:p>
    <w:bookmarkEnd w:id="64"/>
    <w:bookmarkStart w:id="65" w:name="tests"/>
    <w:p>
      <w:pPr>
        <w:pStyle w:val="Heading2"/>
      </w:pPr>
      <w:r>
        <w:t xml:space="preserve">Tests</w:t>
      </w:r>
    </w:p>
    <w:p>
      <w:pPr>
        <w:pStyle w:val="FirstParagraph"/>
      </w:pPr>
      <w:r>
        <w:t xml:space="preserve">Add dependency/exports tests or architectural assertions that prevent AI and UI modules importing persistence internals or bypassing services.</w:t>
      </w:r>
    </w:p>
    <w:p>
      <w:r>
        <w:pict>
          <v:rect style="width:0;height:1.5pt" o:hralign="center" o:hrstd="t" o:hr="t"/>
        </w:pict>
      </w:r>
    </w:p>
    <w:bookmarkEnd w:id="65"/>
    <w:bookmarkEnd w:id="66"/>
    <w:bookmarkStart w:id="71" w:name="X3d777cc14025f381e2a81ce59d3ef9f2300f2ea"/>
    <w:p>
      <w:pPr>
        <w:pStyle w:val="Heading1"/>
      </w:pPr>
      <w:r>
        <w:t xml:space="preserve">EEC-02 — Permission catalogue and role-safe projection contract</w:t>
      </w:r>
    </w:p>
    <w:bookmarkStart w:id="67" w:name="objective-2"/>
    <w:p>
      <w:pPr>
        <w:pStyle w:val="Heading2"/>
      </w:pPr>
      <w:r>
        <w:t xml:space="preserve">Objective</w:t>
      </w:r>
    </w:p>
    <w:p>
      <w:pPr>
        <w:pStyle w:val="FirstParagraph"/>
      </w:pPr>
      <w:r>
        <w:t xml:space="preserve">Add least-privilege capabilities before routes exist.</w:t>
      </w:r>
    </w:p>
    <w:bookmarkEnd w:id="67"/>
    <w:bookmarkStart w:id="68" w:name="permission-keys"/>
    <w:p>
      <w:pPr>
        <w:pStyle w:val="Heading2"/>
      </w:pPr>
      <w:r>
        <w:t xml:space="preserve">Permission keys</w:t>
      </w:r>
    </w:p>
    <w:p>
      <w:pPr>
        <w:pStyle w:val="FirstParagraph"/>
      </w:pPr>
      <w:r>
        <w:t xml:space="preserve">Implement granular keys from the ratified spec, separated at minimum into view, author, submit, decide/publish and convert/propagate actions. Do not use one broad</w:t>
      </w:r>
      <w:r>
        <w:t xml:space="preserve"> </w:t>
      </w:r>
      <w:r>
        <w:rPr>
          <w:rStyle w:val="VerbatimChar"/>
        </w:rPr>
        <w:t xml:space="preserve">discovery.manage</w:t>
      </w:r>
      <w:r>
        <w:t xml:space="preserve"> </w:t>
      </w:r>
      <w:r>
        <w:t xml:space="preserve">or</w:t>
      </w:r>
      <w:r>
        <w:t xml:space="preserve"> </w:t>
      </w:r>
      <w:r>
        <w:rPr>
          <w:rStyle w:val="VerbatimChar"/>
        </w:rPr>
        <w:t xml:space="preserve">budget.manage</w:t>
      </w:r>
      <w:r>
        <w:t xml:space="preserve"> </w:t>
      </w:r>
      <w:r>
        <w:t xml:space="preserve">permission for all consequences.</w:t>
      </w:r>
    </w:p>
    <w:p>
      <w:pPr>
        <w:pStyle w:val="BodyText"/>
      </w:pPr>
      <w:r>
        <w:t xml:space="preserve">Required groups:</w:t>
      </w:r>
    </w:p>
    <w:p>
      <w:pPr>
        <w:pStyle w:val="SourceCode"/>
      </w:pPr>
      <w:r>
        <w:rPr>
          <w:rStyle w:val="KeywordTok"/>
        </w:rPr>
        <w:t xml:space="preserve">type</w:t>
      </w:r>
      <w:r>
        <w:rPr>
          <w:rStyle w:val="NormalTok"/>
        </w:rPr>
        <w:t xml:space="preserve"> EecPermission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"engagement.view"</w:t>
      </w:r>
      <w:r>
        <w:rPr>
          <w:rStyle w:val="NormalTok"/>
        </w:rPr>
        <w:t xml:space="preserve"> </w:t>
      </w:r>
      <w:r>
        <w:rPr>
          <w:rStyle w:val="OperatorTok"/>
        </w:rPr>
        <w:t xml:space="preserve">|</w:t>
      </w:r>
      <w:r>
        <w:rPr>
          <w:rStyle w:val="NormalTok"/>
        </w:rPr>
        <w:t xml:space="preserve"> </w:t>
      </w:r>
      <w:r>
        <w:rPr>
          <w:rStyle w:val="StringTok"/>
        </w:rPr>
        <w:t xml:space="preserve">"engagement.create"</w:t>
      </w:r>
      <w:r>
        <w:rPr>
          <w:rStyle w:val="NormalTok"/>
        </w:rPr>
        <w:t xml:space="preserve"> </w:t>
      </w:r>
      <w:r>
        <w:rPr>
          <w:rStyle w:val="OperatorTok"/>
        </w:rPr>
        <w:t xml:space="preserve">|</w:t>
      </w:r>
      <w:r>
        <w:rPr>
          <w:rStyle w:val="NormalTok"/>
        </w:rPr>
        <w:t xml:space="preserve"> </w:t>
      </w:r>
      <w:r>
        <w:rPr>
          <w:rStyle w:val="StringTok"/>
        </w:rPr>
        <w:t xml:space="preserve">"engagement.update"</w:t>
      </w:r>
      <w:r>
        <w:rPr>
          <w:rStyle w:val="NormalTok"/>
        </w:rPr>
        <w:t xml:space="preserve"> </w:t>
      </w:r>
      <w:r>
        <w:rPr>
          <w:rStyle w:val="OperatorTok"/>
        </w:rPr>
        <w:t xml:space="preserve">|</w:t>
      </w:r>
      <w:r>
        <w:rPr>
          <w:rStyle w:val="NormalTok"/>
        </w:rPr>
        <w:t xml:space="preserve"> </w:t>
      </w:r>
      <w:r>
        <w:rPr>
          <w:rStyle w:val="StringTok"/>
        </w:rPr>
        <w:t xml:space="preserve">"engagement.convert"</w:t>
      </w:r>
      <w:r>
        <w:br/>
      </w:r>
      <w:r>
        <w:rPr>
          <w:rStyle w:val="NormalTok"/>
        </w:rPr>
        <w:t xml:space="preserve">  </w:t>
      </w:r>
      <w:r>
        <w:rPr>
          <w:rStyle w:val="OperatorTok"/>
        </w:rPr>
        <w:t xml:space="preserve">|</w:t>
      </w:r>
      <w:r>
        <w:rPr>
          <w:rStyle w:val="NormalTok"/>
        </w:rPr>
        <w:t xml:space="preserve"> </w:t>
      </w:r>
      <w:r>
        <w:rPr>
          <w:rStyle w:val="StringTok"/>
        </w:rPr>
        <w:t xml:space="preserve">"discovery.session.view"</w:t>
      </w:r>
      <w:r>
        <w:rPr>
          <w:rStyle w:val="NormalTok"/>
        </w:rPr>
        <w:t xml:space="preserve"> </w:t>
      </w:r>
      <w:r>
        <w:rPr>
          <w:rStyle w:val="OperatorTok"/>
        </w:rPr>
        <w:t xml:space="preserve">|</w:t>
      </w:r>
      <w:r>
        <w:rPr>
          <w:rStyle w:val="NormalTok"/>
        </w:rPr>
        <w:t xml:space="preserve"> </w:t>
      </w:r>
      <w:r>
        <w:rPr>
          <w:rStyle w:val="StringTok"/>
        </w:rPr>
        <w:t xml:space="preserve">"discovery.session.manage"</w:t>
      </w:r>
      <w:r>
        <w:br/>
      </w:r>
      <w:r>
        <w:rPr>
          <w:rStyle w:val="NormalTok"/>
        </w:rPr>
        <w:t xml:space="preserve">  </w:t>
      </w:r>
      <w:r>
        <w:rPr>
          <w:rStyle w:val="OperatorTok"/>
        </w:rPr>
        <w:t xml:space="preserve">|</w:t>
      </w:r>
      <w:r>
        <w:rPr>
          <w:rStyle w:val="NormalTok"/>
        </w:rPr>
        <w:t xml:space="preserve"> </w:t>
      </w:r>
      <w:r>
        <w:rPr>
          <w:rStyle w:val="StringTok"/>
        </w:rPr>
        <w:t xml:space="preserve">"discovery.source.view"</w:t>
      </w:r>
      <w:r>
        <w:rPr>
          <w:rStyle w:val="NormalTok"/>
        </w:rPr>
        <w:t xml:space="preserve"> </w:t>
      </w:r>
      <w:r>
        <w:rPr>
          <w:rStyle w:val="OperatorTok"/>
        </w:rPr>
        <w:t xml:space="preserve">|</w:t>
      </w:r>
      <w:r>
        <w:rPr>
          <w:rStyle w:val="NormalTok"/>
        </w:rPr>
        <w:t xml:space="preserve"> </w:t>
      </w:r>
      <w:r>
        <w:rPr>
          <w:rStyle w:val="StringTok"/>
        </w:rPr>
        <w:t xml:space="preserve">"discovery.source.manage"</w:t>
      </w:r>
      <w:r>
        <w:br/>
      </w:r>
      <w:r>
        <w:rPr>
          <w:rStyle w:val="NormalTok"/>
        </w:rPr>
        <w:t xml:space="preserve">  </w:t>
      </w:r>
      <w:r>
        <w:rPr>
          <w:rStyle w:val="OperatorTok"/>
        </w:rPr>
        <w:t xml:space="preserve">|</w:t>
      </w:r>
      <w:r>
        <w:rPr>
          <w:rStyle w:val="NormalTok"/>
        </w:rPr>
        <w:t xml:space="preserve"> </w:t>
      </w:r>
      <w:r>
        <w:rPr>
          <w:rStyle w:val="StringTok"/>
        </w:rPr>
        <w:t xml:space="preserve">"discovery.assertion.review"</w:t>
      </w:r>
      <w:r>
        <w:br/>
      </w:r>
      <w:r>
        <w:rPr>
          <w:rStyle w:val="NormalTok"/>
        </w:rPr>
        <w:t xml:space="preserve">  </w:t>
      </w:r>
      <w:r>
        <w:rPr>
          <w:rStyle w:val="OperatorTok"/>
        </w:rPr>
        <w:t xml:space="preserve">|</w:t>
      </w:r>
      <w:r>
        <w:rPr>
          <w:rStyle w:val="NormalTok"/>
        </w:rPr>
        <w:t xml:space="preserve"> </w:t>
      </w:r>
      <w:r>
        <w:rPr>
          <w:rStyle w:val="StringTok"/>
        </w:rPr>
        <w:t xml:space="preserve">"brief.view"</w:t>
      </w:r>
      <w:r>
        <w:rPr>
          <w:rStyle w:val="NormalTok"/>
        </w:rPr>
        <w:t xml:space="preserve"> </w:t>
      </w:r>
      <w:r>
        <w:rPr>
          <w:rStyle w:val="OperatorTok"/>
        </w:rPr>
        <w:t xml:space="preserve">|</w:t>
      </w:r>
      <w:r>
        <w:rPr>
          <w:rStyle w:val="NormalTok"/>
        </w:rPr>
        <w:t xml:space="preserve"> </w:t>
      </w:r>
      <w:r>
        <w:rPr>
          <w:rStyle w:val="StringTok"/>
        </w:rPr>
        <w:t xml:space="preserve">"brief.author"</w:t>
      </w:r>
      <w:r>
        <w:rPr>
          <w:rStyle w:val="NormalTok"/>
        </w:rPr>
        <w:t xml:space="preserve"> </w:t>
      </w:r>
      <w:r>
        <w:rPr>
          <w:rStyle w:val="OperatorTok"/>
        </w:rPr>
        <w:t xml:space="preserve">|</w:t>
      </w:r>
      <w:r>
        <w:rPr>
          <w:rStyle w:val="NormalTok"/>
        </w:rPr>
        <w:t xml:space="preserve"> </w:t>
      </w:r>
      <w:r>
        <w:rPr>
          <w:rStyle w:val="StringTok"/>
        </w:rPr>
        <w:t xml:space="preserve">"brief.submit"</w:t>
      </w:r>
      <w:r>
        <w:rPr>
          <w:rStyle w:val="NormalTok"/>
        </w:rPr>
        <w:t xml:space="preserve"> </w:t>
      </w:r>
      <w:r>
        <w:rPr>
          <w:rStyle w:val="OperatorTok"/>
        </w:rPr>
        <w:t xml:space="preserve">|</w:t>
      </w:r>
      <w:r>
        <w:rPr>
          <w:rStyle w:val="NormalTok"/>
        </w:rPr>
        <w:t xml:space="preserve"> </w:t>
      </w:r>
      <w:r>
        <w:rPr>
          <w:rStyle w:val="StringTok"/>
        </w:rPr>
        <w:t xml:space="preserve">"brief.decide"</w:t>
      </w:r>
      <w:r>
        <w:rPr>
          <w:rStyle w:val="NormalTok"/>
        </w:rPr>
        <w:t xml:space="preserve"> </w:t>
      </w:r>
      <w:r>
        <w:rPr>
          <w:rStyle w:val="OperatorTok"/>
        </w:rPr>
        <w:t xml:space="preserve">|</w:t>
      </w:r>
      <w:r>
        <w:rPr>
          <w:rStyle w:val="NormalTok"/>
        </w:rPr>
        <w:t xml:space="preserve"> </w:t>
      </w:r>
      <w:r>
        <w:rPr>
          <w:rStyle w:val="StringTok"/>
        </w:rPr>
        <w:t xml:space="preserve">"brief.publish"</w:t>
      </w:r>
      <w:r>
        <w:br/>
      </w:r>
      <w:r>
        <w:rPr>
          <w:rStyle w:val="NormalTok"/>
        </w:rPr>
        <w:t xml:space="preserve">  </w:t>
      </w:r>
      <w:r>
        <w:rPr>
          <w:rStyle w:val="OperatorTok"/>
        </w:rPr>
        <w:t xml:space="preserve">|</w:t>
      </w:r>
      <w:r>
        <w:rPr>
          <w:rStyle w:val="NormalTok"/>
        </w:rPr>
        <w:t xml:space="preserve"> </w:t>
      </w:r>
      <w:r>
        <w:rPr>
          <w:rStyle w:val="StringTok"/>
        </w:rPr>
        <w:t xml:space="preserve">"investment.view"</w:t>
      </w:r>
      <w:r>
        <w:rPr>
          <w:rStyle w:val="NormalTok"/>
        </w:rPr>
        <w:t xml:space="preserve"> </w:t>
      </w:r>
      <w:r>
        <w:rPr>
          <w:rStyle w:val="OperatorTok"/>
        </w:rPr>
        <w:t xml:space="preserve">|</w:t>
      </w:r>
      <w:r>
        <w:rPr>
          <w:rStyle w:val="NormalTok"/>
        </w:rPr>
        <w:t xml:space="preserve"> </w:t>
      </w:r>
      <w:r>
        <w:rPr>
          <w:rStyle w:val="StringTok"/>
        </w:rPr>
        <w:t xml:space="preserve">"investment.author"</w:t>
      </w:r>
      <w:r>
        <w:rPr>
          <w:rStyle w:val="NormalTok"/>
        </w:rPr>
        <w:t xml:space="preserve"> </w:t>
      </w:r>
      <w:r>
        <w:rPr>
          <w:rStyle w:val="OperatorTok"/>
        </w:rPr>
        <w:t xml:space="preserve">|</w:t>
      </w:r>
      <w:r>
        <w:rPr>
          <w:rStyle w:val="NormalTok"/>
        </w:rPr>
        <w:t xml:space="preserve"> </w:t>
      </w:r>
      <w:r>
        <w:rPr>
          <w:rStyle w:val="StringTok"/>
        </w:rPr>
        <w:t xml:space="preserve">"investment.recommend"</w:t>
      </w:r>
      <w:r>
        <w:rPr>
          <w:rStyle w:val="NormalTok"/>
        </w:rPr>
        <w:t xml:space="preserve"> </w:t>
      </w:r>
      <w:r>
        <w:rPr>
          <w:rStyle w:val="OperatorTok"/>
        </w:rPr>
        <w:t xml:space="preserve">|</w:t>
      </w:r>
      <w:r>
        <w:rPr>
          <w:rStyle w:val="NormalTok"/>
        </w:rPr>
        <w:t xml:space="preserve"> </w:t>
      </w:r>
      <w:r>
        <w:rPr>
          <w:rStyle w:val="StringTok"/>
        </w:rPr>
        <w:t xml:space="preserve">"investment.decide"</w:t>
      </w:r>
      <w:r>
        <w:br/>
      </w:r>
      <w:r>
        <w:rPr>
          <w:rStyle w:val="NormalTok"/>
        </w:rPr>
        <w:t xml:space="preserve">  </w:t>
      </w:r>
      <w:r>
        <w:rPr>
          <w:rStyle w:val="OperatorTok"/>
        </w:rPr>
        <w:t xml:space="preserve">|</w:t>
      </w:r>
      <w:r>
        <w:rPr>
          <w:rStyle w:val="NormalTok"/>
        </w:rPr>
        <w:t xml:space="preserve"> </w:t>
      </w:r>
      <w:r>
        <w:rPr>
          <w:rStyle w:val="StringTok"/>
        </w:rPr>
        <w:t xml:space="preserve">"budget.catalogue.view"</w:t>
      </w:r>
      <w:r>
        <w:rPr>
          <w:rStyle w:val="NormalTok"/>
        </w:rPr>
        <w:t xml:space="preserve"> </w:t>
      </w:r>
      <w:r>
        <w:rPr>
          <w:rStyle w:val="OperatorTok"/>
        </w:rPr>
        <w:t xml:space="preserve">|</w:t>
      </w:r>
      <w:r>
        <w:rPr>
          <w:rStyle w:val="NormalTok"/>
        </w:rPr>
        <w:t xml:space="preserve"> </w:t>
      </w:r>
      <w:r>
        <w:rPr>
          <w:rStyle w:val="StringTok"/>
        </w:rPr>
        <w:t xml:space="preserve">"budget.catalogue.manage"</w:t>
      </w:r>
      <w:r>
        <w:rPr>
          <w:rStyle w:val="NormalTok"/>
        </w:rPr>
        <w:t xml:space="preserve"> </w:t>
      </w:r>
      <w:r>
        <w:rPr>
          <w:rStyle w:val="OperatorTok"/>
        </w:rPr>
        <w:t xml:space="preserve">|</w:t>
      </w:r>
      <w:r>
        <w:rPr>
          <w:rStyle w:val="NormalTok"/>
        </w:rPr>
        <w:t xml:space="preserve"> </w:t>
      </w:r>
      <w:r>
        <w:rPr>
          <w:rStyle w:val="StringTok"/>
        </w:rPr>
        <w:t xml:space="preserve">"budget.calculate"</w:t>
      </w:r>
      <w:r>
        <w:br/>
      </w:r>
      <w:r>
        <w:rPr>
          <w:rStyle w:val="NormalTok"/>
        </w:rPr>
        <w:t xml:space="preserve">  </w:t>
      </w:r>
      <w:r>
        <w:rPr>
          <w:rStyle w:val="OperatorTok"/>
        </w:rPr>
        <w:t xml:space="preserve">|</w:t>
      </w:r>
      <w:r>
        <w:rPr>
          <w:rStyle w:val="NormalTok"/>
        </w:rPr>
        <w:t xml:space="preserve"> </w:t>
      </w:r>
      <w:r>
        <w:rPr>
          <w:rStyle w:val="StringTok"/>
        </w:rPr>
        <w:t xml:space="preserve">"budget.scenario.author"</w:t>
      </w:r>
      <w:r>
        <w:rPr>
          <w:rStyle w:val="NormalTok"/>
        </w:rPr>
        <w:t xml:space="preserve"> </w:t>
      </w:r>
      <w:r>
        <w:rPr>
          <w:rStyle w:val="OperatorTok"/>
        </w:rPr>
        <w:t xml:space="preserve">|</w:t>
      </w:r>
      <w:r>
        <w:rPr>
          <w:rStyle w:val="NormalTok"/>
        </w:rPr>
        <w:t xml:space="preserve"> </w:t>
      </w:r>
      <w:r>
        <w:rPr>
          <w:rStyle w:val="StringTok"/>
        </w:rPr>
        <w:t xml:space="preserve">"budget.recommend"</w:t>
      </w:r>
      <w:r>
        <w:rPr>
          <w:rStyle w:val="NormalTok"/>
        </w:rPr>
        <w:t xml:space="preserve"> </w:t>
      </w:r>
      <w:r>
        <w:rPr>
          <w:rStyle w:val="OperatorTok"/>
        </w:rPr>
        <w:t xml:space="preserve">|</w:t>
      </w:r>
      <w:r>
        <w:rPr>
          <w:rStyle w:val="NormalTok"/>
        </w:rPr>
        <w:t xml:space="preserve"> </w:t>
      </w:r>
      <w:r>
        <w:rPr>
          <w:rStyle w:val="StringTok"/>
        </w:rPr>
        <w:t xml:space="preserve">"budget.decide"</w:t>
      </w:r>
      <w:r>
        <w:br/>
      </w:r>
      <w:r>
        <w:rPr>
          <w:rStyle w:val="NormalTok"/>
        </w:rPr>
        <w:t xml:space="preserve">  </w:t>
      </w:r>
      <w:r>
        <w:rPr>
          <w:rStyle w:val="OperatorTok"/>
        </w:rPr>
        <w:t xml:space="preserve">|</w:t>
      </w:r>
      <w:r>
        <w:rPr>
          <w:rStyle w:val="NormalTok"/>
        </w:rPr>
        <w:t xml:space="preserve"> </w:t>
      </w:r>
      <w:r>
        <w:rPr>
          <w:rStyle w:val="StringTok"/>
        </w:rPr>
        <w:t xml:space="preserve">"roadmap.view"</w:t>
      </w:r>
      <w:r>
        <w:rPr>
          <w:rStyle w:val="NormalTok"/>
        </w:rPr>
        <w:t xml:space="preserve"> </w:t>
      </w:r>
      <w:r>
        <w:rPr>
          <w:rStyle w:val="OperatorTok"/>
        </w:rPr>
        <w:t xml:space="preserve">|</w:t>
      </w:r>
      <w:r>
        <w:rPr>
          <w:rStyle w:val="NormalTok"/>
        </w:rPr>
        <w:t xml:space="preserve"> </w:t>
      </w:r>
      <w:r>
        <w:rPr>
          <w:rStyle w:val="StringTok"/>
        </w:rPr>
        <w:t xml:space="preserve">"roadmap.author"</w:t>
      </w:r>
      <w:r>
        <w:rPr>
          <w:rStyle w:val="NormalTok"/>
        </w:rPr>
        <w:t xml:space="preserve"> </w:t>
      </w:r>
      <w:r>
        <w:rPr>
          <w:rStyle w:val="OperatorTok"/>
        </w:rPr>
        <w:t xml:space="preserve">|</w:t>
      </w:r>
      <w:r>
        <w:rPr>
          <w:rStyle w:val="NormalTok"/>
        </w:rPr>
        <w:t xml:space="preserve"> </w:t>
      </w:r>
      <w:r>
        <w:rPr>
          <w:rStyle w:val="StringTok"/>
        </w:rPr>
        <w:t xml:space="preserve">"roadmap.rebaseline"</w:t>
      </w:r>
      <w:r>
        <w:rPr>
          <w:rStyle w:val="NormalTok"/>
        </w:rPr>
        <w:t xml:space="preserve"> </w:t>
      </w:r>
      <w:r>
        <w:rPr>
          <w:rStyle w:val="OperatorTok"/>
        </w:rPr>
        <w:t xml:space="preserve">|</w:t>
      </w:r>
      <w:r>
        <w:rPr>
          <w:rStyle w:val="NormalTok"/>
        </w:rPr>
        <w:t xml:space="preserve"> </w:t>
      </w:r>
      <w:r>
        <w:rPr>
          <w:rStyle w:val="StringTok"/>
        </w:rPr>
        <w:t xml:space="preserve">"roadmap.decide"</w:t>
      </w:r>
      <w:r>
        <w:br/>
      </w:r>
      <w:r>
        <w:rPr>
          <w:rStyle w:val="NormalTok"/>
        </w:rPr>
        <w:t xml:space="preserve">  </w:t>
      </w:r>
      <w:r>
        <w:rPr>
          <w:rStyle w:val="OperatorTok"/>
        </w:rPr>
        <w:t xml:space="preserve">|</w:t>
      </w:r>
      <w:r>
        <w:rPr>
          <w:rStyle w:val="NormalTok"/>
        </w:rPr>
        <w:t xml:space="preserve"> </w:t>
      </w:r>
      <w:r>
        <w:rPr>
          <w:rStyle w:val="StringTok"/>
        </w:rPr>
        <w:t xml:space="preserve">"change.view"</w:t>
      </w:r>
      <w:r>
        <w:rPr>
          <w:rStyle w:val="NormalTok"/>
        </w:rPr>
        <w:t xml:space="preserve"> </w:t>
      </w:r>
      <w:r>
        <w:rPr>
          <w:rStyle w:val="OperatorTok"/>
        </w:rPr>
        <w:t xml:space="preserve">|</w:t>
      </w:r>
      <w:r>
        <w:rPr>
          <w:rStyle w:val="NormalTok"/>
        </w:rPr>
        <w:t xml:space="preserve"> </w:t>
      </w:r>
      <w:r>
        <w:rPr>
          <w:rStyle w:val="StringTok"/>
        </w:rPr>
        <w:t xml:space="preserve">"change.triage"</w:t>
      </w:r>
      <w:r>
        <w:rPr>
          <w:rStyle w:val="NormalTok"/>
        </w:rPr>
        <w:t xml:space="preserve"> </w:t>
      </w:r>
      <w:r>
        <w:rPr>
          <w:rStyle w:val="OperatorTok"/>
        </w:rPr>
        <w:t xml:space="preserve">|</w:t>
      </w:r>
      <w:r>
        <w:rPr>
          <w:rStyle w:val="NormalTok"/>
        </w:rPr>
        <w:t xml:space="preserve"> </w:t>
      </w:r>
      <w:r>
        <w:rPr>
          <w:rStyle w:val="StringTok"/>
        </w:rPr>
        <w:t xml:space="preserve">"change.decide"</w:t>
      </w:r>
      <w:r>
        <w:rPr>
          <w:rStyle w:val="NormalTok"/>
        </w:rPr>
        <w:t xml:space="preserve"> </w:t>
      </w:r>
      <w:r>
        <w:rPr>
          <w:rStyle w:val="OperatorTok"/>
        </w:rPr>
        <w:t xml:space="preserve">|</w:t>
      </w:r>
      <w:r>
        <w:rPr>
          <w:rStyle w:val="NormalTok"/>
        </w:rPr>
        <w:t xml:space="preserve"> </w:t>
      </w:r>
      <w:r>
        <w:rPr>
          <w:rStyle w:val="StringTok"/>
        </w:rPr>
        <w:t xml:space="preserve">"change.propagate"</w:t>
      </w:r>
      <w:r>
        <w:br/>
      </w:r>
      <w:r>
        <w:rPr>
          <w:rStyle w:val="NormalTok"/>
        </w:rPr>
        <w:t xml:space="preserve">  </w:t>
      </w:r>
      <w:r>
        <w:rPr>
          <w:rStyle w:val="OperatorTok"/>
        </w:rPr>
        <w:t xml:space="preserve">|</w:t>
      </w:r>
      <w:r>
        <w:rPr>
          <w:rStyle w:val="NormalTok"/>
        </w:rPr>
        <w:t xml:space="preserve"> </w:t>
      </w:r>
      <w:r>
        <w:rPr>
          <w:rStyle w:val="StringTok"/>
        </w:rPr>
        <w:t xml:space="preserve">"executiveCommand.view"</w:t>
      </w:r>
      <w:r>
        <w:rPr>
          <w:rStyle w:val="OperatorTok"/>
        </w:rPr>
        <w:t xml:space="preserve">;</w:t>
      </w:r>
    </w:p>
    <w:bookmarkEnd w:id="68"/>
    <w:bookmarkStart w:id="69" w:name="role-intent"/>
    <w:p>
      <w:pPr>
        <w:pStyle w:val="Heading2"/>
      </w:pPr>
      <w:r>
        <w:t xml:space="preserve">Role intent</w:t>
      </w:r>
    </w:p>
    <w:p>
      <w:pPr>
        <w:numPr>
          <w:ilvl w:val="0"/>
          <w:numId w:val="1029"/>
        </w:numPr>
        <w:pStyle w:val="Compact"/>
      </w:pPr>
      <w:r>
        <w:t xml:space="preserve">CEO: governed broad business authority, subject to maker/checker.</w:t>
      </w:r>
    </w:p>
    <w:p>
      <w:pPr>
        <w:numPr>
          <w:ilvl w:val="0"/>
          <w:numId w:val="1029"/>
        </w:numPr>
        <w:pStyle w:val="Compact"/>
      </w:pPr>
      <w:r>
        <w:t xml:space="preserve">Event Director: event-scoped operational review/decision only where granted.</w:t>
      </w:r>
    </w:p>
    <w:p>
      <w:pPr>
        <w:numPr>
          <w:ilvl w:val="0"/>
          <w:numId w:val="1029"/>
        </w:numPr>
        <w:pStyle w:val="Compact"/>
      </w:pPr>
      <w:r>
        <w:t xml:space="preserve">Planner: author/propose/calculate; no self-approval of consequential hashes.</w:t>
      </w:r>
    </w:p>
    <w:p>
      <w:pPr>
        <w:numPr>
          <w:ilvl w:val="0"/>
          <w:numId w:val="1029"/>
        </w:numPr>
        <w:pStyle w:val="Compact"/>
      </w:pPr>
      <w:r>
        <w:t xml:space="preserve">Read-Only Auditor: permission-safe evidence, no mutations.</w:t>
      </w:r>
    </w:p>
    <w:p>
      <w:pPr>
        <w:numPr>
          <w:ilvl w:val="0"/>
          <w:numId w:val="1029"/>
        </w:numPr>
        <w:pStyle w:val="Compact"/>
      </w:pPr>
      <w:r>
        <w:t xml:space="preserve">System Administrator: health/configuration only; no implicit business authority.</w:t>
      </w:r>
    </w:p>
    <w:p>
      <w:pPr>
        <w:numPr>
          <w:ilvl w:val="0"/>
          <w:numId w:val="1029"/>
        </w:numPr>
        <w:pStyle w:val="Compact"/>
      </w:pPr>
      <w:r>
        <w:t xml:space="preserve">Client/host: separate session and explicit engagement/event confirmation projection.</w:t>
      </w:r>
    </w:p>
    <w:bookmarkEnd w:id="69"/>
    <w:bookmarkStart w:id="70" w:name="required-tests"/>
    <w:p>
      <w:pPr>
        <w:pStyle w:val="Heading2"/>
      </w:pPr>
      <w:r>
        <w:t xml:space="preserve">Required tests</w:t>
      </w:r>
    </w:p>
    <w:p>
      <w:pPr>
        <w:pStyle w:val="FirstParagraph"/>
      </w:pPr>
      <w:r>
        <w:t xml:space="preserve">Table-drive every permission by role; test inactive/expired assignments, wrong event/client/organisation, direct service and route denial, catalogue-role-without-active-assignment, CEO maker/checker self-decision denial and System Administrator non-substitution.</w:t>
      </w:r>
    </w:p>
    <w:p>
      <w:r>
        <w:pict>
          <v:rect style="width:0;height:1.5pt" o:hralign="center" o:hrstd="t" o:hr="t"/>
        </w:pict>
      </w:r>
    </w:p>
    <w:bookmarkEnd w:id="70"/>
    <w:bookmarkEnd w:id="71"/>
    <w:bookmarkStart w:id="76" w:name="X919321d8fabdacf7a2ad7661058b446ee4445a3"/>
    <w:p>
      <w:pPr>
        <w:pStyle w:val="Heading1"/>
      </w:pPr>
      <w:r>
        <w:t xml:space="preserve">EEC-03 — Canonical identifiers, primitives and assertion ontology</w:t>
      </w:r>
    </w:p>
    <w:bookmarkStart w:id="72" w:name="objective-3"/>
    <w:p>
      <w:pPr>
        <w:pStyle w:val="Heading2"/>
      </w:pPr>
      <w:r>
        <w:t xml:space="preserve">Objective</w:t>
      </w:r>
    </w:p>
    <w:p>
      <w:pPr>
        <w:pStyle w:val="FirstParagraph"/>
      </w:pPr>
      <w:r>
        <w:t xml:space="preserve">Implement the shared strict types on which later schemas depend.</w:t>
      </w:r>
    </w:p>
    <w:bookmarkEnd w:id="72"/>
    <w:bookmarkStart w:id="73" w:name="required-types"/>
    <w:p>
      <w:pPr>
        <w:pStyle w:val="Heading2"/>
      </w:pPr>
      <w:r>
        <w:t xml:space="preserve">Required types</w:t>
      </w:r>
    </w:p>
    <w:p>
      <w:pPr>
        <w:pStyle w:val="FirstParagraph"/>
      </w:pPr>
      <w:r>
        <w:t xml:space="preserve">Create branded IDs for opportunity, engagement, participant, consent, session, source artefact/segment, assertion, conflict, coverage item/assessment, brief edition, investment edition, budget entities, roadmap entities and change entities.</w:t>
      </w:r>
    </w:p>
    <w:p>
      <w:pPr>
        <w:pStyle w:val="BodyText"/>
      </w:pPr>
      <w:r>
        <w:t xml:space="preserve">Implement:</w:t>
      </w:r>
    </w:p>
    <w:p>
      <w:pPr>
        <w:pStyle w:val="SourceCode"/>
      </w:pPr>
      <w:r>
        <w:rPr>
          <w:rStyle w:val="KeywordTok"/>
        </w:rPr>
        <w:t xml:space="preserve">type</w:t>
      </w:r>
      <w:r>
        <w:rPr>
          <w:rStyle w:val="NormalTok"/>
        </w:rPr>
        <w:t xml:space="preserve"> AssertionKind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"FACT"</w:t>
      </w:r>
      <w:r>
        <w:rPr>
          <w:rStyle w:val="NormalTok"/>
        </w:rPr>
        <w:t xml:space="preserve"> </w:t>
      </w:r>
      <w:r>
        <w:rPr>
          <w:rStyle w:val="OperatorTok"/>
        </w:rPr>
        <w:t xml:space="preserve">|</w:t>
      </w:r>
      <w:r>
        <w:rPr>
          <w:rStyle w:val="NormalTok"/>
        </w:rPr>
        <w:t xml:space="preserve"> </w:t>
      </w:r>
      <w:r>
        <w:rPr>
          <w:rStyle w:val="StringTok"/>
        </w:rPr>
        <w:t xml:space="preserve">"PREFERENCE"</w:t>
      </w:r>
      <w:r>
        <w:rPr>
          <w:rStyle w:val="NormalTok"/>
        </w:rPr>
        <w:t xml:space="preserve"> </w:t>
      </w:r>
      <w:r>
        <w:rPr>
          <w:rStyle w:val="OperatorTok"/>
        </w:rPr>
        <w:t xml:space="preserve">|</w:t>
      </w:r>
      <w:r>
        <w:rPr>
          <w:rStyle w:val="NormalTok"/>
        </w:rPr>
        <w:t xml:space="preserve"> </w:t>
      </w:r>
      <w:r>
        <w:rPr>
          <w:rStyle w:val="StringTok"/>
        </w:rPr>
        <w:t xml:space="preserve">"ASPIRATION"</w:t>
      </w:r>
      <w:r>
        <w:rPr>
          <w:rStyle w:val="NormalTok"/>
        </w:rPr>
        <w:t xml:space="preserve"> </w:t>
      </w:r>
      <w:r>
        <w:rPr>
          <w:rStyle w:val="OperatorTok"/>
        </w:rPr>
        <w:t xml:space="preserve">|</w:t>
      </w:r>
      <w:r>
        <w:rPr>
          <w:rStyle w:val="NormalTok"/>
        </w:rPr>
        <w:t xml:space="preserve"> </w:t>
      </w:r>
      <w:r>
        <w:rPr>
          <w:rStyle w:val="StringTok"/>
        </w:rPr>
        <w:t xml:space="preserve">"PRIORITY"</w:t>
      </w:r>
      <w:r>
        <w:br/>
      </w:r>
      <w:r>
        <w:rPr>
          <w:rStyle w:val="NormalTok"/>
        </w:rPr>
        <w:t xml:space="preserve">  </w:t>
      </w:r>
      <w:r>
        <w:rPr>
          <w:rStyle w:val="OperatorTok"/>
        </w:rPr>
        <w:t xml:space="preserve">|</w:t>
      </w:r>
      <w:r>
        <w:rPr>
          <w:rStyle w:val="NormalTok"/>
        </w:rPr>
        <w:t xml:space="preserve"> </w:t>
      </w:r>
      <w:r>
        <w:rPr>
          <w:rStyle w:val="StringTok"/>
        </w:rPr>
        <w:t xml:space="preserve">"CONSTRAINT"</w:t>
      </w:r>
      <w:r>
        <w:rPr>
          <w:rStyle w:val="NormalTok"/>
        </w:rPr>
        <w:t xml:space="preserve"> </w:t>
      </w:r>
      <w:r>
        <w:rPr>
          <w:rStyle w:val="OperatorTok"/>
        </w:rPr>
        <w:t xml:space="preserve">|</w:t>
      </w:r>
      <w:r>
        <w:rPr>
          <w:rStyle w:val="NormalTok"/>
        </w:rPr>
        <w:t xml:space="preserve"> </w:t>
      </w:r>
      <w:r>
        <w:rPr>
          <w:rStyle w:val="StringTok"/>
        </w:rPr>
        <w:t xml:space="preserve">"NON_NEGOTIABLE"</w:t>
      </w:r>
      <w:r>
        <w:rPr>
          <w:rStyle w:val="NormalTok"/>
        </w:rPr>
        <w:t xml:space="preserve"> </w:t>
      </w:r>
      <w:r>
        <w:rPr>
          <w:rStyle w:val="OperatorTok"/>
        </w:rPr>
        <w:t xml:space="preserve">|</w:t>
      </w:r>
      <w:r>
        <w:rPr>
          <w:rStyle w:val="NormalTok"/>
        </w:rPr>
        <w:t xml:space="preserve"> </w:t>
      </w:r>
      <w:r>
        <w:rPr>
          <w:rStyle w:val="StringTok"/>
        </w:rPr>
        <w:t xml:space="preserve">"ASSUMPTION"</w:t>
      </w:r>
      <w:r>
        <w:rPr>
          <w:rStyle w:val="NormalTok"/>
        </w:rPr>
        <w:t xml:space="preserve"> </w:t>
      </w:r>
      <w:r>
        <w:rPr>
          <w:rStyle w:val="OperatorTok"/>
        </w:rPr>
        <w:t xml:space="preserve">|</w:t>
      </w:r>
      <w:r>
        <w:rPr>
          <w:rStyle w:val="NormalTok"/>
        </w:rPr>
        <w:t xml:space="preserve"> </w:t>
      </w:r>
      <w:r>
        <w:rPr>
          <w:rStyle w:val="StringTok"/>
        </w:rPr>
        <w:t xml:space="preserve">"DECISION"</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rPr>
          <w:rStyle w:val="NormalTok"/>
        </w:rPr>
        <w:t xml:space="preserve"> </w:t>
      </w:r>
      <w:r>
        <w:rPr>
          <w:rStyle w:val="StringTok"/>
        </w:rPr>
        <w:t xml:space="preserve">"NOT_APPLICABLE"</w:t>
      </w:r>
      <w:r>
        <w:rPr>
          <w:rStyle w:val="NormalTok"/>
        </w:rPr>
        <w:t xml:space="preserve"> </w:t>
      </w:r>
      <w:r>
        <w:rPr>
          <w:rStyle w:val="OperatorTok"/>
        </w:rPr>
        <w:t xml:space="preserve">|</w:t>
      </w:r>
      <w:r>
        <w:rPr>
          <w:rStyle w:val="NormalTok"/>
        </w:rPr>
        <w:t xml:space="preserve"> </w:t>
      </w:r>
      <w:r>
        <w:rPr>
          <w:rStyle w:val="StringTok"/>
        </w:rPr>
        <w:t xml:space="preserve">"RISK_SIGNAL"</w:t>
      </w:r>
      <w:r>
        <w:br/>
      </w:r>
      <w:r>
        <w:rPr>
          <w:rStyle w:val="NormalTok"/>
        </w:rPr>
        <w:t xml:space="preserve">  </w:t>
      </w:r>
      <w:r>
        <w:rPr>
          <w:rStyle w:val="OperatorTok"/>
        </w:rPr>
        <w:t xml:space="preserve">|</w:t>
      </w:r>
      <w:r>
        <w:rPr>
          <w:rStyle w:val="NormalTok"/>
        </w:rPr>
        <w:t xml:space="preserve"> </w:t>
      </w:r>
      <w:r>
        <w:rPr>
          <w:rStyle w:val="StringTok"/>
        </w:rPr>
        <w:t xml:space="preserve">"DEPENDENCY_SIGNAL"</w:t>
      </w:r>
      <w:r>
        <w:rPr>
          <w:rStyle w:val="NormalTok"/>
        </w:rPr>
        <w:t xml:space="preserve"> </w:t>
      </w:r>
      <w:r>
        <w:rPr>
          <w:rStyle w:val="OperatorTok"/>
        </w:rPr>
        <w:t xml:space="preserve">|</w:t>
      </w:r>
      <w:r>
        <w:rPr>
          <w:rStyle w:val="NormalTok"/>
        </w:rPr>
        <w:t xml:space="preserve"> </w:t>
      </w:r>
      <w:r>
        <w:rPr>
          <w:rStyle w:val="StringTok"/>
        </w:rPr>
        <w:t xml:space="preserve">"INVESTMENT_INSTRUCTION"</w:t>
      </w:r>
      <w:r>
        <w:br/>
      </w:r>
      <w:r>
        <w:rPr>
          <w:rStyle w:val="NormalTok"/>
        </w:rPr>
        <w:t xml:space="preserve">  </w:t>
      </w:r>
      <w:r>
        <w:rPr>
          <w:rStyle w:val="OperatorTok"/>
        </w:rPr>
        <w:t xml:space="preserve">|</w:t>
      </w:r>
      <w:r>
        <w:rPr>
          <w:rStyle w:val="NormalTok"/>
        </w:rPr>
        <w:t xml:space="preserve"> </w:t>
      </w:r>
      <w:r>
        <w:rPr>
          <w:rStyle w:val="StringTok"/>
        </w:rPr>
        <w:t xml:space="preserve">"COMMUNICATION_PREFERENCE"</w:t>
      </w:r>
      <w:r>
        <w:rPr>
          <w:rStyle w:val="OperatorTok"/>
        </w:rPr>
        <w:t xml:space="preserve">;</w:t>
      </w:r>
      <w:r>
        <w:br/>
      </w:r>
      <w:r>
        <w:br/>
      </w:r>
      <w:r>
        <w:rPr>
          <w:rStyle w:val="KeywordTok"/>
        </w:rPr>
        <w:t xml:space="preserve">type</w:t>
      </w:r>
      <w:r>
        <w:rPr>
          <w:rStyle w:val="NormalTok"/>
        </w:rPr>
        <w:t xml:space="preserve"> ConfirmationState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"CAPTURED"</w:t>
      </w:r>
      <w:r>
        <w:rPr>
          <w:rStyle w:val="NormalTok"/>
        </w:rPr>
        <w:t xml:space="preserve"> </w:t>
      </w:r>
      <w:r>
        <w:rPr>
          <w:rStyle w:val="OperatorTok"/>
        </w:rPr>
        <w:t xml:space="preserve">|</w:t>
      </w:r>
      <w:r>
        <w:rPr>
          <w:rStyle w:val="NormalTok"/>
        </w:rPr>
        <w:t xml:space="preserve"> </w:t>
      </w:r>
      <w:r>
        <w:rPr>
          <w:rStyle w:val="StringTok"/>
        </w:rPr>
        <w:t xml:space="preserve">"EXTRACTED"</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 </w:t>
      </w:r>
      <w:r>
        <w:rPr>
          <w:rStyle w:val="OperatorTok"/>
        </w:rPr>
        <w:t xml:space="preserve">|</w:t>
      </w:r>
      <w:r>
        <w:rPr>
          <w:rStyle w:val="NormalTok"/>
        </w:rPr>
        <w:t xml:space="preserve"> </w:t>
      </w:r>
      <w:r>
        <w:rPr>
          <w:rStyle w:val="StringTok"/>
        </w:rPr>
        <w:t xml:space="preserve">"STAFF_REVIEWED"</w:t>
      </w:r>
      <w:r>
        <w:br/>
      </w:r>
      <w:r>
        <w:rPr>
          <w:rStyle w:val="NormalTok"/>
        </w:rPr>
        <w:t xml:space="preserve">  </w:t>
      </w:r>
      <w:r>
        <w:rPr>
          <w:rStyle w:val="OperatorTok"/>
        </w:rPr>
        <w:t xml:space="preserve">|</w:t>
      </w:r>
      <w:r>
        <w:rPr>
          <w:rStyle w:val="NormalTok"/>
        </w:rPr>
        <w:t xml:space="preserve"> </w:t>
      </w:r>
      <w:r>
        <w:rPr>
          <w:rStyle w:val="StringTok"/>
        </w:rPr>
        <w:t xml:space="preserve">"CLIENT_CONFIRMED"</w:t>
      </w:r>
      <w:r>
        <w:rPr>
          <w:rStyle w:val="NormalTok"/>
        </w:rPr>
        <w:t xml:space="preserve"> </w:t>
      </w:r>
      <w:r>
        <w:rPr>
          <w:rStyle w:val="OperatorTok"/>
        </w:rPr>
        <w:t xml:space="preserve">|</w:t>
      </w:r>
      <w:r>
        <w:rPr>
          <w:rStyle w:val="NormalTok"/>
        </w:rPr>
        <w:t xml:space="preserve"> </w:t>
      </w:r>
      <w:r>
        <w:rPr>
          <w:rStyle w:val="StringTok"/>
        </w:rPr>
        <w:t xml:space="preserve">"GOVERNING"</w:t>
      </w:r>
      <w:r>
        <w:rPr>
          <w:rStyle w:val="NormalTok"/>
        </w:rPr>
        <w:t xml:space="preserve"> </w:t>
      </w:r>
      <w:r>
        <w:rPr>
          <w:rStyle w:val="OperatorTok"/>
        </w:rPr>
        <w:t xml:space="preserve">|</w:t>
      </w:r>
      <w:r>
        <w:rPr>
          <w:rStyle w:val="NormalTok"/>
        </w:rPr>
        <w:t xml:space="preserve"> </w:t>
      </w:r>
      <w:r>
        <w:rPr>
          <w:rStyle w:val="StringTok"/>
        </w:rPr>
        <w:t xml:space="preserve">"DISPUTED"</w:t>
      </w:r>
      <w:r>
        <w:br/>
      </w:r>
      <w:r>
        <w:rPr>
          <w:rStyle w:val="NormalTok"/>
        </w:rPr>
        <w:t xml:space="preserve">  </w:t>
      </w:r>
      <w:r>
        <w:rPr>
          <w:rStyle w:val="OperatorTok"/>
        </w:rPr>
        <w:t xml:space="preserve">|</w:t>
      </w:r>
      <w:r>
        <w:rPr>
          <w:rStyle w:val="NormalTok"/>
        </w:rPr>
        <w:t xml:space="preserve"> </w:t>
      </w:r>
      <w:r>
        <w:rPr>
          <w:rStyle w:val="StringTok"/>
        </w:rPr>
        <w:t xml:space="preserve">"SUPERSEDED"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br/>
      </w:r>
      <w:r>
        <w:rPr>
          <w:rStyle w:val="KeywordTok"/>
        </w:rPr>
        <w:t xml:space="preserve">type</w:t>
      </w:r>
      <w:r>
        <w:rPr>
          <w:rStyle w:val="NormalTok"/>
        </w:rPr>
        <w:t xml:space="preserve"> SensitivityClass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"STANDARD"</w:t>
      </w:r>
      <w:r>
        <w:rPr>
          <w:rStyle w:val="NormalTok"/>
        </w:rPr>
        <w:t xml:space="preserve"> </w:t>
      </w:r>
      <w:r>
        <w:rPr>
          <w:rStyle w:val="OperatorTok"/>
        </w:rPr>
        <w:t xml:space="preserve">|</w:t>
      </w:r>
      <w:r>
        <w:rPr>
          <w:rStyle w:val="NormalTok"/>
        </w:rPr>
        <w:t xml:space="preserve"> </w:t>
      </w:r>
      <w:r>
        <w:rPr>
          <w:rStyle w:val="StringTok"/>
        </w:rPr>
        <w:t xml:space="preserve">"CONTACT"</w:t>
      </w:r>
      <w:r>
        <w:rPr>
          <w:rStyle w:val="NormalTok"/>
        </w:rPr>
        <w:t xml:space="preserve"> </w:t>
      </w:r>
      <w:r>
        <w:rPr>
          <w:rStyle w:val="OperatorTok"/>
        </w:rPr>
        <w:t xml:space="preserve">|</w:t>
      </w:r>
      <w:r>
        <w:rPr>
          <w:rStyle w:val="NormalTok"/>
        </w:rPr>
        <w:t xml:space="preserve"> </w:t>
      </w:r>
      <w:r>
        <w:rPr>
          <w:rStyle w:val="StringTok"/>
        </w:rPr>
        <w:t xml:space="preserve">"FAMILY_PRIVATE"</w:t>
      </w:r>
      <w:r>
        <w:rPr>
          <w:rStyle w:val="NormalTok"/>
        </w:rPr>
        <w:t xml:space="preserve"> </w:t>
      </w:r>
      <w:r>
        <w:rPr>
          <w:rStyle w:val="OperatorTok"/>
        </w:rPr>
        <w:t xml:space="preserve">|</w:t>
      </w:r>
      <w:r>
        <w:rPr>
          <w:rStyle w:val="NormalTok"/>
        </w:rPr>
        <w:t xml:space="preserve"> </w:t>
      </w:r>
      <w:r>
        <w:rPr>
          <w:rStyle w:val="StringTok"/>
        </w:rPr>
        <w:t xml:space="preserve">"CULTURAL_RELIGIOUS"</w:t>
      </w:r>
      <w:r>
        <w:br/>
      </w:r>
      <w:r>
        <w:rPr>
          <w:rStyle w:val="NormalTok"/>
        </w:rPr>
        <w:t xml:space="preserve">  </w:t>
      </w:r>
      <w:r>
        <w:rPr>
          <w:rStyle w:val="OperatorTok"/>
        </w:rPr>
        <w:t xml:space="preserve">|</w:t>
      </w:r>
      <w:r>
        <w:rPr>
          <w:rStyle w:val="NormalTok"/>
        </w:rPr>
        <w:t xml:space="preserve"> </w:t>
      </w:r>
      <w:r>
        <w:rPr>
          <w:rStyle w:val="StringTok"/>
        </w:rPr>
        <w:t xml:space="preserve">"ACCESSIBILITY_HEALTH"</w:t>
      </w:r>
      <w:r>
        <w:rPr>
          <w:rStyle w:val="NormalTok"/>
        </w:rPr>
        <w:t xml:space="preserve"> </w:t>
      </w:r>
      <w:r>
        <w:rPr>
          <w:rStyle w:val="OperatorTok"/>
        </w:rPr>
        <w:t xml:space="preserve">|</w:t>
      </w:r>
      <w:r>
        <w:rPr>
          <w:rStyle w:val="NormalTok"/>
        </w:rPr>
        <w:t xml:space="preserve"> </w:t>
      </w:r>
      <w:r>
        <w:rPr>
          <w:rStyle w:val="StringTok"/>
        </w:rPr>
        <w:t xml:space="preserve">"SECURITY"</w:t>
      </w:r>
      <w:r>
        <w:rPr>
          <w:rStyle w:val="NormalTok"/>
        </w:rPr>
        <w:t xml:space="preserve"> </w:t>
      </w:r>
      <w:r>
        <w:rPr>
          <w:rStyle w:val="OperatorTok"/>
        </w:rPr>
        <w:t xml:space="preserve">|</w:t>
      </w:r>
      <w:r>
        <w:rPr>
          <w:rStyle w:val="NormalTok"/>
        </w:rPr>
        <w:t xml:space="preserve"> </w:t>
      </w:r>
      <w:r>
        <w:rPr>
          <w:rStyle w:val="StringTok"/>
        </w:rPr>
        <w:t xml:space="preserve">"FINANCIAL"</w:t>
      </w:r>
      <w:r>
        <w:rPr>
          <w:rStyle w:val="NormalTok"/>
        </w:rPr>
        <w:t xml:space="preserve"> </w:t>
      </w:r>
      <w:r>
        <w:rPr>
          <w:rStyle w:val="OperatorTok"/>
        </w:rPr>
        <w:t xml:space="preserve">|</w:t>
      </w:r>
      <w:r>
        <w:rPr>
          <w:rStyle w:val="NormalTok"/>
        </w:rPr>
        <w:t xml:space="preserve"> </w:t>
      </w:r>
      <w:r>
        <w:rPr>
          <w:rStyle w:val="StringTok"/>
        </w:rPr>
        <w:t xml:space="preserve">"CONFIDENTIAL_SURPRISE"</w:t>
      </w:r>
      <w:r>
        <w:rPr>
          <w:rStyle w:val="OperatorTok"/>
        </w:rPr>
        <w:t xml:space="preserve">;</w:t>
      </w:r>
    </w:p>
    <w:p>
      <w:pPr>
        <w:pStyle w:val="FirstParagraph"/>
      </w:pPr>
      <w:r>
        <w:t xml:space="preserve">Add exhaustive transition guards. AI-origin commands are structurally incapable of selecting</w:t>
      </w:r>
      <w:r>
        <w:t xml:space="preserve"> </w:t>
      </w:r>
      <w:r>
        <w:rPr>
          <w:rStyle w:val="VerbatimChar"/>
        </w:rPr>
        <w:t xml:space="preserve">CLIENT_CONFIRMED</w:t>
      </w:r>
      <w:r>
        <w:t xml:space="preserve"> </w:t>
      </w:r>
      <w:r>
        <w:t xml:space="preserve">or</w:t>
      </w:r>
      <w:r>
        <w:t xml:space="preserve"> </w:t>
      </w:r>
      <w:r>
        <w:rPr>
          <w:rStyle w:val="VerbatimChar"/>
        </w:rPr>
        <w:t xml:space="preserve">GOVERNING</w:t>
      </w:r>
      <w:r>
        <w:t xml:space="preserve">.</w:t>
      </w:r>
    </w:p>
    <w:bookmarkEnd w:id="73"/>
    <w:bookmarkStart w:id="74" w:name="canonicalisation"/>
    <w:p>
      <w:pPr>
        <w:pStyle w:val="Heading2"/>
      </w:pPr>
      <w:r>
        <w:t xml:space="preserve">Canonicalisation</w:t>
      </w:r>
    </w:p>
    <w:p>
      <w:pPr>
        <w:pStyle w:val="FirstParagraph"/>
      </w:pPr>
      <w:r>
        <w:t xml:space="preserve">Define Unicode NFC, stable key order, ISO timestamps, decimal strings, sorted set fields and exact hashing. Preserve Yorùbá diacritics. Content hashes exclude mutable operational metadata but include every governing semantic field.</w:t>
      </w:r>
    </w:p>
    <w:bookmarkEnd w:id="74"/>
    <w:bookmarkStart w:id="75" w:name="tests-1"/>
    <w:p>
      <w:pPr>
        <w:pStyle w:val="Heading2"/>
      </w:pPr>
      <w:r>
        <w:t xml:space="preserve">Tests</w:t>
      </w:r>
    </w:p>
    <w:p>
      <w:pPr>
        <w:pStyle w:val="FirstParagraph"/>
      </w:pPr>
      <w:r>
        <w:t xml:space="preserve">Round trips, invalid transitions, Unicode, duplicate set ordering, hash stability, unknown vs absent vs not applicable, and maximum field sizes.</w:t>
      </w:r>
    </w:p>
    <w:p>
      <w:r>
        <w:pict>
          <v:rect style="width:0;height:1.5pt" o:hralign="center" o:hrstd="t" o:hr="t"/>
        </w:pict>
      </w:r>
    </w:p>
    <w:bookmarkEnd w:id="75"/>
    <w:bookmarkEnd w:id="76"/>
    <w:bookmarkStart w:id="81" w:name="Xbf15c941a87635d53a123ca13429e439124b0a5"/>
    <w:p>
      <w:pPr>
        <w:pStyle w:val="Heading1"/>
      </w:pPr>
      <w:r>
        <w:t xml:space="preserve">EEC-04 — Persistence schema, indexes and additive migration</w:t>
      </w:r>
    </w:p>
    <w:bookmarkStart w:id="77" w:name="objective-4"/>
    <w:p>
      <w:pPr>
        <w:pStyle w:val="Heading2"/>
      </w:pPr>
      <w:r>
        <w:t xml:space="preserve">Objective</w:t>
      </w:r>
    </w:p>
    <w:p>
      <w:pPr>
        <w:pStyle w:val="FirstParagraph"/>
      </w:pPr>
      <w:r>
        <w:t xml:space="preserve">Extend the existing Postgres-backed platform store without generic JSON-blob truth.</w:t>
      </w:r>
    </w:p>
    <w:bookmarkEnd w:id="77"/>
    <w:bookmarkStart w:id="78" w:name="required-persistence"/>
    <w:p>
      <w:pPr>
        <w:pStyle w:val="Heading2"/>
      </w:pPr>
      <w:r>
        <w:t xml:space="preserve">Required persistence</w:t>
      </w:r>
    </w:p>
    <w:p>
      <w:pPr>
        <w:pStyle w:val="FirstParagraph"/>
      </w:pPr>
      <w:r>
        <w:t xml:space="preserve">Add typed collections/tables for all core records in the ratified specification. JSON may hold strictly validated typed values or rule AST nodes, never unbounded domain state. Every event-bound row repeats and validates organisation/event lineage. Pre-event rows carry organisation and engagement lineage.</w:t>
      </w:r>
    </w:p>
    <w:bookmarkEnd w:id="78"/>
    <w:bookmarkStart w:id="79" w:name="invariants"/>
    <w:p>
      <w:pPr>
        <w:pStyle w:val="Heading2"/>
      </w:pPr>
      <w:r>
        <w:t xml:space="preserve">Invariants</w:t>
      </w:r>
    </w:p>
    <w:p>
      <w:pPr>
        <w:numPr>
          <w:ilvl w:val="0"/>
          <w:numId w:val="1030"/>
        </w:numPr>
        <w:pStyle w:val="Compact"/>
      </w:pPr>
      <w:r>
        <w:t xml:space="preserve">one current published edition per aggregate, enforced transactionally;</w:t>
      </w:r>
    </w:p>
    <w:p>
      <w:pPr>
        <w:numPr>
          <w:ilvl w:val="0"/>
          <w:numId w:val="1030"/>
        </w:numPr>
        <w:pStyle w:val="Compact"/>
      </w:pPr>
      <w:r>
        <w:t xml:space="preserve">immutable published editions;</w:t>
      </w:r>
    </w:p>
    <w:p>
      <w:pPr>
        <w:numPr>
          <w:ilvl w:val="0"/>
          <w:numId w:val="1030"/>
        </w:numPr>
        <w:pStyle w:val="Compact"/>
      </w:pPr>
      <w:r>
        <w:t xml:space="preserve">unique idempotency tuple by actor/action/scope/key;</w:t>
      </w:r>
    </w:p>
    <w:p>
      <w:pPr>
        <w:numPr>
          <w:ilvl w:val="0"/>
          <w:numId w:val="1030"/>
        </w:numPr>
        <w:pStyle w:val="Compact"/>
      </w:pPr>
      <w:r>
        <w:t xml:space="preserve">source segments cannot outlive or cross their source artefact;</w:t>
      </w:r>
    </w:p>
    <w:p>
      <w:pPr>
        <w:numPr>
          <w:ilvl w:val="0"/>
          <w:numId w:val="1030"/>
        </w:numPr>
        <w:pStyle w:val="Compact"/>
      </w:pPr>
      <w:r>
        <w:t xml:space="preserve">assertion source IDs share engagement/organisation;</w:t>
      </w:r>
    </w:p>
    <w:p>
      <w:pPr>
        <w:numPr>
          <w:ilvl w:val="0"/>
          <w:numId w:val="1030"/>
        </w:numPr>
        <w:pStyle w:val="Compact"/>
      </w:pPr>
      <w:r>
        <w:t xml:space="preserve">conversion links one engagement to at most one operational Event;</w:t>
      </w:r>
    </w:p>
    <w:p>
      <w:pPr>
        <w:numPr>
          <w:ilvl w:val="0"/>
          <w:numId w:val="1030"/>
        </w:numPr>
        <w:pStyle w:val="Compact"/>
      </w:pPr>
      <w:r>
        <w:t xml:space="preserve">approval binds exact content hash and different maker/checker;</w:t>
      </w:r>
    </w:p>
    <w:p>
      <w:pPr>
        <w:numPr>
          <w:ilvl w:val="0"/>
          <w:numId w:val="1030"/>
        </w:numPr>
        <w:pStyle w:val="Compact"/>
      </w:pPr>
      <w:r>
        <w:t xml:space="preserve">dependency graph edges share roadmap edition;</w:t>
      </w:r>
    </w:p>
    <w:p>
      <w:pPr>
        <w:numPr>
          <w:ilvl w:val="0"/>
          <w:numId w:val="1030"/>
        </w:numPr>
        <w:pStyle w:val="Compact"/>
      </w:pPr>
      <w:r>
        <w:t xml:space="preserve">no cross-currency aggregate without an FX conversion record;</w:t>
      </w:r>
    </w:p>
    <w:p>
      <w:pPr>
        <w:numPr>
          <w:ilvl w:val="0"/>
          <w:numId w:val="1030"/>
        </w:numPr>
        <w:pStyle w:val="Compact"/>
      </w:pPr>
      <w:r>
        <w:t xml:space="preserve">append-only audit and decision rows;</w:t>
      </w:r>
    </w:p>
    <w:p>
      <w:pPr>
        <w:numPr>
          <w:ilvl w:val="0"/>
          <w:numId w:val="1030"/>
        </w:numPr>
        <w:pStyle w:val="Compact"/>
      </w:pPr>
      <w:r>
        <w:t xml:space="preserve">optimistic versions for working aggregates.</w:t>
      </w:r>
    </w:p>
    <w:bookmarkEnd w:id="79"/>
    <w:bookmarkStart w:id="80" w:name="migration"/>
    <w:p>
      <w:pPr>
        <w:pStyle w:val="Heading2"/>
      </w:pPr>
      <w:r>
        <w:t xml:space="preserve">Migration</w:t>
      </w:r>
    </w:p>
    <w:p>
      <w:pPr>
        <w:pStyle w:val="FirstParagraph"/>
      </w:pPr>
      <w:r>
        <w:t xml:space="preserve">Use additive, replay-safe migrations with no destructive reset. Seed only clearly synthetic catalogue/template data. Provide in-memory and Postgres parity tests plus restart hydration.</w:t>
      </w:r>
    </w:p>
    <w:p>
      <w:r>
        <w:pict>
          <v:rect style="width:0;height:1.5pt" o:hralign="center" o:hrstd="t" o:hr="t"/>
        </w:pict>
      </w:r>
    </w:p>
    <w:bookmarkEnd w:id="80"/>
    <w:bookmarkEnd w:id="81"/>
    <w:bookmarkStart w:id="86" w:name="X7ec18300c929cc3743a4129d71b1be0df3376ad"/>
    <w:p>
      <w:pPr>
        <w:pStyle w:val="Heading1"/>
      </w:pPr>
      <w:r>
        <w:t xml:space="preserve">EEC-05 — Engagement Opportunity and Discovery Engagement services</w:t>
      </w:r>
    </w:p>
    <w:bookmarkStart w:id="82" w:name="objective-5"/>
    <w:p>
      <w:pPr>
        <w:pStyle w:val="Heading2"/>
      </w:pPr>
      <w:r>
        <w:t xml:space="preserve">Objective</w:t>
      </w:r>
    </w:p>
    <w:p>
      <w:pPr>
        <w:pStyle w:val="FirstParagraph"/>
      </w:pPr>
      <w:r>
        <w:t xml:space="preserve">Create the pre-operational front door.</w:t>
      </w:r>
    </w:p>
    <w:bookmarkEnd w:id="82"/>
    <w:bookmarkStart w:id="83" w:name="commands"/>
    <w:p>
      <w:pPr>
        <w:pStyle w:val="Heading2"/>
      </w:pPr>
      <w:r>
        <w:t xml:space="preserve">Commands</w:t>
      </w:r>
    </w:p>
    <w:p>
      <w:pPr>
        <w:pStyle w:val="FirstParagraph"/>
      </w:pPr>
      <w:r>
        <w:t xml:space="preserve">Implement explicit services for create/update/close opportunity, start/archive discovery engagement, add/link participant and assign engagement owner. Duplicate detection proposes candidates; it never merges or creates Person/Client automatically.</w:t>
      </w:r>
    </w:p>
    <w:p>
      <w:pPr>
        <w:pStyle w:val="SourceCode"/>
      </w:pPr>
      <w:r>
        <w:rPr>
          <w:rStyle w:val="KeywordTok"/>
        </w:rPr>
        <w:t xml:space="preserve">type</w:t>
      </w:r>
      <w:r>
        <w:rPr>
          <w:rStyle w:val="NormalTok"/>
        </w:rPr>
        <w:t xml:space="preserve"> CreateEngagementInput </w:t>
      </w:r>
      <w:r>
        <w:rPr>
          <w:rStyle w:val="OperatorTok"/>
        </w:rPr>
        <w:t xml:space="preserve">=</w:t>
      </w:r>
      <w:r>
        <w:rPr>
          <w:rStyle w:val="NormalTok"/>
        </w:rPr>
        <w:t xml:space="preserve"> ScopedCommand </w:t>
      </w:r>
      <w:r>
        <w:rPr>
          <w:rStyle w:val="OperatorTok"/>
        </w:rPr>
        <w:t xml:space="preserve">&amp;</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displayReference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eventConceptLabel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enquiryChannel</w:t>
      </w:r>
      <w:r>
        <w:rPr>
          <w:rStyle w:val="OperatorTok"/>
        </w:rPr>
        <w:t xml:space="preserve">:</w:t>
      </w:r>
      <w:r>
        <w:rPr>
          <w:rStyle w:val="NormalTok"/>
        </w:rPr>
        <w:t xml:space="preserve"> </w:t>
      </w:r>
      <w:r>
        <w:rPr>
          <w:rStyle w:val="StringTok"/>
        </w:rPr>
        <w:t xml:space="preserve">"REFERRAL"</w:t>
      </w:r>
      <w:r>
        <w:rPr>
          <w:rStyle w:val="NormalTok"/>
        </w:rPr>
        <w:t xml:space="preserve"> </w:t>
      </w:r>
      <w:r>
        <w:rPr>
          <w:rStyle w:val="OperatorTok"/>
        </w:rPr>
        <w:t xml:space="preserve">|</w:t>
      </w:r>
      <w:r>
        <w:rPr>
          <w:rStyle w:val="NormalTok"/>
        </w:rPr>
        <w:t xml:space="preserve"> </w:t>
      </w:r>
      <w:r>
        <w:rPr>
          <w:rStyle w:val="StringTok"/>
        </w:rPr>
        <w:t xml:space="preserve">"DIRECT"</w:t>
      </w:r>
      <w:r>
        <w:rPr>
          <w:rStyle w:val="NormalTok"/>
        </w:rPr>
        <w:t xml:space="preserve"> </w:t>
      </w:r>
      <w:r>
        <w:rPr>
          <w:rStyle w:val="OperatorTok"/>
        </w:rPr>
        <w:t xml:space="preserve">|</w:t>
      </w:r>
      <w:r>
        <w:rPr>
          <w:rStyle w:val="NormalTok"/>
        </w:rPr>
        <w:t xml:space="preserve"> </w:t>
      </w:r>
      <w:r>
        <w:rPr>
          <w:rStyle w:val="StringTok"/>
        </w:rPr>
        <w:t xml:space="preserve">"PARTNER"</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knownEventDate</w:t>
      </w:r>
      <w:r>
        <w:rPr>
          <w:rStyle w:val="OperatorTok"/>
        </w:rPr>
        <w:t xml:space="preserve">?:</w:t>
      </w:r>
      <w:r>
        <w:rPr>
          <w:rStyle w:val="NormalTok"/>
        </w:rPr>
        <w:t xml:space="preserve"> IsoDate</w:t>
      </w:r>
      <w:r>
        <w:rPr>
          <w:rStyle w:val="OperatorTok"/>
        </w:rPr>
        <w:t xml:space="preserve">;</w:t>
      </w:r>
      <w:r>
        <w:br/>
      </w:r>
      <w:r>
        <w:rPr>
          <w:rStyle w:val="NormalTok"/>
        </w:rPr>
        <w:t xml:space="preserve">  knownEventType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p>
    <w:p>
      <w:pPr>
        <w:pStyle w:val="FirstParagraph"/>
      </w:pPr>
      <w:r>
        <w:t xml:space="preserve">Do not label prospects by wealth or status. Opportunity stages describe relationship/process state only.</w:t>
      </w:r>
    </w:p>
    <w:bookmarkEnd w:id="83"/>
    <w:bookmarkStart w:id="84" w:name="projection"/>
    <w:p>
      <w:pPr>
        <w:pStyle w:val="Heading2"/>
      </w:pPr>
      <w:r>
        <w:t xml:space="preserve">Projection</w:t>
      </w:r>
    </w:p>
    <w:p>
      <w:pPr>
        <w:pStyle w:val="FirstParagraph"/>
      </w:pPr>
      <w:r>
        <w:t xml:space="preserve">Return permission-safe list/detail DTOs with human labels, ownership, next discovery action and completeness state. Auditor is read-only; client session sees only its invitation context.</w:t>
      </w:r>
    </w:p>
    <w:bookmarkEnd w:id="84"/>
    <w:bookmarkStart w:id="85" w:name="tests-2"/>
    <w:p>
      <w:pPr>
        <w:pStyle w:val="Heading2"/>
      </w:pPr>
      <w:r>
        <w:t xml:space="preserve">Tests</w:t>
      </w:r>
    </w:p>
    <w:p>
      <w:pPr>
        <w:pStyle w:val="FirstParagraph"/>
      </w:pPr>
      <w:r>
        <w:t xml:space="preserve">Organisation isolation, duplicate suggestions without merge, idempotent create, stale update, inactive assignment denial, audit attribution and no operational Event side effect.</w:t>
      </w:r>
    </w:p>
    <w:p>
      <w:r>
        <w:pict>
          <v:rect style="width:0;height:1.5pt" o:hralign="center" o:hrstd="t" o:hr="t"/>
        </w:pict>
      </w:r>
    </w:p>
    <w:bookmarkEnd w:id="85"/>
    <w:bookmarkEnd w:id="86"/>
    <w:bookmarkStart w:id="91" w:name="Xf4e6fbdb122111acc610fce7452ad51dbfe9c3a"/>
    <w:p>
      <w:pPr>
        <w:pStyle w:val="Heading1"/>
      </w:pPr>
      <w:r>
        <w:t xml:space="preserve">EEC-06 — Consent, participants and interview-session lifecycle</w:t>
      </w:r>
    </w:p>
    <w:bookmarkStart w:id="87" w:name="objective-6"/>
    <w:p>
      <w:pPr>
        <w:pStyle w:val="Heading2"/>
      </w:pPr>
      <w:r>
        <w:t xml:space="preserve">Objective</w:t>
      </w:r>
    </w:p>
    <w:p>
      <w:pPr>
        <w:pStyle w:val="FirstParagraph"/>
      </w:pPr>
      <w:r>
        <w:t xml:space="preserve">Make AI/recording participation explicit and recoverable.</w:t>
      </w:r>
    </w:p>
    <w:bookmarkEnd w:id="87"/>
    <w:bookmarkStart w:id="88" w:name="consent-model"/>
    <w:p>
      <w:pPr>
        <w:pStyle w:val="Heading2"/>
      </w:pPr>
      <w:r>
        <w:t xml:space="preserve">Consent model</w:t>
      </w:r>
    </w:p>
    <w:p>
      <w:pPr>
        <w:pStyle w:val="FirstParagraph"/>
      </w:pPr>
      <w:r>
        <w:t xml:space="preserve">Store separate grants for participation, audio recording, transcription, AI analysis, source retention and de-identified benchmarking. Record policy version, wording edition, actor/participant, granted/declined time, optional withdrawal and legal/retention basis placeholder.</w:t>
      </w:r>
    </w:p>
    <w:bookmarkEnd w:id="88"/>
    <w:bookmarkStart w:id="89" w:name="session-states"/>
    <w:p>
      <w:pPr>
        <w:pStyle w:val="Heading2"/>
      </w:pPr>
      <w:r>
        <w:t xml:space="preserve">Session states</w:t>
      </w:r>
    </w:p>
    <w:p>
      <w:pPr>
        <w:pStyle w:val="FirstParagraph"/>
      </w:pPr>
      <w:r>
        <w:rPr>
          <w:rStyle w:val="VerbatimChar"/>
        </w:rPr>
        <w:t xml:space="preserve">DRAFT → READY → ACTIVE → PAUSED → COMPLETED</w:t>
      </w:r>
      <w:r>
        <w:t xml:space="preserve">, with</w:t>
      </w:r>
      <w:r>
        <w:t xml:space="preserve"> </w:t>
      </w:r>
      <w:r>
        <w:rPr>
          <w:rStyle w:val="VerbatimChar"/>
        </w:rPr>
        <w:t xml:space="preserve">ABANDONED</w:t>
      </w:r>
      <w:r>
        <w:t xml:space="preserve"> </w:t>
      </w:r>
      <w:r>
        <w:t xml:space="preserve">and</w:t>
      </w:r>
      <w:r>
        <w:t xml:space="preserve"> </w:t>
      </w:r>
      <w:r>
        <w:rPr>
          <w:rStyle w:val="VerbatimChar"/>
        </w:rPr>
        <w:t xml:space="preserve">CANCELLED</w:t>
      </w:r>
      <w:r>
        <w:t xml:space="preserve">. Resume must be idempotent and preserve coverage/source state. Completion does not imply brief confirmation.</w:t>
      </w:r>
    </w:p>
    <w:p>
      <w:pPr>
        <w:pStyle w:val="BodyText"/>
      </w:pPr>
      <w:r>
        <w:t xml:space="preserve">The service must refuse audio/transcription/AI processing without the specific active consent. Manual note-taking remains separately governed.</w:t>
      </w:r>
    </w:p>
    <w:bookmarkEnd w:id="89"/>
    <w:bookmarkStart w:id="90" w:name="tests-3"/>
    <w:p>
      <w:pPr>
        <w:pStyle w:val="Heading2"/>
      </w:pPr>
      <w:r>
        <w:t xml:space="preserve">Tests</w:t>
      </w:r>
    </w:p>
    <w:p>
      <w:pPr>
        <w:pStyle w:val="FirstParagraph"/>
      </w:pPr>
      <w:r>
        <w:t xml:space="preserve">Partial consent, withdrawal, resume, duplicate start, two participants with different consent, expired client invitation, wrong engagement, browser refresh persistence and truthful provider-unavailable state.</w:t>
      </w:r>
    </w:p>
    <w:p>
      <w:r>
        <w:pict>
          <v:rect style="width:0;height:1.5pt" o:hralign="center" o:hrstd="t" o:hr="t"/>
        </w:pict>
      </w:r>
    </w:p>
    <w:bookmarkEnd w:id="90"/>
    <w:bookmarkEnd w:id="91"/>
    <w:bookmarkStart w:id="95" w:name="Xcee2ccc5cf381e9377afa93393ae3993edce22e"/>
    <w:p>
      <w:pPr>
        <w:pStyle w:val="Heading1"/>
      </w:pPr>
      <w:r>
        <w:t xml:space="preserve">EEC-07 — Source artefacts, transcript segments and provenance</w:t>
      </w:r>
    </w:p>
    <w:bookmarkStart w:id="92" w:name="objective-7"/>
    <w:p>
      <w:pPr>
        <w:pStyle w:val="Heading2"/>
      </w:pPr>
      <w:r>
        <w:t xml:space="preserve">Objective</w:t>
      </w:r>
    </w:p>
    <w:p>
      <w:pPr>
        <w:pStyle w:val="FirstParagraph"/>
      </w:pPr>
      <w:r>
        <w:t xml:space="preserve">Create immutable, addressable evidence.</w:t>
      </w:r>
    </w:p>
    <w:bookmarkEnd w:id="92"/>
    <w:bookmarkStart w:id="93" w:name="requirements"/>
    <w:p>
      <w:pPr>
        <w:pStyle w:val="Heading2"/>
      </w:pPr>
      <w:r>
        <w:t xml:space="preserve">Requirements</w:t>
      </w:r>
    </w:p>
    <w:p>
      <w:pPr>
        <w:numPr>
          <w:ilvl w:val="0"/>
          <w:numId w:val="1031"/>
        </w:numPr>
        <w:pStyle w:val="Compact"/>
      </w:pPr>
      <w:r>
        <w:t xml:space="preserve">Source artefact kinds: typed staff note, uploaded document, audio metadata, transcript, approved message intake.</w:t>
      </w:r>
    </w:p>
    <w:p>
      <w:pPr>
        <w:numPr>
          <w:ilvl w:val="0"/>
          <w:numId w:val="1031"/>
        </w:numPr>
        <w:pStyle w:val="Compact"/>
      </w:pPr>
      <w:r>
        <w:t xml:space="preserve">Store binaries privately using the accepted object-storage safety pattern; no public URLs or stored signed URLs.</w:t>
      </w:r>
    </w:p>
    <w:p>
      <w:pPr>
        <w:numPr>
          <w:ilvl w:val="0"/>
          <w:numId w:val="1031"/>
        </w:numPr>
        <w:pStyle w:val="Compact"/>
      </w:pPr>
      <w:r>
        <w:t xml:space="preserve">Segments carry sequence/time range, speaker claim, text, language, transcription confidence and content hash.</w:t>
      </w:r>
    </w:p>
    <w:p>
      <w:pPr>
        <w:numPr>
          <w:ilvl w:val="0"/>
          <w:numId w:val="1031"/>
        </w:numPr>
        <w:pStyle w:val="Compact"/>
      </w:pPr>
      <w:r>
        <w:t xml:space="preserve">Speaker identity may remain</w:t>
      </w:r>
      <w:r>
        <w:t xml:space="preserve"> </w:t>
      </w:r>
      <w:r>
        <w:rPr>
          <w:rStyle w:val="VerbatimChar"/>
        </w:rPr>
        <w:t xml:space="preserve">UNRESOLVED</w:t>
      </w:r>
      <w:r>
        <w:t xml:space="preserve">; do not guess.</w:t>
      </w:r>
    </w:p>
    <w:p>
      <w:pPr>
        <w:numPr>
          <w:ilvl w:val="0"/>
          <w:numId w:val="1031"/>
        </w:numPr>
        <w:pStyle w:val="Compact"/>
      </w:pPr>
      <w:r>
        <w:t xml:space="preserve">Sanitise markup and render text inertly.</w:t>
      </w:r>
    </w:p>
    <w:p>
      <w:pPr>
        <w:numPr>
          <w:ilvl w:val="0"/>
          <w:numId w:val="1031"/>
        </w:numPr>
        <w:pStyle w:val="Compact"/>
      </w:pPr>
      <w:r>
        <w:t xml:space="preserve">Enforce file allowlist, size limits, content-safety status and fail-closed retrieval.</w:t>
      </w:r>
    </w:p>
    <w:p>
      <w:pPr>
        <w:numPr>
          <w:ilvl w:val="0"/>
          <w:numId w:val="1031"/>
        </w:numPr>
        <w:pStyle w:val="Compact"/>
      </w:pPr>
      <w:r>
        <w:t xml:space="preserve">Model prompts reference permission-safe segments only.</w:t>
      </w:r>
    </w:p>
    <w:bookmarkEnd w:id="93"/>
    <w:bookmarkStart w:id="94" w:name="tests-4"/>
    <w:p>
      <w:pPr>
        <w:pStyle w:val="Heading2"/>
      </w:pPr>
      <w:r>
        <w:t xml:space="preserve">Tests</w:t>
      </w:r>
    </w:p>
    <w:p>
      <w:pPr>
        <w:pStyle w:val="FirstParagraph"/>
      </w:pPr>
      <w:r>
        <w:t xml:space="preserve">Unicode/Yorùbá integrity, malicious markup/prompt text inertness, missing consent, cross-engagement segment injection, private download denial, storage failure before completion and immutable checksum.</w:t>
      </w:r>
    </w:p>
    <w:p>
      <w:r>
        <w:pict>
          <v:rect style="width:0;height:1.5pt" o:hralign="center" o:hrstd="t" o:hr="t"/>
        </w:pict>
      </w:r>
    </w:p>
    <w:bookmarkEnd w:id="94"/>
    <w:bookmarkEnd w:id="95"/>
    <w:bookmarkStart w:id="100" w:name="X6a4db55719d5df3bf7bf3a4ee5709438e29c500"/>
    <w:p>
      <w:pPr>
        <w:pStyle w:val="Heading1"/>
      </w:pPr>
      <w:r>
        <w:t xml:space="preserve">EEC-08 — Coverage catalogue and applicability engine</w:t>
      </w:r>
    </w:p>
    <w:bookmarkStart w:id="96" w:name="objective-8"/>
    <w:p>
      <w:pPr>
        <w:pStyle w:val="Heading2"/>
      </w:pPr>
      <w:r>
        <w:t xml:space="preserve">Objective</w:t>
      </w:r>
    </w:p>
    <w:p>
      <w:pPr>
        <w:pStyle w:val="FirstParagraph"/>
      </w:pPr>
      <w:r>
        <w:t xml:space="preserve">Convert the supplied question bank into a governed coverage ontology without turning the UI into a script.</w:t>
      </w:r>
    </w:p>
    <w:bookmarkEnd w:id="96"/>
    <w:bookmarkStart w:id="97" w:name="catalogue"/>
    <w:p>
      <w:pPr>
        <w:pStyle w:val="Heading2"/>
      </w:pPr>
      <w:r>
        <w:t xml:space="preserve">Catalogue</w:t>
      </w:r>
    </w:p>
    <w:p>
      <w:pPr>
        <w:pStyle w:val="FirstParagraph"/>
      </w:pPr>
      <w:r>
        <w:t xml:space="preserve">Create versioned topics, event-type overlays, requirements, probes and end-of-meeting checks. Each requirement specifies purpose, omission risk, applicability predicate, acceptable evidence, confirmation need, sensitivity, earliest useful/latest safe phase and completeness gate.</w:t>
      </w:r>
    </w:p>
    <w:p>
      <w:pPr>
        <w:pStyle w:val="BodyText"/>
      </w:pPr>
      <w:r>
        <w:t xml:space="preserve">Applicability uses a safe closed predicate AST, not arbitrary code. The output states are</w:t>
      </w:r>
      <w:r>
        <w:t xml:space="preserve"> </w:t>
      </w:r>
      <w:r>
        <w:rPr>
          <w:rStyle w:val="VerbatimChar"/>
        </w:rPr>
        <w:t xml:space="preserve">UNASSESSED</w:t>
      </w:r>
      <w:r>
        <w:t xml:space="preserve">,</w:t>
      </w:r>
      <w:r>
        <w:t xml:space="preserve"> </w:t>
      </w:r>
      <w:r>
        <w:rPr>
          <w:rStyle w:val="VerbatimChar"/>
        </w:rPr>
        <w:t xml:space="preserve">NOT_YET_RELEVANT</w:t>
      </w:r>
      <w:r>
        <w:t xml:space="preserve">,</w:t>
      </w:r>
      <w:r>
        <w:t xml:space="preserve"> </w:t>
      </w:r>
      <w:r>
        <w:rPr>
          <w:rStyle w:val="VerbatimChar"/>
        </w:rPr>
        <w:t xml:space="preserve">UNKNOWN</w:t>
      </w:r>
      <w:r>
        <w:t xml:space="preserve">,</w:t>
      </w:r>
      <w:r>
        <w:t xml:space="preserve"> </w:t>
      </w:r>
      <w:r>
        <w:rPr>
          <w:rStyle w:val="VerbatimChar"/>
        </w:rPr>
        <w:t xml:space="preserve">PARTIAL</w:t>
      </w:r>
      <w:r>
        <w:t xml:space="preserve">,</w:t>
      </w:r>
      <w:r>
        <w:t xml:space="preserve"> </w:t>
      </w:r>
      <w:r>
        <w:rPr>
          <w:rStyle w:val="VerbatimChar"/>
        </w:rPr>
        <w:t xml:space="preserve">ANSWERED_UNCONFIRMED</w:t>
      </w:r>
      <w:r>
        <w:t xml:space="preserve">,</w:t>
      </w:r>
      <w:r>
        <w:t xml:space="preserve"> </w:t>
      </w:r>
      <w:r>
        <w:rPr>
          <w:rStyle w:val="VerbatimChar"/>
        </w:rPr>
        <w:t xml:space="preserve">CONFIRMED</w:t>
      </w:r>
      <w:r>
        <w:t xml:space="preserve">,</w:t>
      </w:r>
      <w:r>
        <w:t xml:space="preserve"> </w:t>
      </w:r>
      <w:r>
        <w:rPr>
          <w:rStyle w:val="VerbatimChar"/>
        </w:rPr>
        <w:t xml:space="preserve">NOT_APPLICABLE</w:t>
      </w:r>
      <w:r>
        <w:t xml:space="preserve">,</w:t>
      </w:r>
      <w:r>
        <w:t xml:space="preserve"> </w:t>
      </w:r>
      <w:r>
        <w:rPr>
          <w:rStyle w:val="VerbatimChar"/>
        </w:rPr>
        <w:t xml:space="preserve">CONFLICTED</w:t>
      </w:r>
      <w:r>
        <w:t xml:space="preserve">,</w:t>
      </w:r>
      <w:r>
        <w:t xml:space="preserve"> </w:t>
      </w:r>
      <w:r>
        <w:rPr>
          <w:rStyle w:val="VerbatimChar"/>
        </w:rPr>
        <w:t xml:space="preserve">STALE</w:t>
      </w:r>
      <w:r>
        <w:t xml:space="preserve">.</w:t>
      </w:r>
    </w:p>
    <w:bookmarkEnd w:id="97"/>
    <w:bookmarkStart w:id="98" w:name="ranking"/>
    <w:p>
      <w:pPr>
        <w:pStyle w:val="Heading2"/>
      </w:pPr>
      <w:r>
        <w:t xml:space="preserve">Ranking</w:t>
      </w:r>
    </w:p>
    <w:p>
      <w:pPr>
        <w:pStyle w:val="FirstParagraph"/>
      </w:pPr>
      <w:r>
        <w:t xml:space="preserve">Implement deterministic ranking of next gaps using configured omission severity, urgency, dependency reach and answerability. Client fatigue/session pacing is an input; do not maximise count.</w:t>
      </w:r>
    </w:p>
    <w:bookmarkEnd w:id="98"/>
    <w:bookmarkStart w:id="99" w:name="tests-5"/>
    <w:p>
      <w:pPr>
        <w:pStyle w:val="Heading2"/>
      </w:pPr>
      <w:r>
        <w:t xml:space="preserve">Tests</w:t>
      </w:r>
    </w:p>
    <w:p>
      <w:pPr>
        <w:pStyle w:val="FirstParagraph"/>
      </w:pPr>
      <w:r>
        <w:t xml:space="preserve">Wedding, corporate, private dinner, funeral/memorial, chieftaincy, destination and generic fixtures; answered information suppresses repeat; premature questions defer;</w:t>
      </w:r>
      <w:r>
        <w:t xml:space="preserve"> </w:t>
      </w:r>
      <w:r>
        <w:t xml:space="preserve">“</w:t>
      </w:r>
      <w:r>
        <w:t xml:space="preserve">prefer not to answer</w:t>
      </w:r>
      <w:r>
        <w:t xml:space="preserve">”</w:t>
      </w:r>
      <w:r>
        <w:t xml:space="preserve"> </w:t>
      </w:r>
      <w:r>
        <w:t xml:space="preserve">persists; one percentage is never the sole completeness result.</w:t>
      </w:r>
    </w:p>
    <w:p>
      <w:r>
        <w:pict>
          <v:rect style="width:0;height:1.5pt" o:hralign="center" o:hrstd="t" o:hr="t"/>
        </w:pict>
      </w:r>
    </w:p>
    <w:bookmarkEnd w:id="99"/>
    <w:bookmarkEnd w:id="100"/>
    <w:bookmarkStart w:id="104" w:name="Xdb384c531e89f20535179715e8f6f0a42494938"/>
    <w:p>
      <w:pPr>
        <w:pStyle w:val="Heading1"/>
      </w:pPr>
      <w:r>
        <w:t xml:space="preserve">EEC-09 — Candidate assertion extraction and human review service</w:t>
      </w:r>
    </w:p>
    <w:bookmarkStart w:id="101" w:name="objective-9"/>
    <w:p>
      <w:pPr>
        <w:pStyle w:val="Heading2"/>
      </w:pPr>
      <w:r>
        <w:t xml:space="preserve">Objective</w:t>
      </w:r>
    </w:p>
    <w:p>
      <w:pPr>
        <w:pStyle w:val="FirstParagraph"/>
      </w:pPr>
      <w:r>
        <w:t xml:space="preserve">Create the only path from prose evidence to structured proposals.</w:t>
      </w:r>
    </w:p>
    <w:bookmarkEnd w:id="101"/>
    <w:bookmarkStart w:id="102" w:name="contract"/>
    <w:p>
      <w:pPr>
        <w:pStyle w:val="Heading2"/>
      </w:pPr>
      <w:r>
        <w:t xml:space="preserve">Contract</w:t>
      </w:r>
    </w:p>
    <w:p>
      <w:pPr>
        <w:pStyle w:val="SourceCode"/>
      </w:pPr>
      <w:r>
        <w:rPr>
          <w:rStyle w:val="KeywordTok"/>
        </w:rPr>
        <w:t xml:space="preserve">type</w:t>
      </w:r>
      <w:r>
        <w:rPr>
          <w:rStyle w:val="NormalTok"/>
        </w:rPr>
        <w:t xml:space="preserve"> CandidateAssertionProposal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kind</w:t>
      </w:r>
      <w:r>
        <w:rPr>
          <w:rStyle w:val="OperatorTok"/>
        </w:rPr>
        <w:t xml:space="preserve">:</w:t>
      </w:r>
      <w:r>
        <w:rPr>
          <w:rStyle w:val="NormalTok"/>
        </w:rPr>
        <w:t xml:space="preserve"> AssertionKind</w:t>
      </w:r>
      <w:r>
        <w:rPr>
          <w:rStyle w:val="OperatorTok"/>
        </w:rPr>
        <w:t xml:space="preserve">;</w:t>
      </w:r>
      <w:r>
        <w:br/>
      </w:r>
      <w:r>
        <w:rPr>
          <w:rStyle w:val="NormalTok"/>
        </w:rPr>
        <w:t xml:space="preserve">  topicKey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sourceSegmentIds</w:t>
      </w:r>
      <w:r>
        <w:rPr>
          <w:rStyle w:val="OperatorTok"/>
        </w:rPr>
        <w:t xml:space="preserve">:</w:t>
      </w:r>
      <w:r>
        <w:rPr>
          <w:rStyle w:val="NormalTok"/>
        </w:rPr>
        <w:t xml:space="preserve"> </w:t>
      </w:r>
      <w:r>
        <w:rPr>
          <w:rStyle w:val="KeywordTok"/>
        </w:rPr>
        <w:t xml:space="preserve">readonly</w:t>
      </w:r>
      <w:r>
        <w:rPr>
          <w:rStyle w:val="NormalTok"/>
        </w:rPr>
        <w:t xml:space="preserve"> SourceSegmentId[]</w:t>
      </w:r>
      <w:r>
        <w:rPr>
          <w:rStyle w:val="OperatorTok"/>
        </w:rPr>
        <w:t xml:space="preserve">;</w:t>
      </w:r>
      <w:r>
        <w:br/>
      </w:r>
      <w:r>
        <w:rPr>
          <w:rStyle w:val="NormalTok"/>
        </w:rPr>
        <w:t xml:space="preserve">  directness</w:t>
      </w:r>
      <w:r>
        <w:rPr>
          <w:rStyle w:val="OperatorTok"/>
        </w:rPr>
        <w:t xml:space="preserve">:</w:t>
      </w:r>
      <w:r>
        <w:rPr>
          <w:rStyle w:val="NormalTok"/>
        </w:rPr>
        <w:t xml:space="preserve"> </w:t>
      </w:r>
      <w:r>
        <w:rPr>
          <w:rStyle w:val="StringTok"/>
        </w:rPr>
        <w:t xml:space="preserve">"DIRECT_STATEMENT"</w:t>
      </w:r>
      <w:r>
        <w:rPr>
          <w:rStyle w:val="NormalTok"/>
        </w:rPr>
        <w:t xml:space="preserve"> </w:t>
      </w:r>
      <w:r>
        <w:rPr>
          <w:rStyle w:val="OperatorTok"/>
        </w:rPr>
        <w:t xml:space="preserve">|</w:t>
      </w:r>
      <w:r>
        <w:rPr>
          <w:rStyle w:val="NormalTok"/>
        </w:rPr>
        <w:t xml:space="preserve"> </w:t>
      </w:r>
      <w:r>
        <w:rPr>
          <w:rStyle w:val="StringTok"/>
        </w:rPr>
        <w:t xml:space="preserve">"INTERPRETATION"</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rationale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sensitivity</w:t>
      </w:r>
      <w:r>
        <w:rPr>
          <w:rStyle w:val="OperatorTok"/>
        </w:rPr>
        <w:t xml:space="preserve">:</w:t>
      </w:r>
      <w:r>
        <w:rPr>
          <w:rStyle w:val="NormalTok"/>
        </w:rPr>
        <w:t xml:space="preserve"> SensitivityClass</w:t>
      </w:r>
      <w:r>
        <w:rPr>
          <w:rStyle w:val="OperatorTok"/>
        </w:rPr>
        <w:t xml:space="preserve">;</w:t>
      </w:r>
      <w:r>
        <w:br/>
      </w:r>
      <w:r>
        <w:rPr>
          <w:rStyle w:val="NormalTok"/>
        </w:rPr>
        <w:t xml:space="preserve">}</w:t>
      </w:r>
      <w:r>
        <w:rPr>
          <w:rStyle w:val="OperatorTok"/>
        </w:rPr>
        <w:t xml:space="preserve">&gt;;</w:t>
      </w:r>
    </w:p>
    <w:p>
      <w:pPr>
        <w:pStyle w:val="FirstParagraph"/>
      </w:pPr>
      <w:r>
        <w:t xml:space="preserve">Validate value against the topic’s schema. Reject citations that do not support the proposal or lie outside the actor projection. Human review can accept as staff-reviewed, amend by creating a superseding proposal, reject or request clarification. Never mutate the original extraction.</w:t>
      </w:r>
    </w:p>
    <w:bookmarkEnd w:id="102"/>
    <w:bookmarkStart w:id="103" w:name="tests-6"/>
    <w:p>
      <w:pPr>
        <w:pStyle w:val="Heading2"/>
      </w:pPr>
      <w:r>
        <w:t xml:space="preserve">Tests</w:t>
      </w:r>
    </w:p>
    <w:p>
      <w:pPr>
        <w:pStyle w:val="FirstParagraph"/>
      </w:pPr>
      <w:r>
        <w:t xml:space="preserve">Unsupported assertion rejection, wrong speaker, malformed value, repeated source, low confidence, prompt injection, AI attempt to mark governing, stale review and audit lineage.</w:t>
      </w:r>
    </w:p>
    <w:p>
      <w:r>
        <w:pict>
          <v:rect style="width:0;height:1.5pt" o:hralign="center" o:hrstd="t" o:hr="t"/>
        </w:pict>
      </w:r>
    </w:p>
    <w:bookmarkEnd w:id="103"/>
    <w:bookmarkEnd w:id="104"/>
    <w:bookmarkStart w:id="109" w:name="X95704d6553c9bef00de67d92f689c75199c7f81"/>
    <w:p>
      <w:pPr>
        <w:pStyle w:val="Heading1"/>
      </w:pPr>
      <w:r>
        <w:t xml:space="preserve">EEC-10 — Contradiction, staleness and clarification engine</w:t>
      </w:r>
    </w:p>
    <w:bookmarkStart w:id="105" w:name="objective-10"/>
    <w:p>
      <w:pPr>
        <w:pStyle w:val="Heading2"/>
      </w:pPr>
      <w:r>
        <w:t xml:space="preserve">Objective</w:t>
      </w:r>
    </w:p>
    <w:p>
      <w:pPr>
        <w:pStyle w:val="FirstParagraph"/>
      </w:pPr>
      <w:r>
        <w:t xml:space="preserve">Prevent silent overwrite and intelligent-but-wrong certainty.</w:t>
      </w:r>
    </w:p>
    <w:bookmarkEnd w:id="105"/>
    <w:bookmarkStart w:id="106" w:name="rules"/>
    <w:p>
      <w:pPr>
        <w:pStyle w:val="Heading2"/>
      </w:pPr>
      <w:r>
        <w:t xml:space="preserve">Rules</w:t>
      </w:r>
    </w:p>
    <w:p>
      <w:pPr>
        <w:pStyle w:val="FirstParagraph"/>
      </w:pPr>
      <w:r>
        <w:t xml:space="preserve">Detect exact topic/scope conflicts, temporal supersession candidates and incompatible authority claims. Do not treat all differing preferences as contradictions. Preserve both assertions and sources.</w:t>
      </w:r>
    </w:p>
    <w:p>
      <w:pPr>
        <w:pStyle w:val="BodyText"/>
      </w:pPr>
      <w:r>
        <w:t xml:space="preserve">Create</w:t>
      </w:r>
      <w:r>
        <w:t xml:space="preserve"> </w:t>
      </w:r>
      <w:r>
        <w:rPr>
          <w:rStyle w:val="VerbatimChar"/>
        </w:rPr>
        <w:t xml:space="preserve">AssertionConflict</w:t>
      </w:r>
      <w:r>
        <w:t xml:space="preserve"> </w:t>
      </w:r>
      <w:r>
        <w:t xml:space="preserve">with severity, affected topics, source/assertion IDs, explanation, decision owner and blocking gates. Resolution may select, supersede, scope-separate, record coexistence or request clarification. High-impact financial/date/scope/authority conflicts block relevant publication.</w:t>
      </w:r>
    </w:p>
    <w:p>
      <w:pPr>
        <w:pStyle w:val="BodyText"/>
      </w:pPr>
      <w:r>
        <w:t xml:space="preserve">Generate humane clarification wording from deterministic templates, with optional AI refinement that cannot alter referenced facts.</w:t>
      </w:r>
    </w:p>
    <w:bookmarkEnd w:id="106"/>
    <w:bookmarkStart w:id="107" w:name="tests-7"/>
    <w:p>
      <w:pPr>
        <w:pStyle w:val="Heading2"/>
      </w:pPr>
      <w:r>
        <w:t xml:space="preserve">Tests</w:t>
      </w:r>
    </w:p>
    <w:p>
      <w:pPr>
        <w:pStyle w:val="FirstParagraph"/>
      </w:pPr>
      <w:r>
        <w:t xml:space="preserve">320 vs 360 guests; target vs maximum count; two ceremonies with different counts; principal vs unauthorised relative; changed date; preference evolution; coexisting spouse preferences; expiry/staleness; no automatic winner.</w:t>
      </w:r>
    </w:p>
    <w:bookmarkEnd w:id="107"/>
    <w:bookmarkStart w:id="108" w:name="milestone-a-exit-gate"/>
    <w:p>
      <w:pPr>
        <w:pStyle w:val="Heading2"/>
      </w:pPr>
      <w:r>
        <w:t xml:space="preserve">Milestone A exit gate</w:t>
      </w:r>
    </w:p>
    <w:p>
      <w:pPr>
        <w:pStyle w:val="FirstParagraph"/>
      </w:pPr>
      <w:r>
        <w:t xml:space="preserve">After EEC-10 run focused and full shared-platform gates, migration replay and Postgres persistence tests. Commit/push may occur if authorised, but do not deploy a non-journey foundation unless the release prompt explicitly directs it. Return one consolidated M1/M2-foundation report for AI CTO review.</w:t>
      </w:r>
    </w:p>
    <w:bookmarkEnd w:id="108"/>
    <w:bookmarkEnd w:id="109"/>
    <w:bookmarkStart w:id="111" w:name="eos-s05a-detailed-cursor-prompt-pack-1"/>
    <w:p>
      <w:pPr>
        <w:pStyle w:val="Heading1"/>
      </w:pPr>
      <w:r>
        <w:t xml:space="preserve">EOS-S05A — Detailed Cursor Prompt Pack</w:t>
      </w:r>
    </w:p>
    <w:bookmarkStart w:id="110" w:name="X26931e57e1a02e15e2f166738979404a7bab43d"/>
    <w:p>
      <w:pPr>
        <w:pStyle w:val="Heading2"/>
      </w:pPr>
      <w:r>
        <w:t xml:space="preserve">Volume B — Canonical Brief, Conversion and Budget Intelligence Engine</w:t>
      </w:r>
    </w:p>
    <w:p>
      <w:pPr>
        <w:pStyle w:val="FirstParagraph"/>
      </w:pPr>
      <w:r>
        <w:t xml:space="preserve">Status:</w:t>
      </w:r>
      <w:r>
        <w:t xml:space="preserve"> </w:t>
      </w:r>
      <w:r>
        <w:rPr>
          <w:bCs/>
          <w:b/>
        </w:rPr>
        <w:t xml:space="preserve">CEO REVIEW DRAFT — NOT IMPLEMENTATION AUTHORITY</w:t>
      </w:r>
      <w:r>
        <w:br/>
      </w:r>
      <w:r>
        <w:t xml:space="preserve">Prompts:</w:t>
      </w:r>
      <w:r>
        <w:t xml:space="preserve"> </w:t>
      </w:r>
      <w:r>
        <w:rPr>
          <w:rStyle w:val="VerbatimChar"/>
        </w:rPr>
        <w:t xml:space="preserve">EEC-11</w:t>
      </w:r>
      <w:r>
        <w:t xml:space="preserve">–</w:t>
      </w:r>
      <w:r>
        <w:rPr>
          <w:rStyle w:val="VerbatimChar"/>
        </w:rPr>
        <w:t xml:space="preserve">EEC-25</w:t>
      </w:r>
      <w:r>
        <w:br/>
      </w:r>
      <w:r>
        <w:t xml:space="preserve">Inheritance: every global law and code convention in Volume A applies.</w:t>
      </w:r>
    </w:p>
    <w:p>
      <w:r>
        <w:pict>
          <v:rect style="width:0;height:1.5pt" o:hralign="center" o:hrstd="t" o:hr="t"/>
        </w:pict>
      </w:r>
    </w:p>
    <w:bookmarkEnd w:id="110"/>
    <w:bookmarkEnd w:id="111"/>
    <w:bookmarkStart w:id="116" w:name="Xc34b901c28b8048b0c181e6473df8cbd0b80bdd"/>
    <w:p>
      <w:pPr>
        <w:pStyle w:val="Heading1"/>
      </w:pPr>
      <w:r>
        <w:t xml:space="preserve">EEC-11 — Canonical Event Brief working aggregate</w:t>
      </w:r>
    </w:p>
    <w:bookmarkStart w:id="112" w:name="objective-11"/>
    <w:p>
      <w:pPr>
        <w:pStyle w:val="Heading2"/>
      </w:pPr>
      <w:r>
        <w:t xml:space="preserve">Objective</w:t>
      </w:r>
    </w:p>
    <w:p>
      <w:pPr>
        <w:pStyle w:val="FirstParagraph"/>
      </w:pPr>
      <w:r>
        <w:t xml:space="preserve">Build a typed working brief from staff-reviewed assertions while preserving provenance, conflicts and explicit gaps.</w:t>
      </w:r>
    </w:p>
    <w:bookmarkEnd w:id="112"/>
    <w:bookmarkStart w:id="113" w:name="required-implementation"/>
    <w:p>
      <w:pPr>
        <w:pStyle w:val="Heading2"/>
      </w:pPr>
      <w:r>
        <w:t xml:space="preserve">Required implementation</w:t>
      </w:r>
    </w:p>
    <w:p>
      <w:pPr>
        <w:pStyle w:val="FirstParagraph"/>
      </w:pPr>
      <w:r>
        <w:t xml:space="preserve">Create</w:t>
      </w:r>
      <w:r>
        <w:t xml:space="preserve"> </w:t>
      </w:r>
      <w:r>
        <w:rPr>
          <w:rStyle w:val="VerbatimChar"/>
        </w:rPr>
        <w:t xml:space="preserve">EventBriefDraft</w:t>
      </w:r>
      <w:r>
        <w:t xml:space="preserve"> </w:t>
      </w:r>
      <w:r>
        <w:t xml:space="preserve">as an organisation/engagement-scoped aggregate before conversion and event-scoped after conversion. It references assertions; it does not copy unsupported prose into opaque fields. Organise sections by the ratified coverage domains and retain per-section readiness.</w:t>
      </w:r>
    </w:p>
    <w:p>
      <w:pPr>
        <w:pStyle w:val="BodyText"/>
      </w:pPr>
      <w:r>
        <w:t xml:space="preserve">Required service methods:</w:t>
      </w:r>
    </w:p>
    <w:p>
      <w:pPr>
        <w:pStyle w:val="SourceCode"/>
      </w:pPr>
      <w:r>
        <w:rPr>
          <w:rStyle w:val="FunctionTok"/>
        </w:rPr>
        <w:t xml:space="preserve">createBriefDraft</w:t>
      </w:r>
      <w:r>
        <w:rPr>
          <w:rStyle w:val="NormalTok"/>
        </w:rPr>
        <w:t xml:space="preserve">(actor</w:t>
      </w:r>
      <w:r>
        <w:rPr>
          <w:rStyle w:val="OperatorTok"/>
        </w:rPr>
        <w:t xml:space="preserve">,</w:t>
      </w:r>
      <w:r>
        <w:rPr>
          <w:rStyle w:val="NormalTok"/>
        </w:rPr>
        <w:t xml:space="preserve"> input)</w:t>
      </w:r>
      <w:r>
        <w:br/>
      </w:r>
      <w:r>
        <w:rPr>
          <w:rStyle w:val="FunctionTok"/>
        </w:rPr>
        <w:t xml:space="preserve">addAssertionToBrief</w:t>
      </w:r>
      <w:r>
        <w:rPr>
          <w:rStyle w:val="NormalTok"/>
        </w:rPr>
        <w:t xml:space="preserve">(actor</w:t>
      </w:r>
      <w:r>
        <w:rPr>
          <w:rStyle w:val="OperatorTok"/>
        </w:rPr>
        <w:t xml:space="preserve">,</w:t>
      </w:r>
      <w:r>
        <w:rPr>
          <w:rStyle w:val="NormalTok"/>
        </w:rPr>
        <w:t xml:space="preserve"> input)</w:t>
      </w:r>
      <w:r>
        <w:br/>
      </w:r>
      <w:r>
        <w:rPr>
          <w:rStyle w:val="FunctionTok"/>
        </w:rPr>
        <w:t xml:space="preserve">removeAssertionFromDraft</w:t>
      </w:r>
      <w:r>
        <w:rPr>
          <w:rStyle w:val="NormalTok"/>
        </w:rPr>
        <w:t xml:space="preserve">(actor</w:t>
      </w:r>
      <w:r>
        <w:rPr>
          <w:rStyle w:val="OperatorTok"/>
        </w:rPr>
        <w:t xml:space="preserve">,</w:t>
      </w:r>
      <w:r>
        <w:rPr>
          <w:rStyle w:val="NormalTok"/>
        </w:rPr>
        <w:t xml:space="preserve"> input)</w:t>
      </w:r>
      <w:r>
        <w:br/>
      </w:r>
      <w:r>
        <w:rPr>
          <w:rStyle w:val="FunctionTok"/>
        </w:rPr>
        <w:t xml:space="preserve">recordBriefUnknown</w:t>
      </w:r>
      <w:r>
        <w:rPr>
          <w:rStyle w:val="NormalTok"/>
        </w:rPr>
        <w:t xml:space="preserve">(actor</w:t>
      </w:r>
      <w:r>
        <w:rPr>
          <w:rStyle w:val="OperatorTok"/>
        </w:rPr>
        <w:t xml:space="preserve">,</w:t>
      </w:r>
      <w:r>
        <w:rPr>
          <w:rStyle w:val="NormalTok"/>
        </w:rPr>
        <w:t xml:space="preserve"> input)</w:t>
      </w:r>
      <w:r>
        <w:br/>
      </w:r>
      <w:r>
        <w:rPr>
          <w:rStyle w:val="FunctionTok"/>
        </w:rPr>
        <w:t xml:space="preserve">submitBriefEdition</w:t>
      </w:r>
      <w:r>
        <w:rPr>
          <w:rStyle w:val="NormalTok"/>
        </w:rPr>
        <w:t xml:space="preserve">(actor</w:t>
      </w:r>
      <w:r>
        <w:rPr>
          <w:rStyle w:val="OperatorTok"/>
        </w:rPr>
        <w:t xml:space="preserve">,</w:t>
      </w:r>
      <w:r>
        <w:rPr>
          <w:rStyle w:val="NormalTok"/>
        </w:rPr>
        <w:t xml:space="preserve"> input)</w:t>
      </w:r>
      <w:r>
        <w:br/>
      </w:r>
      <w:r>
        <w:rPr>
          <w:rStyle w:val="FunctionTok"/>
        </w:rPr>
        <w:t xml:space="preserve">decideBriefEdition</w:t>
      </w:r>
      <w:r>
        <w:rPr>
          <w:rStyle w:val="NormalTok"/>
        </w:rPr>
        <w:t xml:space="preserve">(actor</w:t>
      </w:r>
      <w:r>
        <w:rPr>
          <w:rStyle w:val="OperatorTok"/>
        </w:rPr>
        <w:t xml:space="preserve">,</w:t>
      </w:r>
      <w:r>
        <w:rPr>
          <w:rStyle w:val="NormalTok"/>
        </w:rPr>
        <w:t xml:space="preserve"> input)</w:t>
      </w:r>
      <w:r>
        <w:br/>
      </w:r>
      <w:r>
        <w:rPr>
          <w:rStyle w:val="FunctionTok"/>
        </w:rPr>
        <w:t xml:space="preserve">publishBriefEdition</w:t>
      </w:r>
      <w:r>
        <w:rPr>
          <w:rStyle w:val="NormalTok"/>
        </w:rPr>
        <w:t xml:space="preserve">(actor</w:t>
      </w:r>
      <w:r>
        <w:rPr>
          <w:rStyle w:val="OperatorTok"/>
        </w:rPr>
        <w:t xml:space="preserve">,</w:t>
      </w:r>
      <w:r>
        <w:rPr>
          <w:rStyle w:val="NormalTok"/>
        </w:rPr>
        <w:t xml:space="preserve"> input)</w:t>
      </w:r>
    </w:p>
    <w:p>
      <w:pPr>
        <w:pStyle w:val="FirstParagraph"/>
      </w:pPr>
      <w:r>
        <w:t xml:space="preserve">Submission computes a canonical content hash. Decision binds the exact hash. Maker cannot decide their own consequential edition. Publication is transactional, immutable and supersedes the previous current edition without mutation.</w:t>
      </w:r>
    </w:p>
    <w:bookmarkEnd w:id="113"/>
    <w:bookmarkStart w:id="114" w:name="gate-logic"/>
    <w:p>
      <w:pPr>
        <w:pStyle w:val="Heading2"/>
      </w:pPr>
      <w:r>
        <w:t xml:space="preserve">Gate logic</w:t>
      </w:r>
    </w:p>
    <w:p>
      <w:pPr>
        <w:pStyle w:val="FirstParagraph"/>
      </w:pPr>
      <w:r>
        <w:t xml:space="preserve">Define</w:t>
      </w:r>
      <w:r>
        <w:t xml:space="preserve"> </w:t>
      </w:r>
      <w:r>
        <w:rPr>
          <w:rStyle w:val="VerbatimChar"/>
        </w:rPr>
        <w:t xml:space="preserve">INDICATIVE</w:t>
      </w:r>
      <w:r>
        <w:t xml:space="preserve">,</w:t>
      </w:r>
      <w:r>
        <w:t xml:space="preserve"> </w:t>
      </w:r>
      <w:r>
        <w:rPr>
          <w:rStyle w:val="VerbatimChar"/>
        </w:rPr>
        <w:t xml:space="preserve">WORKING</w:t>
      </w:r>
      <w:r>
        <w:t xml:space="preserve"> </w:t>
      </w:r>
      <w:r>
        <w:t xml:space="preserve">and</w:t>
      </w:r>
      <w:r>
        <w:t xml:space="preserve"> </w:t>
      </w:r>
      <w:r>
        <w:rPr>
          <w:rStyle w:val="VerbatimChar"/>
        </w:rPr>
        <w:t xml:space="preserve">APPROVED</w:t>
      </w:r>
      <w:r>
        <w:t xml:space="preserve"> </w:t>
      </w:r>
      <w:r>
        <w:t xml:space="preserve">completeness gates. Missing facts may be permitted with explicit risk at an earlier gate but block later publication. Do not make</w:t>
      </w:r>
      <w:r>
        <w:t xml:space="preserve"> </w:t>
      </w:r>
      <w:r>
        <w:t xml:space="preserve">“</w:t>
      </w:r>
      <w:r>
        <w:t xml:space="preserve">100%</w:t>
      </w:r>
      <w:r>
        <w:t xml:space="preserve">”</w:t>
      </w:r>
      <w:r>
        <w:t xml:space="preserve"> </w:t>
      </w:r>
      <w:r>
        <w:t xml:space="preserve">a universal requirement.</w:t>
      </w:r>
    </w:p>
    <w:bookmarkEnd w:id="114"/>
    <w:bookmarkStart w:id="115" w:name="tests-8"/>
    <w:p>
      <w:pPr>
        <w:pStyle w:val="Heading2"/>
      </w:pPr>
      <w:r>
        <w:t xml:space="preserve">Tests</w:t>
      </w:r>
    </w:p>
    <w:p>
      <w:pPr>
        <w:pStyle w:val="FirstParagraph"/>
      </w:pPr>
      <w:r>
        <w:t xml:space="preserve">Hash stability, conflicting assertion block, unknown allowed by gate, stale evidence warning, maker/checker, idempotent publish, supersession, cross-event denial and exact change summary.</w:t>
      </w:r>
    </w:p>
    <w:p>
      <w:r>
        <w:pict>
          <v:rect style="width:0;height:1.5pt" o:hralign="center" o:hrstd="t" o:hr="t"/>
        </w:pict>
      </w:r>
    </w:p>
    <w:bookmarkEnd w:id="115"/>
    <w:bookmarkEnd w:id="116"/>
    <w:bookmarkStart w:id="121" w:name="X19a2366da7d2afd0b1fba3d834aabc77b452193"/>
    <w:p>
      <w:pPr>
        <w:pStyle w:val="Heading1"/>
      </w:pPr>
      <w:r>
        <w:t xml:space="preserve">EEC-12 — Client confirmation and correction contract</w:t>
      </w:r>
    </w:p>
    <w:bookmarkStart w:id="117" w:name="objective-12"/>
    <w:p>
      <w:pPr>
        <w:pStyle w:val="Heading2"/>
      </w:pPr>
      <w:r>
        <w:t xml:space="preserve">Objective</w:t>
      </w:r>
    </w:p>
    <w:p>
      <w:pPr>
        <w:pStyle w:val="FirstParagraph"/>
      </w:pPr>
      <w:r>
        <w:t xml:space="preserve">Allow clients to confirm meaning without giving them staff mutation authority.</w:t>
      </w:r>
    </w:p>
    <w:bookmarkEnd w:id="117"/>
    <w:bookmarkStart w:id="118" w:name="projection-and-commands"/>
    <w:p>
      <w:pPr>
        <w:pStyle w:val="Heading2"/>
      </w:pPr>
      <w:r>
        <w:t xml:space="preserve">Projection and commands</w:t>
      </w:r>
    </w:p>
    <w:p>
      <w:pPr>
        <w:pStyle w:val="FirstParagraph"/>
      </w:pPr>
      <w:r>
        <w:t xml:space="preserve">Project only client-visible assertions grouped as</w:t>
      </w:r>
      <w:r>
        <w:t xml:space="preserve"> </w:t>
      </w:r>
      <w:r>
        <w:rPr>
          <w:rStyle w:val="VerbatimChar"/>
        </w:rPr>
        <w:t xml:space="preserve">UNDERSTOOD</w:t>
      </w:r>
      <w:r>
        <w:t xml:space="preserve">,</w:t>
      </w:r>
      <w:r>
        <w:t xml:space="preserve"> </w:t>
      </w:r>
      <w:r>
        <w:rPr>
          <w:rStyle w:val="VerbatimChar"/>
        </w:rPr>
        <w:t xml:space="preserve">NEEDS_CONFIRMATION</w:t>
      </w:r>
      <w:r>
        <w:t xml:space="preserve">,</w:t>
      </w:r>
      <w:r>
        <w:t xml:space="preserve"> </w:t>
      </w:r>
      <w:r>
        <w:rPr>
          <w:rStyle w:val="VerbatimChar"/>
        </w:rPr>
        <w:t xml:space="preserve">OPEN_QUESTION</w:t>
      </w:r>
      <w:r>
        <w:t xml:space="preserve">. Provide commands to confirm, correct, dispute, defer or prefer not to answer. A correction creates a new client-origin candidate assertion linked to the prior assertion; it never edits the old source or directly changes the governing edition.</w:t>
      </w:r>
    </w:p>
    <w:p>
      <w:pPr>
        <w:pStyle w:val="BodyText"/>
      </w:pPr>
      <w:r>
        <w:t xml:space="preserve">Use one-time/expiry-controlled client engagement access bound to engagement, participant and permitted actions. Reuse accepted separate-session patterns; never rely on staff session cookies.</w:t>
      </w:r>
    </w:p>
    <w:bookmarkEnd w:id="118"/>
    <w:bookmarkStart w:id="119" w:name="ux"/>
    <w:p>
      <w:pPr>
        <w:pStyle w:val="Heading2"/>
      </w:pPr>
      <w:r>
        <w:t xml:space="preserve">UX</w:t>
      </w:r>
    </w:p>
    <w:p>
      <w:pPr>
        <w:pStyle w:val="FirstParagraph"/>
      </w:pPr>
      <w:r>
        <w:t xml:space="preserve">Use plain language</w:t>
      </w:r>
      <w:r>
        <w:t xml:space="preserve"> </w:t>
      </w:r>
      <w:r>
        <w:t xml:space="preserve">“</w:t>
      </w:r>
      <w:r>
        <w:t xml:space="preserve">Your event as we understand it.</w:t>
      </w:r>
      <w:r>
        <w:t xml:space="preserve">”</w:t>
      </w:r>
      <w:r>
        <w:t xml:space="preserve"> </w:t>
      </w:r>
      <w:r>
        <w:t xml:space="preserve">Show original client words on demand, not internal confidence or staff-only notes. Confirmation controls need clear saved receipts and recovery from stale views.</w:t>
      </w:r>
    </w:p>
    <w:bookmarkEnd w:id="119"/>
    <w:bookmarkStart w:id="120" w:name="tests-9"/>
    <w:p>
      <w:pPr>
        <w:pStyle w:val="Heading2"/>
      </w:pPr>
      <w:r>
        <w:t xml:space="preserve">Tests</w:t>
      </w:r>
    </w:p>
    <w:p>
      <w:pPr>
        <w:pStyle w:val="FirstParagraph"/>
      </w:pPr>
      <w:r>
        <w:t xml:space="preserve">Client isolation, revoked/expired access, correction lineage, refresh persistence, stale correction, sensitive staff-note omission, no staff route access and no automatic publication.</w:t>
      </w:r>
    </w:p>
    <w:p>
      <w:r>
        <w:pict>
          <v:rect style="width:0;height:1.5pt" o:hralign="center" o:hrstd="t" o:hr="t"/>
        </w:pict>
      </w:r>
    </w:p>
    <w:bookmarkEnd w:id="120"/>
    <w:bookmarkEnd w:id="121"/>
    <w:bookmarkStart w:id="125" w:name="Xbce95c789c8248506c298f54eac6dfd06e957a6"/>
    <w:p>
      <w:pPr>
        <w:pStyle w:val="Heading1"/>
      </w:pPr>
      <w:r>
        <w:t xml:space="preserve">EEC-13 — Engagement-to-Client/Event conversion</w:t>
      </w:r>
    </w:p>
    <w:bookmarkStart w:id="122" w:name="objective-13"/>
    <w:p>
      <w:pPr>
        <w:pStyle w:val="Heading2"/>
      </w:pPr>
      <w:r>
        <w:t xml:space="preserve">Objective</w:t>
      </w:r>
    </w:p>
    <w:p>
      <w:pPr>
        <w:pStyle w:val="FirstParagraph"/>
      </w:pPr>
      <w:r>
        <w:t xml:space="preserve">Convert a qualified opportunity without duplicate canonical records or loss of discovery provenance.</w:t>
      </w:r>
    </w:p>
    <w:bookmarkEnd w:id="122"/>
    <w:bookmarkStart w:id="123" w:name="command"/>
    <w:p>
      <w:pPr>
        <w:pStyle w:val="Heading2"/>
      </w:pPr>
      <w:r>
        <w:t xml:space="preserve">Command</w:t>
      </w:r>
    </w:p>
    <w:p>
      <w:pPr>
        <w:pStyle w:val="SourceCode"/>
      </w:pPr>
      <w:r>
        <w:rPr>
          <w:rStyle w:val="KeywordTok"/>
        </w:rPr>
        <w:t xml:space="preserve">type</w:t>
      </w:r>
      <w:r>
        <w:rPr>
          <w:rStyle w:val="NormalTok"/>
        </w:rPr>
        <w:t xml:space="preserve"> ConvertEngagementInput </w:t>
      </w:r>
      <w:r>
        <w:rPr>
          <w:rStyle w:val="OperatorTok"/>
        </w:rPr>
        <w:t xml:space="preserve">=</w:t>
      </w:r>
      <w:r>
        <w:rPr>
          <w:rStyle w:val="NormalTok"/>
        </w:rPr>
        <w:t xml:space="preserve"> ScopedCommand </w:t>
      </w:r>
      <w:r>
        <w:rPr>
          <w:rStyle w:val="OperatorTok"/>
        </w:rPr>
        <w:t xml:space="preserve">&amp;</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engagementId</w:t>
      </w:r>
      <w:r>
        <w:rPr>
          <w:rStyle w:val="OperatorTok"/>
        </w:rPr>
        <w:t xml:space="preserve">:</w:t>
      </w:r>
      <w:r>
        <w:rPr>
          <w:rStyle w:val="NormalTok"/>
        </w:rPr>
        <w:t xml:space="preserve"> EngagementId</w:t>
      </w:r>
      <w:r>
        <w:rPr>
          <w:rStyle w:val="OperatorTok"/>
        </w:rPr>
        <w:t xml:space="preserve">;</w:t>
      </w:r>
      <w:r>
        <w:br/>
      </w:r>
      <w:r>
        <w:rPr>
          <w:rStyle w:val="NormalTok"/>
        </w:rPr>
        <w:t xml:space="preserve">  clientDisposition</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"LINK_EXISTING"</w:t>
      </w:r>
      <w:r>
        <w:rPr>
          <w:rStyle w:val="OperatorTok"/>
        </w:rPr>
        <w:t xml:space="preserve">;</w:t>
      </w:r>
      <w:r>
        <w:rPr>
          <w:rStyle w:val="NormalTok"/>
        </w:rPr>
        <w:t xml:space="preserve"> clientId</w:t>
      </w:r>
      <w:r>
        <w:rPr>
          <w:rStyle w:val="OperatorTok"/>
        </w:rPr>
        <w:t xml:space="preserve">:</w:t>
      </w:r>
      <w:r>
        <w:rPr>
          <w:rStyle w:val="NormalTok"/>
        </w:rPr>
        <w:t xml:space="preserve"> ClientId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"CREATE_NEW"</w:t>
      </w:r>
      <w:r>
        <w:rPr>
          <w:rStyle w:val="OperatorTok"/>
        </w:rPr>
        <w:t xml:space="preserve">;</w:t>
      </w:r>
      <w:r>
        <w:rPr>
          <w:rStyle w:val="NormalTok"/>
        </w:rPr>
        <w:t xml:space="preserve"> client</w:t>
      </w:r>
      <w:r>
        <w:rPr>
          <w:rStyle w:val="OperatorTok"/>
        </w:rPr>
        <w:t xml:space="preserve">:</w:t>
      </w:r>
      <w:r>
        <w:rPr>
          <w:rStyle w:val="NormalTok"/>
        </w:rPr>
        <w:t xml:space="preserve"> CreateClientInput }</w:t>
      </w:r>
      <w:r>
        <w:rPr>
          <w:rStyle w:val="OperatorTok"/>
        </w:rPr>
        <w:t xml:space="preserve">;</w:t>
      </w:r>
      <w:r>
        <w:br/>
      </w:r>
      <w:r>
        <w:rPr>
          <w:rStyle w:val="NormalTok"/>
        </w:rPr>
        <w:t xml:space="preserve">  eventDisposition</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"LINK_EXISTING"</w:t>
      </w:r>
      <w:r>
        <w:rPr>
          <w:rStyle w:val="OperatorTok"/>
        </w:rPr>
        <w:t xml:space="preserve">;</w:t>
      </w:r>
      <w:r>
        <w:rPr>
          <w:rStyle w:val="NormalTok"/>
        </w:rPr>
        <w:t xml:space="preserve"> eventId</w:t>
      </w:r>
      <w:r>
        <w:rPr>
          <w:rStyle w:val="OperatorTok"/>
        </w:rPr>
        <w:t xml:space="preserve">:</w:t>
      </w:r>
      <w:r>
        <w:rPr>
          <w:rStyle w:val="NormalTok"/>
        </w:rPr>
        <w:t xml:space="preserve"> EventId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"CREATE_NEW"</w:t>
      </w:r>
      <w:r>
        <w:rPr>
          <w:rStyle w:val="OperatorTok"/>
        </w:rPr>
        <w:t xml:space="preserve">;</w:t>
      </w:r>
      <w:r>
        <w:rPr>
          <w:rStyle w:val="NormalTok"/>
        </w:rPr>
        <w:t xml:space="preserve"> event</w:t>
      </w:r>
      <w:r>
        <w:rPr>
          <w:rStyle w:val="OperatorTok"/>
        </w:rPr>
        <w:t xml:space="preserve">:</w:t>
      </w:r>
      <w:r>
        <w:rPr>
          <w:rStyle w:val="NormalTok"/>
        </w:rPr>
        <w:t xml:space="preserve"> CreateEventInput }</w:t>
      </w:r>
      <w:r>
        <w:rPr>
          <w:rStyle w:val="OperatorTok"/>
        </w:rPr>
        <w:t xml:space="preserve">;</w:t>
      </w:r>
      <w:r>
        <w:br/>
      </w:r>
      <w:r>
        <w:rPr>
          <w:rStyle w:val="NormalTok"/>
        </w:rPr>
        <w:t xml:space="preserve">  sourceBriefHash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p>
    <w:p>
      <w:pPr>
        <w:pStyle w:val="FirstParagraph"/>
      </w:pPr>
      <w:r>
        <w:t xml:space="preserve">Require</w:t>
      </w:r>
      <w:r>
        <w:t xml:space="preserve"> </w:t>
      </w:r>
      <w:r>
        <w:rPr>
          <w:rStyle w:val="VerbatimChar"/>
        </w:rPr>
        <w:t xml:space="preserve">engagement.convert</w:t>
      </w:r>
      <w:r>
        <w:t xml:space="preserve"> </w:t>
      </w:r>
      <w:r>
        <w:t xml:space="preserve">plus existing client/event permissions. Confirm organisation lineage. Surface duplicate candidates but never fuzzy-merge. Run conversion in one durable transaction with an idempotency receipt. Link source records to canonical IDs; do not rewrite them.</w:t>
      </w:r>
    </w:p>
    <w:bookmarkEnd w:id="123"/>
    <w:bookmarkStart w:id="124" w:name="tests-10"/>
    <w:p>
      <w:pPr>
        <w:pStyle w:val="Heading2"/>
      </w:pPr>
      <w:r>
        <w:t xml:space="preserve">Tests</w:t>
      </w:r>
    </w:p>
    <w:p>
      <w:pPr>
        <w:pStyle w:val="FirstParagraph"/>
      </w:pPr>
      <w:r>
        <w:t xml:space="preserve">Create/create, link/link and mixed routes; duplicate retry; partial failure rollback; wrong organisation; already-converted conflict; insufficient client/event authority; unchanged discovery evidence.</w:t>
      </w:r>
    </w:p>
    <w:p>
      <w:r>
        <w:pict>
          <v:rect style="width:0;height:1.5pt" o:hralign="center" o:hrstd="t" o:hr="t"/>
        </w:pict>
      </w:r>
    </w:p>
    <w:bookmarkEnd w:id="124"/>
    <w:bookmarkEnd w:id="125"/>
    <w:bookmarkStart w:id="130" w:name="eec-14-brief-review-workbench-frontend"/>
    <w:p>
      <w:pPr>
        <w:pStyle w:val="Heading1"/>
      </w:pPr>
      <w:r>
        <w:t xml:space="preserve">EEC-14 — Brief Review Workbench frontend</w:t>
      </w:r>
    </w:p>
    <w:bookmarkStart w:id="126" w:name="objective-14"/>
    <w:p>
      <w:pPr>
        <w:pStyle w:val="Heading2"/>
      </w:pPr>
      <w:r>
        <w:t xml:space="preserve">Objective</w:t>
      </w:r>
    </w:p>
    <w:p>
      <w:pPr>
        <w:pStyle w:val="FirstParagraph"/>
      </w:pPr>
      <w:r>
        <w:t xml:space="preserve">Give staff a precise, calm route from evidence to a publishable brief.</w:t>
      </w:r>
    </w:p>
    <w:bookmarkEnd w:id="126"/>
    <w:bookmarkStart w:id="127" w:name="page-structure"/>
    <w:p>
      <w:pPr>
        <w:pStyle w:val="Heading2"/>
      </w:pPr>
      <w:r>
        <w:t xml:space="preserve">Page structure</w:t>
      </w:r>
    </w:p>
    <w:p>
      <w:pPr>
        <w:pStyle w:val="FirstParagraph"/>
      </w:pPr>
      <w:r>
        <w:t xml:space="preserve">Implement engagement-scoped routes with:</w:t>
      </w:r>
    </w:p>
    <w:p>
      <w:pPr>
        <w:numPr>
          <w:ilvl w:val="0"/>
          <w:numId w:val="1032"/>
        </w:numPr>
        <w:pStyle w:val="Compact"/>
      </w:pPr>
      <w:r>
        <w:t xml:space="preserve">header: engagement, session status, overall gates and next safe action;</w:t>
      </w:r>
    </w:p>
    <w:p>
      <w:pPr>
        <w:numPr>
          <w:ilvl w:val="0"/>
          <w:numId w:val="1032"/>
        </w:numPr>
        <w:pStyle w:val="Compact"/>
      </w:pPr>
      <w:r>
        <w:t xml:space="preserve">left/topic rail: coverage states and filters;</w:t>
      </w:r>
    </w:p>
    <w:p>
      <w:pPr>
        <w:numPr>
          <w:ilvl w:val="0"/>
          <w:numId w:val="1032"/>
        </w:numPr>
        <w:pStyle w:val="Compact"/>
      </w:pPr>
      <w:r>
        <w:t xml:space="preserve">primary review: source evidence beside proposed meaning;</w:t>
      </w:r>
    </w:p>
    <w:p>
      <w:pPr>
        <w:numPr>
          <w:ilvl w:val="0"/>
          <w:numId w:val="1032"/>
        </w:numPr>
        <w:pStyle w:val="Compact"/>
      </w:pPr>
      <w:r>
        <w:t xml:space="preserve">decision panel: accept/amend/reject/clarify with provenance;</w:t>
      </w:r>
    </w:p>
    <w:p>
      <w:pPr>
        <w:numPr>
          <w:ilvl w:val="0"/>
          <w:numId w:val="1032"/>
        </w:numPr>
        <w:pStyle w:val="Compact"/>
      </w:pPr>
      <w:r>
        <w:t xml:space="preserve">conflicts queue;</w:t>
      </w:r>
    </w:p>
    <w:p>
      <w:pPr>
        <w:numPr>
          <w:ilvl w:val="0"/>
          <w:numId w:val="1032"/>
        </w:numPr>
        <w:pStyle w:val="Compact"/>
      </w:pPr>
      <w:r>
        <w:t xml:space="preserve">brief preview/change summary;</w:t>
      </w:r>
    </w:p>
    <w:p>
      <w:pPr>
        <w:numPr>
          <w:ilvl w:val="0"/>
          <w:numId w:val="1032"/>
        </w:numPr>
        <w:pStyle w:val="Compact"/>
      </w:pPr>
      <w:r>
        <w:t xml:space="preserve">submit/decision/publication history.</w:t>
      </w:r>
    </w:p>
    <w:p>
      <w:pPr>
        <w:pStyle w:val="FirstParagraph"/>
      </w:pPr>
      <w:r>
        <w:t xml:space="preserve">At mobile widths use ordered stacked regions with labelled jump navigation; never compress three columns. Keep tabs/sticky navigation from covering focused elements. Restricted evidence must be absent from DOM for unauthorised roles.</w:t>
      </w:r>
    </w:p>
    <w:bookmarkEnd w:id="127"/>
    <w:bookmarkStart w:id="128" w:name="component-contracts"/>
    <w:p>
      <w:pPr>
        <w:pStyle w:val="Heading2"/>
      </w:pPr>
      <w:r>
        <w:t xml:space="preserve">Component contracts</w:t>
      </w:r>
    </w:p>
    <w:p>
      <w:pPr>
        <w:pStyle w:val="FirstParagraph"/>
      </w:pPr>
      <w:r>
        <w:t xml:space="preserve">Create reusable components such as</w:t>
      </w:r>
      <w:r>
        <w:t xml:space="preserve"> </w:t>
      </w:r>
      <w:r>
        <w:rPr>
          <w:rStyle w:val="VerbatimChar"/>
        </w:rPr>
        <w:t xml:space="preserve">CoverageState</w:t>
      </w:r>
      <w:r>
        <w:t xml:space="preserve">,</w:t>
      </w:r>
      <w:r>
        <w:t xml:space="preserve"> </w:t>
      </w:r>
      <w:r>
        <w:rPr>
          <w:rStyle w:val="VerbatimChar"/>
        </w:rPr>
        <w:t xml:space="preserve">EvidenceExcerpt</w:t>
      </w:r>
      <w:r>
        <w:t xml:space="preserve">,</w:t>
      </w:r>
      <w:r>
        <w:t xml:space="preserve"> </w:t>
      </w:r>
      <w:r>
        <w:rPr>
          <w:rStyle w:val="VerbatimChar"/>
        </w:rPr>
        <w:t xml:space="preserve">AssertionProposal</w:t>
      </w:r>
      <w:r>
        <w:t xml:space="preserve">,</w:t>
      </w:r>
      <w:r>
        <w:t xml:space="preserve"> </w:t>
      </w:r>
      <w:r>
        <w:rPr>
          <w:rStyle w:val="VerbatimChar"/>
        </w:rPr>
        <w:t xml:space="preserve">ConflictResolution</w:t>
      </w:r>
      <w:r>
        <w:t xml:space="preserve">,</w:t>
      </w:r>
      <w:r>
        <w:t xml:space="preserve"> </w:t>
      </w:r>
      <w:r>
        <w:rPr>
          <w:rStyle w:val="VerbatimChar"/>
        </w:rPr>
        <w:t xml:space="preserve">BriefGateSummary</w:t>
      </w:r>
      <w:r>
        <w:t xml:space="preserve">,</w:t>
      </w:r>
      <w:r>
        <w:t xml:space="preserve"> </w:t>
      </w:r>
      <w:r>
        <w:rPr>
          <w:rStyle w:val="VerbatimChar"/>
        </w:rPr>
        <w:t xml:space="preserve">EditionDecisionPanel</w:t>
      </w:r>
      <w:r>
        <w:t xml:space="preserve">. Props receive permission-safe DTOs; no component determines authority from role names.</w:t>
      </w:r>
    </w:p>
    <w:bookmarkEnd w:id="128"/>
    <w:bookmarkStart w:id="129" w:name="tests-11"/>
    <w:p>
      <w:pPr>
        <w:pStyle w:val="Heading2"/>
      </w:pPr>
      <w:r>
        <w:t xml:space="preserve">Tests</w:t>
      </w:r>
    </w:p>
    <w:p>
      <w:pPr>
        <w:pStyle w:val="FirstParagraph"/>
      </w:pPr>
      <w:r>
        <w:t xml:space="preserve">Keyboard-only full review, focus after mutation, loading/empty/error/permission/stale states, 360/tablet/desktop/200% zoom, screen reader names, long Yorùbá text and no horizontal scroll.</w:t>
      </w:r>
    </w:p>
    <w:p>
      <w:r>
        <w:pict>
          <v:rect style="width:0;height:1.5pt" o:hralign="center" o:hrstd="t" o:hr="t"/>
        </w:pict>
      </w:r>
    </w:p>
    <w:bookmarkEnd w:id="129"/>
    <w:bookmarkEnd w:id="130"/>
    <w:bookmarkStart w:id="135" w:name="X8ec8143076903d43133e208623bac06e524bfc4"/>
    <w:p>
      <w:pPr>
        <w:pStyle w:val="Heading1"/>
      </w:pPr>
      <w:r>
        <w:t xml:space="preserve">EEC-15 — Budget taxonomy, units and monetary primitives</w:t>
      </w:r>
    </w:p>
    <w:bookmarkStart w:id="131" w:name="objective-15"/>
    <w:p>
      <w:pPr>
        <w:pStyle w:val="Heading2"/>
      </w:pPr>
      <w:r>
        <w:t xml:space="preserve">Objective</w:t>
      </w:r>
    </w:p>
    <w:p>
      <w:pPr>
        <w:pStyle w:val="FirstParagraph"/>
      </w:pPr>
      <w:r>
        <w:t xml:space="preserve">Create the durable vocabulary for a maturing Budget Intelligence Engine.</w:t>
      </w:r>
    </w:p>
    <w:bookmarkEnd w:id="131"/>
    <w:bookmarkStart w:id="132" w:name="types"/>
    <w:p>
      <w:pPr>
        <w:pStyle w:val="Heading2"/>
      </w:pPr>
      <w:r>
        <w:t xml:space="preserve">Types</w:t>
      </w:r>
    </w:p>
    <w:p>
      <w:pPr>
        <w:pStyle w:val="FirstParagraph"/>
      </w:pPr>
      <w:r>
        <w:t xml:space="preserve">Implement</w:t>
      </w:r>
      <w:r>
        <w:t xml:space="preserve"> </w:t>
      </w:r>
      <w:r>
        <w:rPr>
          <w:rStyle w:val="VerbatimChar"/>
        </w:rPr>
        <w:t xml:space="preserve">Money</w:t>
      </w:r>
      <w:r>
        <w:t xml:space="preserve"> </w:t>
      </w:r>
      <w:r>
        <w:t xml:space="preserve">using integer minor-unit strings at persistence/API boundaries and</w:t>
      </w:r>
      <w:r>
        <w:t xml:space="preserve"> </w:t>
      </w:r>
      <w:r>
        <w:rPr>
          <w:rStyle w:val="VerbatimChar"/>
        </w:rPr>
        <w:t xml:space="preserve">bigint</w:t>
      </w:r>
      <w:r>
        <w:t xml:space="preserve"> </w:t>
      </w:r>
      <w:r>
        <w:t xml:space="preserve">internally. Implement</w:t>
      </w:r>
      <w:r>
        <w:t xml:space="preserve"> </w:t>
      </w:r>
      <w:r>
        <w:rPr>
          <w:rStyle w:val="VerbatimChar"/>
        </w:rPr>
        <w:t xml:space="preserve">Quantity</w:t>
      </w:r>
      <w:r>
        <w:t xml:space="preserve"> </w:t>
      </w:r>
      <w:r>
        <w:t xml:space="preserve">as decimal string plus governed unit. Never serialise bigint directly to JSON.</w:t>
      </w:r>
    </w:p>
    <w:p>
      <w:pPr>
        <w:pStyle w:val="SourceCode"/>
      </w:pPr>
      <w:r>
        <w:rPr>
          <w:rStyle w:val="KeywordTok"/>
        </w:rPr>
        <w:t xml:space="preserve">type</w:t>
      </w:r>
      <w:r>
        <w:rPr>
          <w:rStyle w:val="NormalTok"/>
        </w:rPr>
        <w:t xml:space="preserve"> MoneyDto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minor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KeywordTok"/>
        </w:rPr>
        <w:t xml:space="preserve">type</w:t>
      </w:r>
      <w:r>
        <w:rPr>
          <w:rStyle w:val="NormalTok"/>
        </w:rPr>
        <w:t xml:space="preserve"> QuantityDto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br/>
      </w:r>
      <w:r>
        <w:rPr>
          <w:rStyle w:val="KeywordTok"/>
        </w:rPr>
        <w:t xml:space="preserve">type</w:t>
      </w:r>
      <w:r>
        <w:rPr>
          <w:rStyle w:val="NormalTok"/>
        </w:rPr>
        <w:t xml:space="preserve"> CostRequirement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rPr>
          <w:rStyle w:val="NormalTok"/>
        </w:rPr>
        <w:t xml:space="preserve"> </w:t>
      </w:r>
      <w:r>
        <w:rPr>
          <w:rStyle w:val="StringTok"/>
        </w:rPr>
        <w:t xml:space="preserve">"RECOMMENDED"</w:t>
      </w:r>
      <w:r>
        <w:rPr>
          <w:rStyle w:val="NormalTok"/>
        </w:rPr>
        <w:t xml:space="preserve"> </w:t>
      </w:r>
      <w:r>
        <w:rPr>
          <w:rStyle w:val="OperatorTok"/>
        </w:rPr>
        <w:t xml:space="preserve">|</w:t>
      </w:r>
      <w:r>
        <w:rPr>
          <w:rStyle w:val="NormalTok"/>
        </w:rPr>
        <w:t xml:space="preserve"> </w:t>
      </w:r>
      <w:r>
        <w:rPr>
          <w:rStyle w:val="StringTok"/>
        </w:rPr>
        <w:t xml:space="preserve">"OPTIONAL"</w:t>
      </w:r>
      <w:r>
        <w:br/>
      </w:r>
      <w:r>
        <w:rPr>
          <w:rStyle w:val="NormalTok"/>
        </w:rPr>
        <w:t xml:space="preserve">  </w:t>
      </w:r>
      <w:r>
        <w:rPr>
          <w:rStyle w:val="OperatorTok"/>
        </w:rPr>
        <w:t xml:space="preserve">|</w:t>
      </w:r>
      <w:r>
        <w:rPr>
          <w:rStyle w:val="NormalTok"/>
        </w:rPr>
        <w:t xml:space="preserve"> </w:t>
      </w:r>
      <w:r>
        <w:rPr>
          <w:rStyle w:val="StringTok"/>
        </w:rPr>
        <w:t xml:space="preserve">"EXCLUDED_BY_CLIENT"</w:t>
      </w:r>
      <w:r>
        <w:rPr>
          <w:rStyle w:val="NormalTok"/>
        </w:rPr>
        <w:t xml:space="preserve"> </w:t>
      </w:r>
      <w:r>
        <w:rPr>
          <w:rStyle w:val="OperatorTok"/>
        </w:rPr>
        <w:t xml:space="preserve">|</w:t>
      </w:r>
      <w:r>
        <w:rPr>
          <w:rStyle w:val="NormalTok"/>
        </w:rPr>
        <w:t xml:space="preserve"> </w:t>
      </w:r>
      <w:r>
        <w:rPr>
          <w:rStyle w:val="StringTok"/>
        </w:rPr>
        <w:t xml:space="preserve">"NOT_APPLICABLE"</w:t>
      </w:r>
      <w:r>
        <w:rPr>
          <w:rStyle w:val="NormalTok"/>
        </w:rPr>
        <w:t xml:space="preserve"> </w:t>
      </w:r>
      <w:r>
        <w:rPr>
          <w:rStyle w:val="OperatorTok"/>
        </w:rPr>
        <w:t xml:space="preserve">|</w:t>
      </w:r>
      <w:r>
        <w:rPr>
          <w:rStyle w:val="NormalTok"/>
        </w:rPr>
        <w:t xml:space="preserve"> </w:t>
      </w:r>
      <w:r>
        <w:rPr>
          <w:rStyle w:val="StringTok"/>
        </w:rPr>
        <w:t xml:space="preserve">"UNRESOLVED"</w:t>
      </w:r>
      <w:r>
        <w:rPr>
          <w:rStyle w:val="OperatorTok"/>
        </w:rPr>
        <w:t xml:space="preserve">;</w:t>
      </w:r>
    </w:p>
    <w:p>
      <w:pPr>
        <w:pStyle w:val="FirstParagraph"/>
      </w:pPr>
      <w:r>
        <w:t xml:space="preserve">Create immutable</w:t>
      </w:r>
      <w:r>
        <w:t xml:space="preserve"> </w:t>
      </w:r>
      <w:r>
        <w:rPr>
          <w:rStyle w:val="VerbatimChar"/>
        </w:rPr>
        <w:t xml:space="preserve">BudgetTaxonomyEdition</w:t>
      </w:r>
      <w:r>
        <w:t xml:space="preserve"> </w:t>
      </w:r>
      <w:r>
        <w:t xml:space="preserve">and</w:t>
      </w:r>
      <w:r>
        <w:t xml:space="preserve"> </w:t>
      </w:r>
      <w:r>
        <w:rPr>
          <w:rStyle w:val="VerbatimChar"/>
        </w:rPr>
        <w:t xml:space="preserve">CostItemDefinition</w:t>
      </w:r>
      <w:r>
        <w:t xml:space="preserve"> </w:t>
      </w:r>
      <w:r>
        <w:t xml:space="preserve">records with codes, category path, unit kind, driver schema, predicates, relationships, min/max/increments, sensitivities, tax/fee basis, contingency class, client description and internal notes.</w:t>
      </w:r>
    </w:p>
    <w:bookmarkEnd w:id="132"/>
    <w:bookmarkStart w:id="133" w:name="initial-taxonomy"/>
    <w:p>
      <w:pPr>
        <w:pStyle w:val="Heading2"/>
      </w:pPr>
      <w:r>
        <w:t xml:space="preserve">Initial taxonomy</w:t>
      </w:r>
    </w:p>
    <w:p>
      <w:pPr>
        <w:pStyle w:val="FirstParagraph"/>
      </w:pPr>
      <w:r>
        <w:t xml:space="preserve">Provide a governed synthetic starting catalogue spanning venue, catering, beverage, production/AV, power, design/decor, entertainment, photography/media, security, staffing, transport, accommodation, invitations/communications, gifts, permits/compliance, accessibility/medical provision, insurance, logistics, professional fees, taxes and contingency. Do not hard-code generic percentage doctrine.</w:t>
      </w:r>
    </w:p>
    <w:bookmarkEnd w:id="133"/>
    <w:bookmarkStart w:id="134" w:name="tests-12"/>
    <w:p>
      <w:pPr>
        <w:pStyle w:val="Heading2"/>
      </w:pPr>
      <w:r>
        <w:t xml:space="preserve">Tests</w:t>
      </w:r>
    </w:p>
    <w:p>
      <w:pPr>
        <w:pStyle w:val="FirstParagraph"/>
      </w:pPr>
      <w:r>
        <w:t xml:space="preserve">Currency precision, unit mismatch, negative/overflow rejection, taxonomy cycles, immutable edition, duplicate code, retired item and client/internal projection separation.</w:t>
      </w:r>
    </w:p>
    <w:p>
      <w:r>
        <w:pict>
          <v:rect style="width:0;height:1.5pt" o:hralign="center" o:hrstd="t" o:hr="t"/>
        </w:pict>
      </w:r>
    </w:p>
    <w:bookmarkEnd w:id="134"/>
    <w:bookmarkEnd w:id="135"/>
    <w:bookmarkStart w:id="140" w:name="X0b12910b7ab4e277153742cffc2bb6032ab1fd9"/>
    <w:p>
      <w:pPr>
        <w:pStyle w:val="Heading1"/>
      </w:pPr>
      <w:r>
        <w:t xml:space="preserve">EEC-16 — Safe Price Rule DSL and deterministic evaluator</w:t>
      </w:r>
    </w:p>
    <w:bookmarkStart w:id="136" w:name="objective-16"/>
    <w:p>
      <w:pPr>
        <w:pStyle w:val="Heading2"/>
      </w:pPr>
      <w:r>
        <w:t xml:space="preserve">Objective</w:t>
      </w:r>
    </w:p>
    <w:p>
      <w:pPr>
        <w:pStyle w:val="FirstParagraph"/>
      </w:pPr>
      <w:r>
        <w:t xml:space="preserve">Implement a closed, explainable rules engine with no executable database code.</w:t>
      </w:r>
    </w:p>
    <w:bookmarkEnd w:id="136"/>
    <w:bookmarkStart w:id="137" w:name="ast"/>
    <w:p>
      <w:pPr>
        <w:pStyle w:val="Heading2"/>
      </w:pPr>
      <w:r>
        <w:t xml:space="preserve">AST</w:t>
      </w:r>
    </w:p>
    <w:p>
      <w:pPr>
        <w:pStyle w:val="FirstParagraph"/>
      </w:pPr>
      <w:r>
        <w:t xml:space="preserve">Implement the discriminated union from the Budget Engine addendum and extend only where necessary with typed decimal, money, boolean and lookup results. Parse with strict recursive Zod schemas. Enforce maximum depth, node count, lookup size and evaluation steps.</w:t>
      </w:r>
    </w:p>
    <w:p>
      <w:pPr>
        <w:pStyle w:val="BodyText"/>
      </w:pPr>
      <w:r>
        <w:t xml:space="preserve">Prohibit</w:t>
      </w:r>
      <w:r>
        <w:t xml:space="preserve"> </w:t>
      </w:r>
      <w:r>
        <w:rPr>
          <w:rStyle w:val="VerbatimChar"/>
        </w:rPr>
        <w:t xml:space="preserve">eval</w:t>
      </w:r>
      <w:r>
        <w:t xml:space="preserve">,</w:t>
      </w:r>
      <w:r>
        <w:t xml:space="preserve"> </w:t>
      </w:r>
      <w:r>
        <w:rPr>
          <w:rStyle w:val="VerbatimChar"/>
        </w:rPr>
        <w:t xml:space="preserve">Function</w:t>
      </w:r>
      <w:r>
        <w:t xml:space="preserve">, dynamic imports, templated SQL and user-defined JavaScript. Use an audited decimal/rational implementation; document rounding at line and aggregate levels.</w:t>
      </w:r>
    </w:p>
    <w:bookmarkEnd w:id="137"/>
    <w:bookmarkStart w:id="138" w:name="evaluator-result"/>
    <w:p>
      <w:pPr>
        <w:pStyle w:val="Heading2"/>
      </w:pPr>
      <w:r>
        <w:t xml:space="preserve">Evaluator result</w:t>
      </w:r>
    </w:p>
    <w:p>
      <w:pPr>
        <w:pStyle w:val="SourceCode"/>
      </w:pPr>
      <w:r>
        <w:rPr>
          <w:rStyle w:val="KeywordTok"/>
        </w:rPr>
        <w:t xml:space="preserve">type</w:t>
      </w:r>
      <w:r>
        <w:rPr>
          <w:rStyle w:val="NormalTok"/>
        </w:rPr>
        <w:t xml:space="preserve"> EvaluationResult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value</w:t>
      </w:r>
      <w:r>
        <w:rPr>
          <w:rStyle w:val="OperatorTok"/>
        </w:rPr>
        <w:t xml:space="preserve">:</w:t>
      </w:r>
      <w:r>
        <w:rPr>
          <w:rStyle w:val="NormalTok"/>
        </w:rPr>
        <w:t xml:space="preserve"> T</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KeywordTok"/>
        </w:rPr>
        <w:t xml:space="preserve">readonly</w:t>
      </w:r>
      <w:r>
        <w:rPr>
          <w:rStyle w:val="NormalTok"/>
        </w:rPr>
        <w:t xml:space="preserve"> EvaluationTraceStep[]</w:t>
      </w:r>
      <w:r>
        <w:rPr>
          <w:rStyle w:val="OperatorTok"/>
        </w:rPr>
        <w:t xml:space="preserve">;</w:t>
      </w:r>
      <w:r>
        <w:br/>
      </w:r>
      <w:r>
        <w:rPr>
          <w:rStyle w:val="NormalTok"/>
        </w:rPr>
        <w:t xml:space="preserve">  warnings</w:t>
      </w:r>
      <w:r>
        <w:rPr>
          <w:rStyle w:val="OperatorTok"/>
        </w:rPr>
        <w:t xml:space="preserve">:</w:t>
      </w:r>
      <w:r>
        <w:rPr>
          <w:rStyle w:val="NormalTok"/>
        </w:rPr>
        <w:t xml:space="preserve"> </w:t>
      </w:r>
      <w:r>
        <w:rPr>
          <w:rStyle w:val="KeywordTok"/>
        </w:rPr>
        <w:t xml:space="preserve">readonly</w:t>
      </w:r>
      <w:r>
        <w:rPr>
          <w:rStyle w:val="NormalTok"/>
        </w:rPr>
        <w:t xml:space="preserve"> BudgetWarning[]</w:t>
      </w:r>
      <w:r>
        <w:rPr>
          <w:rStyle w:val="OperatorTok"/>
        </w:rPr>
        <w:t xml:space="preserve">;</w:t>
      </w:r>
      <w:r>
        <w:br/>
      </w:r>
      <w:r>
        <w:rPr>
          <w:rStyle w:val="NormalTok"/>
        </w:rPr>
        <w:t xml:space="preserve">  inputHash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ruleEditionHash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p>
    <w:p>
      <w:pPr>
        <w:pStyle w:val="FirstParagraph"/>
      </w:pPr>
      <w:r>
        <w:t xml:space="preserve">Trace each constant, driver, lookup, condition, factor and rounding operation. Reject missing drivers and cross-currency arithmetic unless an explicit FX node/record is supplied.</w:t>
      </w:r>
    </w:p>
    <w:bookmarkEnd w:id="138"/>
    <w:bookmarkStart w:id="139" w:name="tests-13"/>
    <w:p>
      <w:pPr>
        <w:pStyle w:val="Heading2"/>
      </w:pPr>
      <w:r>
        <w:t xml:space="preserve">Tests</w:t>
      </w:r>
    </w:p>
    <w:p>
      <w:pPr>
        <w:pStyle w:val="FirstParagraph"/>
      </w:pPr>
      <w:r>
        <w:t xml:space="preserve">Golden formulas, boundary bands, rounding, malicious expressions, excessive recursion, deterministic replay, division/invalid decimal if supported, missing lookup, wrong types and same inputs producing byte-identical trace/hash.</w:t>
      </w:r>
    </w:p>
    <w:p>
      <w:r>
        <w:pict>
          <v:rect style="width:0;height:1.5pt" o:hralign="center" o:hrstd="t" o:hr="t"/>
        </w:pict>
      </w:r>
    </w:p>
    <w:bookmarkEnd w:id="139"/>
    <w:bookmarkEnd w:id="140"/>
    <w:bookmarkStart w:id="145" w:name="Xad7eb4927c0156f5b9b91d97f69223d988b27f2"/>
    <w:p>
      <w:pPr>
        <w:pStyle w:val="Heading1"/>
      </w:pPr>
      <w:r>
        <w:t xml:space="preserve">EEC-17 — Price evidence, vendor price cards and publication</w:t>
      </w:r>
    </w:p>
    <w:bookmarkStart w:id="141" w:name="objective-17"/>
    <w:p>
      <w:pPr>
        <w:pStyle w:val="Heading2"/>
      </w:pPr>
      <w:r>
        <w:t xml:space="preserve">Objective</w:t>
      </w:r>
    </w:p>
    <w:p>
      <w:pPr>
        <w:pStyle w:val="FirstParagraph"/>
      </w:pPr>
      <w:r>
        <w:t xml:space="preserve">Turn quotes/rate cards/benchmarks into governed time-bounded knowledge.</w:t>
      </w:r>
    </w:p>
    <w:bookmarkEnd w:id="141"/>
    <w:bookmarkStart w:id="142" w:name="records"/>
    <w:p>
      <w:pPr>
        <w:pStyle w:val="Heading2"/>
      </w:pPr>
      <w:r>
        <w:t xml:space="preserve">Records</w:t>
      </w:r>
    </w:p>
    <w:p>
      <w:pPr>
        <w:pStyle w:val="FirstParagraph"/>
      </w:pPr>
      <w:r>
        <w:t xml:space="preserve">Implement</w:t>
      </w:r>
      <w:r>
        <w:t xml:space="preserve"> </w:t>
      </w:r>
      <w:r>
        <w:rPr>
          <w:rStyle w:val="VerbatimChar"/>
        </w:rPr>
        <w:t xml:space="preserve">PriceEvidence</w:t>
      </w:r>
      <w:r>
        <w:t xml:space="preserve">,</w:t>
      </w:r>
      <w:r>
        <w:t xml:space="preserve"> </w:t>
      </w:r>
      <w:r>
        <w:rPr>
          <w:rStyle w:val="VerbatimChar"/>
        </w:rPr>
        <w:t xml:space="preserve">VendorPriceCardDraft/Edition</w:t>
      </w:r>
      <w:r>
        <w:t xml:space="preserve">, conditions, validity interval, currency, taxes/fees, minimums, volume bands, lead times, cancellation/repricing notes, source artefact and confidence.</w:t>
      </w:r>
    </w:p>
    <w:p>
      <w:pPr>
        <w:pStyle w:val="BodyText"/>
      </w:pPr>
      <w:r>
        <w:t xml:space="preserve">Link existing supplier/vendor concepts if present; do not create a parallel vendor master. Where no canonical vendor exists, keep a non-operational price-source label and record the future integration debt.</w:t>
      </w:r>
    </w:p>
    <w:p>
      <w:pPr>
        <w:pStyle w:val="BodyText"/>
      </w:pPr>
      <w:r>
        <w:t xml:space="preserve">Draft extraction—manual or AI—is a proposal. A different authorised checker publishes a price-card edition. Published editions are immutable. Expiry makes them stale, not deleted.</w:t>
      </w:r>
    </w:p>
    <w:bookmarkEnd w:id="142"/>
    <w:bookmarkStart w:id="143" w:name="storage"/>
    <w:p>
      <w:pPr>
        <w:pStyle w:val="Heading2"/>
      </w:pPr>
      <w:r>
        <w:t xml:space="preserve">Storage</w:t>
      </w:r>
    </w:p>
    <w:p>
      <w:pPr>
        <w:pStyle w:val="FirstParagraph"/>
      </w:pPr>
      <w:r>
        <w:t xml:space="preserve">Use private object storage for quote artefacts with permission-safe retrieval, content-safety state, checksums and no public durable URL.</w:t>
      </w:r>
    </w:p>
    <w:bookmarkEnd w:id="143"/>
    <w:bookmarkStart w:id="144" w:name="tests-14"/>
    <w:p>
      <w:pPr>
        <w:pStyle w:val="Heading2"/>
      </w:pPr>
      <w:r>
        <w:t xml:space="preserve">Tests</w:t>
      </w:r>
    </w:p>
    <w:p>
      <w:pPr>
        <w:pStyle w:val="FirstParagraph"/>
      </w:pPr>
      <w:r>
        <w:t xml:space="preserve">Maker/checker, expiry, overlapping price cards, conditional bands, wrong supplier/org, privileged artefact denial, extraction mismatch and historical replay.</w:t>
      </w:r>
    </w:p>
    <w:p>
      <w:r>
        <w:pict>
          <v:rect style="width:0;height:1.5pt" o:hralign="center" o:hrstd="t" o:hr="t"/>
        </w:pict>
      </w:r>
    </w:p>
    <w:bookmarkEnd w:id="144"/>
    <w:bookmarkEnd w:id="145"/>
    <w:bookmarkStart w:id="149" w:name="Xc755cbd9916c1123e81abc5fc9a48e707827745"/>
    <w:p>
      <w:pPr>
        <w:pStyle w:val="Heading1"/>
      </w:pPr>
      <w:r>
        <w:t xml:space="preserve">EEC-18 — Market index, FX and locality knowledge</w:t>
      </w:r>
    </w:p>
    <w:bookmarkStart w:id="146" w:name="objective-18"/>
    <w:p>
      <w:pPr>
        <w:pStyle w:val="Heading2"/>
      </w:pPr>
      <w:r>
        <w:t xml:space="preserve">Objective</w:t>
      </w:r>
    </w:p>
    <w:p>
      <w:pPr>
        <w:pStyle w:val="FirstParagraph"/>
      </w:pPr>
      <w:r>
        <w:t xml:space="preserve">Model Nigerian volatility honestly without turning external data into truth automatically.</w:t>
      </w:r>
    </w:p>
    <w:bookmarkEnd w:id="146"/>
    <w:bookmarkStart w:id="147" w:name="records-1"/>
    <w:p>
      <w:pPr>
        <w:pStyle w:val="Heading2"/>
      </w:pPr>
      <w:r>
        <w:t xml:space="preserve">Records</w:t>
      </w:r>
    </w:p>
    <w:p>
      <w:pPr>
        <w:pStyle w:val="FirstParagraph"/>
      </w:pPr>
      <w:r>
        <w:t xml:space="preserve">Create</w:t>
      </w:r>
      <w:r>
        <w:t xml:space="preserve"> </w:t>
      </w:r>
      <w:r>
        <w:rPr>
          <w:rStyle w:val="VerbatimChar"/>
        </w:rPr>
        <w:t xml:space="preserve">MarketIndexDefinition</w:t>
      </w:r>
      <w:r>
        <w:t xml:space="preserve">,</w:t>
      </w:r>
      <w:r>
        <w:t xml:space="preserve"> </w:t>
      </w:r>
      <w:r>
        <w:rPr>
          <w:rStyle w:val="VerbatimChar"/>
        </w:rPr>
        <w:t xml:space="preserve">MarketIndexObservation</w:t>
      </w:r>
      <w:r>
        <w:t xml:space="preserve">,</w:t>
      </w:r>
      <w:r>
        <w:t xml:space="preserve"> </w:t>
      </w:r>
      <w:r>
        <w:rPr>
          <w:rStyle w:val="VerbatimChar"/>
        </w:rPr>
        <w:t xml:space="preserve">LocationCostZoneEdition</w:t>
      </w:r>
      <w:r>
        <w:t xml:space="preserve"> </w:t>
      </w:r>
      <w:r>
        <w:t xml:space="preserve">and</w:t>
      </w:r>
      <w:r>
        <w:t xml:space="preserve"> </w:t>
      </w:r>
      <w:r>
        <w:rPr>
          <w:rStyle w:val="VerbatimChar"/>
        </w:rPr>
        <w:t xml:space="preserve">SeasonWindowEdition</w:t>
      </w:r>
      <w:r>
        <w:t xml:space="preserve">. Observations carry source, observed/effective/retrieved timestamps, unit, approval state and freshness rule.</w:t>
      </w:r>
    </w:p>
    <w:p>
      <w:pPr>
        <w:pStyle w:val="BodyText"/>
      </w:pPr>
      <w:r>
        <w:t xml:space="preserve">Support NGN plus explicit foreign currencies, locked vs indicative FX, imported-cost exposure, fuel/power/logistics sensitivity and peak windows. Location factors describe costs/access conditions, never client demographics.</w:t>
      </w:r>
    </w:p>
    <w:p>
      <w:pPr>
        <w:pStyle w:val="BodyText"/>
      </w:pPr>
      <w:r>
        <w:t xml:space="preserve">External provider interface remains disabled until separately configured. Manual approved observations must support complete operation. Last approved stale observation may be shown but not silently treated as current.</w:t>
      </w:r>
    </w:p>
    <w:bookmarkEnd w:id="147"/>
    <w:bookmarkStart w:id="148" w:name="tests-15"/>
    <w:p>
      <w:pPr>
        <w:pStyle w:val="Heading2"/>
      </w:pPr>
      <w:r>
        <w:t xml:space="preserve">Tests</w:t>
      </w:r>
    </w:p>
    <w:p>
      <w:pPr>
        <w:pStyle w:val="FirstParagraph"/>
      </w:pPr>
      <w:r>
        <w:t xml:space="preserve">Stale index, missing FX, inverted pair, locked rate replay, provider timeout, overlapping season windows, event date boundary and no auto-approval.</w:t>
      </w:r>
    </w:p>
    <w:p>
      <w:r>
        <w:pict>
          <v:rect style="width:0;height:1.5pt" o:hralign="center" o:hrstd="t" o:hr="t"/>
        </w:pict>
      </w:r>
    </w:p>
    <w:bookmarkEnd w:id="148"/>
    <w:bookmarkEnd w:id="149"/>
    <w:bookmarkStart w:id="153" w:name="X1635d4508746543773178823231e4716ebb85c8"/>
    <w:p>
      <w:pPr>
        <w:pStyle w:val="Heading1"/>
      </w:pPr>
      <w:r>
        <w:t xml:space="preserve">EEC-19 — Event Budget Template and conditional bill of materials</w:t>
      </w:r>
    </w:p>
    <w:bookmarkStart w:id="150" w:name="objective-19"/>
    <w:p>
      <w:pPr>
        <w:pStyle w:val="Heading2"/>
      </w:pPr>
      <w:r>
        <w:t xml:space="preserve">Objective</w:t>
      </w:r>
    </w:p>
    <w:p>
      <w:pPr>
        <w:pStyle w:val="FirstParagraph"/>
      </w:pPr>
      <w:r>
        <w:t xml:space="preserve">Build reusable event cost architecture without rigid packages.</w:t>
      </w:r>
    </w:p>
    <w:bookmarkEnd w:id="150"/>
    <w:bookmarkStart w:id="151" w:name="template-edition"/>
    <w:p>
      <w:pPr>
        <w:pStyle w:val="Heading2"/>
      </w:pPr>
      <w:r>
        <w:t xml:space="preserve">Template edition</w:t>
      </w:r>
    </w:p>
    <w:p>
      <w:pPr>
        <w:pStyle w:val="FirstParagraph"/>
      </w:pPr>
      <w:r>
        <w:t xml:space="preserve">Each immutable template edition defines event archetype, applicable scope, candidate cost items, inclusion predicates, quantity-driver mappings, default price basis priority, protected-item flags and omission risks.</w:t>
      </w:r>
    </w:p>
    <w:p>
      <w:pPr>
        <w:pStyle w:val="BodyText"/>
      </w:pPr>
      <w:r>
        <w:t xml:space="preserve">Initial synthetic templates should cover representative wedding/traditional wedding, private dinner, corporate gala/conference, chieftaincy/cultural ceremony and compressed premium event. They are planning seeds, not market claims.</w:t>
      </w:r>
    </w:p>
    <w:p>
      <w:pPr>
        <w:pStyle w:val="BodyText"/>
      </w:pPr>
      <w:r>
        <w:t xml:space="preserve">Template instantiation produces a draft BOM tied to exact Event Brief and assumption hashes. Staff can include/exclude/replace lines with a reason and authority. Excluding protected safety/legal/power/accessibility lines creates an explicit risk/approval requirement.</w:t>
      </w:r>
    </w:p>
    <w:bookmarkEnd w:id="151"/>
    <w:bookmarkStart w:id="152" w:name="tests-16"/>
    <w:p>
      <w:pPr>
        <w:pStyle w:val="Heading2"/>
      </w:pPr>
      <w:r>
        <w:t xml:space="preserve">Tests</w:t>
      </w:r>
    </w:p>
    <w:p>
      <w:pPr>
        <w:pStyle w:val="FirstParagraph"/>
      </w:pPr>
      <w:r>
        <w:t xml:space="preserve">Applicability, no duplicate line, mutually exclusive alternatives, unresolved driver, protected exclusion, event-type overlays, template supersession and old-budget reproducibility.</w:t>
      </w:r>
    </w:p>
    <w:p>
      <w:r>
        <w:pict>
          <v:rect style="width:0;height:1.5pt" o:hralign="center" o:hrstd="t" o:hr="t"/>
        </w:pict>
      </w:r>
    </w:p>
    <w:bookmarkEnd w:id="152"/>
    <w:bookmarkEnd w:id="153"/>
    <w:bookmarkStart w:id="157" w:name="Xba0eb6a72e05702033d70f695f45a5d90c3754a"/>
    <w:p>
      <w:pPr>
        <w:pStyle w:val="Heading1"/>
      </w:pPr>
      <w:r>
        <w:t xml:space="preserve">EEC-20 — Budget assumption service and Brief adapters</w:t>
      </w:r>
    </w:p>
    <w:bookmarkStart w:id="154" w:name="objective-20"/>
    <w:p>
      <w:pPr>
        <w:pStyle w:val="Heading2"/>
      </w:pPr>
      <w:r>
        <w:t xml:space="preserve">Objective</w:t>
      </w:r>
    </w:p>
    <w:p>
      <w:pPr>
        <w:pStyle w:val="FirstParagraph"/>
      </w:pPr>
      <w:r>
        <w:t xml:space="preserve">Translate confirmed Event Brief intelligence into explicit calculation inputs.</w:t>
      </w:r>
    </w:p>
    <w:bookmarkEnd w:id="154"/>
    <w:bookmarkStart w:id="155" w:name="adapters"/>
    <w:p>
      <w:pPr>
        <w:pStyle w:val="Heading2"/>
      </w:pPr>
      <w:r>
        <w:t xml:space="preserve">Adapters</w:t>
      </w:r>
    </w:p>
    <w:p>
      <w:pPr>
        <w:pStyle w:val="FirstParagraph"/>
      </w:pPr>
      <w:r>
        <w:t xml:space="preserve">Create read-only adapters for guest assumptions, event dates/duration, location/venue status, programme scope, service level, cultural requirements, travel/accommodation, accessibility and client value priorities. Do not read arbitrary brief prose inside the calculator.</w:t>
      </w:r>
    </w:p>
    <w:p>
      <w:pPr>
        <w:pStyle w:val="BodyText"/>
      </w:pPr>
      <w:r>
        <w:t xml:space="preserve">Every</w:t>
      </w:r>
      <w:r>
        <w:t xml:space="preserve"> </w:t>
      </w:r>
      <w:r>
        <w:rPr>
          <w:rStyle w:val="VerbatimChar"/>
        </w:rPr>
        <w:t xml:space="preserve">BudgetAssumption</w:t>
      </w:r>
      <w:r>
        <w:t xml:space="preserve"> </w:t>
      </w:r>
      <w:r>
        <w:t xml:space="preserve">records value, unit, source assertion/record, confidence, effective time and whether it is confirmed or scenario-specific. A brief change marks dependent assumptions stale; it does not overwrite them.</w:t>
      </w:r>
    </w:p>
    <w:p>
      <w:pPr>
        <w:pStyle w:val="BodyText"/>
      </w:pPr>
      <w:r>
        <w:t xml:space="preserve">Provide a missing-driver queue and materiality estimate. Staff may add a manual assumption with reason and expiry, clearly differentiated from confirmed truth.</w:t>
      </w:r>
    </w:p>
    <w:bookmarkEnd w:id="155"/>
    <w:bookmarkStart w:id="156" w:name="tests-17"/>
    <w:p>
      <w:pPr>
        <w:pStyle w:val="Heading2"/>
      </w:pPr>
      <w:r>
        <w:t xml:space="preserve">Tests</w:t>
      </w:r>
    </w:p>
    <w:p>
      <w:pPr>
        <w:pStyle w:val="FirstParagraph"/>
      </w:pPr>
      <w:r>
        <w:t xml:space="preserve">Guest target vs maximum, multi-ceremony scoping, unknown venue, manual assumption expiry, changed brief hash, phase counts not summed, cross-event source rejection and no mutation of source domain.</w:t>
      </w:r>
    </w:p>
    <w:p>
      <w:r>
        <w:pict>
          <v:rect style="width:0;height:1.5pt" o:hralign="center" o:hrstd="t" o:hr="t"/>
        </w:pict>
      </w:r>
    </w:p>
    <w:bookmarkEnd w:id="156"/>
    <w:bookmarkEnd w:id="157"/>
    <w:bookmarkStart w:id="161" w:name="Xe34b45cba376b5e0d07e304120a4f233f151014"/>
    <w:p>
      <w:pPr>
        <w:pStyle w:val="Heading1"/>
      </w:pPr>
      <w:r>
        <w:t xml:space="preserve">EEC-21 — Budget calculation and materialisation engine</w:t>
      </w:r>
    </w:p>
    <w:bookmarkStart w:id="158" w:name="objective-21"/>
    <w:p>
      <w:pPr>
        <w:pStyle w:val="Heading2"/>
      </w:pPr>
      <w:r>
        <w:t xml:space="preserve">Objective</w:t>
      </w:r>
    </w:p>
    <w:p>
      <w:pPr>
        <w:pStyle w:val="FirstParagraph"/>
      </w:pPr>
      <w:r>
        <w:t xml:space="preserve">Calculate low/expected/high line and aggregate results with complete provenance.</w:t>
      </w:r>
    </w:p>
    <w:bookmarkEnd w:id="158"/>
    <w:bookmarkStart w:id="159" w:name="pipeline"/>
    <w:p>
      <w:pPr>
        <w:pStyle w:val="Heading2"/>
      </w:pPr>
      <w:r>
        <w:t xml:space="preserve">Pipeline</w:t>
      </w:r>
    </w:p>
    <w:p>
      <w:pPr>
        <w:numPr>
          <w:ilvl w:val="0"/>
          <w:numId w:val="1033"/>
        </w:numPr>
        <w:pStyle w:val="Compact"/>
      </w:pPr>
      <w:r>
        <w:t xml:space="preserve">bind exact template, taxonomy, rule, price-card/index, brief and assumption editions;</w:t>
      </w:r>
    </w:p>
    <w:p>
      <w:pPr>
        <w:numPr>
          <w:ilvl w:val="0"/>
          <w:numId w:val="1033"/>
        </w:numPr>
        <w:pStyle w:val="Compact"/>
      </w:pPr>
      <w:r>
        <w:t xml:space="preserve">determine line inclusion state;</w:t>
      </w:r>
    </w:p>
    <w:p>
      <w:pPr>
        <w:numPr>
          <w:ilvl w:val="0"/>
          <w:numId w:val="1033"/>
        </w:numPr>
        <w:pStyle w:val="Compact"/>
      </w:pPr>
      <w:r>
        <w:t xml:space="preserve">compute quantity;</w:t>
      </w:r>
    </w:p>
    <w:p>
      <w:pPr>
        <w:numPr>
          <w:ilvl w:val="0"/>
          <w:numId w:val="1033"/>
        </w:numPr>
        <w:pStyle w:val="Compact"/>
      </w:pPr>
      <w:r>
        <w:t xml:space="preserve">select price basis using explicit priority;</w:t>
      </w:r>
    </w:p>
    <w:p>
      <w:pPr>
        <w:numPr>
          <w:ilvl w:val="0"/>
          <w:numId w:val="1033"/>
        </w:numPr>
        <w:pStyle w:val="Compact"/>
      </w:pPr>
      <w:r>
        <w:t xml:space="preserve">evaluate rule/range;</w:t>
      </w:r>
    </w:p>
    <w:p>
      <w:pPr>
        <w:numPr>
          <w:ilvl w:val="0"/>
          <w:numId w:val="1033"/>
        </w:numPr>
        <w:pStyle w:val="Compact"/>
      </w:pPr>
      <w:r>
        <w:t xml:space="preserve">apply approved FX/index and taxes/fees;</w:t>
      </w:r>
    </w:p>
    <w:p>
      <w:pPr>
        <w:numPr>
          <w:ilvl w:val="0"/>
          <w:numId w:val="1033"/>
        </w:numPr>
        <w:pStyle w:val="Compact"/>
      </w:pPr>
      <w:r>
        <w:t xml:space="preserve">apply line/category uncertainty;</w:t>
      </w:r>
    </w:p>
    <w:p>
      <w:pPr>
        <w:numPr>
          <w:ilvl w:val="0"/>
          <w:numId w:val="1033"/>
        </w:numPr>
        <w:pStyle w:val="Compact"/>
      </w:pPr>
      <w:r>
        <w:t xml:space="preserve">calculate contingency without double counting;</w:t>
      </w:r>
    </w:p>
    <w:p>
      <w:pPr>
        <w:numPr>
          <w:ilvl w:val="0"/>
          <w:numId w:val="1033"/>
        </w:numPr>
        <w:pStyle w:val="Compact"/>
      </w:pPr>
      <w:r>
        <w:t xml:space="preserve">aggregate only compatible currencies or explicit conversions;</w:t>
      </w:r>
    </w:p>
    <w:p>
      <w:pPr>
        <w:numPr>
          <w:ilvl w:val="0"/>
          <w:numId w:val="1033"/>
        </w:numPr>
        <w:pStyle w:val="Compact"/>
      </w:pPr>
      <w:r>
        <w:t xml:space="preserve">persist immutable result and trace hashes.</w:t>
      </w:r>
    </w:p>
    <w:p>
      <w:pPr>
        <w:pStyle w:val="FirstParagraph"/>
      </w:pPr>
      <w:r>
        <w:t xml:space="preserve">Calculation status:</w:t>
      </w:r>
      <w:r>
        <w:t xml:space="preserve"> </w:t>
      </w:r>
      <w:r>
        <w:rPr>
          <w:rStyle w:val="VerbatimChar"/>
        </w:rPr>
        <w:t xml:space="preserve">COMPLETE</w:t>
      </w:r>
      <w:r>
        <w:t xml:space="preserve">,</w:t>
      </w:r>
      <w:r>
        <w:t xml:space="preserve"> </w:t>
      </w:r>
      <w:r>
        <w:rPr>
          <w:rStyle w:val="VerbatimChar"/>
        </w:rPr>
        <w:t xml:space="preserve">PARTIAL</w:t>
      </w:r>
      <w:r>
        <w:t xml:space="preserve">,</w:t>
      </w:r>
      <w:r>
        <w:t xml:space="preserve"> </w:t>
      </w:r>
      <w:r>
        <w:rPr>
          <w:rStyle w:val="VerbatimChar"/>
        </w:rPr>
        <w:t xml:space="preserve">BLOCKED</w:t>
      </w:r>
      <w:r>
        <w:t xml:space="preserve">,</w:t>
      </w:r>
      <w:r>
        <w:t xml:space="preserve"> </w:t>
      </w:r>
      <w:r>
        <w:rPr>
          <w:rStyle w:val="VerbatimChar"/>
        </w:rPr>
        <w:t xml:space="preserve">STALE</w:t>
      </w:r>
      <w:r>
        <w:t xml:space="preserve">. A total with unresolved material lines must not be represented as complete.</w:t>
      </w:r>
    </w:p>
    <w:p>
      <w:pPr>
        <w:pStyle w:val="BodyText"/>
      </w:pPr>
      <w:r>
        <w:t xml:space="preserve">Use a pure engine function separated from persistence. Persist only after successful full validation inside a durable transaction.</w:t>
      </w:r>
    </w:p>
    <w:bookmarkEnd w:id="159"/>
    <w:bookmarkStart w:id="160" w:name="tests-18"/>
    <w:p>
      <w:pPr>
        <w:pStyle w:val="Heading2"/>
      </w:pPr>
      <w:r>
        <w:t xml:space="preserve">Tests</w:t>
      </w:r>
    </w:p>
    <w:p>
      <w:pPr>
        <w:pStyle w:val="FirstParagraph"/>
      </w:pPr>
      <w:r>
        <w:t xml:space="preserve">400→450 guest sensitivity, fixed vs per-head costs, per-hour minimum, volume band, taxes, explicit FX, stale price, missing line, contingency, deterministic replay, overflow and storage failure/no false success.</w:t>
      </w:r>
    </w:p>
    <w:p>
      <w:r>
        <w:pict>
          <v:rect style="width:0;height:1.5pt" o:hralign="center" o:hrstd="t" o:hr="t"/>
        </w:pict>
      </w:r>
    </w:p>
    <w:bookmarkEnd w:id="160"/>
    <w:bookmarkEnd w:id="161"/>
    <w:bookmarkStart w:id="165" w:name="X2c4d28e3476b0a26588088d7a870e7c6f4d9ad2"/>
    <w:p>
      <w:pPr>
        <w:pStyle w:val="Heading1"/>
      </w:pPr>
      <w:r>
        <w:t xml:space="preserve">EEC-22 — Scenario and ambition-investment alignment engine</w:t>
      </w:r>
    </w:p>
    <w:bookmarkStart w:id="162" w:name="objective-22"/>
    <w:p>
      <w:pPr>
        <w:pStyle w:val="Heading2"/>
      </w:pPr>
      <w:r>
        <w:t xml:space="preserve">Objective</w:t>
      </w:r>
    </w:p>
    <w:p>
      <w:pPr>
        <w:pStyle w:val="FirstParagraph"/>
      </w:pPr>
      <w:r>
        <w:t xml:space="preserve">Produce advisory trade-offs, not sales packages.</w:t>
      </w:r>
    </w:p>
    <w:bookmarkEnd w:id="162"/>
    <w:bookmarkStart w:id="163" w:name="scenario-purposes"/>
    <w:p>
      <w:pPr>
        <w:pStyle w:val="Heading2"/>
      </w:pPr>
      <w:r>
        <w:t xml:space="preserve">Scenario purposes</w:t>
      </w:r>
    </w:p>
    <w:p>
      <w:pPr>
        <w:pStyle w:val="FirstParagraph"/>
      </w:pPr>
      <w:r>
        <w:rPr>
          <w:rStyle w:val="VerbatimChar"/>
        </w:rPr>
        <w:t xml:space="preserve">PROTECT_INVESTMENT</w:t>
      </w:r>
      <w:r>
        <w:t xml:space="preserve">,</w:t>
      </w:r>
      <w:r>
        <w:t xml:space="preserve"> </w:t>
      </w:r>
      <w:r>
        <w:rPr>
          <w:rStyle w:val="VerbatimChar"/>
        </w:rPr>
        <w:t xml:space="preserve">PROTECT_PRIORITIES</w:t>
      </w:r>
      <w:r>
        <w:t xml:space="preserve">,</w:t>
      </w:r>
      <w:r>
        <w:t xml:space="preserve"> </w:t>
      </w:r>
      <w:r>
        <w:rPr>
          <w:rStyle w:val="VerbatimChar"/>
        </w:rPr>
        <w:t xml:space="preserve">PROTECT_FULL_BRIEF</w:t>
      </w:r>
      <w:r>
        <w:t xml:space="preserve">,</w:t>
      </w:r>
      <w:r>
        <w:t xml:space="preserve"> </w:t>
      </w:r>
      <w:r>
        <w:rPr>
          <w:rStyle w:val="VerbatimChar"/>
        </w:rPr>
        <w:t xml:space="preserve">MAISON_RECOMMENDED</w:t>
      </w:r>
      <w:r>
        <w:t xml:space="preserve">,</w:t>
      </w:r>
      <w:r>
        <w:t xml:space="preserve"> </w:t>
      </w:r>
      <w:r>
        <w:rPr>
          <w:rStyle w:val="VerbatimChar"/>
        </w:rPr>
        <w:t xml:space="preserve">CLIENT_ALTERNATIVE</w:t>
      </w:r>
      <w:r>
        <w:t xml:space="preserve">.</w:t>
      </w:r>
    </w:p>
    <w:p>
      <w:pPr>
        <w:pStyle w:val="BodyText"/>
      </w:pPr>
      <w:r>
        <w:t xml:space="preserve">Each scenario is an immutable set of included/excluded/substituted lines and assumptions over a calculation hash. Preserve non-negotiables and expose every compromise. Calculate marginal cost, affected client priority and evidence confidence.</w:t>
      </w:r>
    </w:p>
    <w:p>
      <w:pPr>
        <w:pStyle w:val="BodyText"/>
      </w:pPr>
      <w:r>
        <w:t xml:space="preserve">Alignment results:</w:t>
      </w:r>
      <w:r>
        <w:t xml:space="preserve"> </w:t>
      </w:r>
      <w:r>
        <w:rPr>
          <w:rStyle w:val="VerbatimChar"/>
        </w:rPr>
        <w:t xml:space="preserve">INSUFFICIENT_INFORMATION</w:t>
      </w:r>
      <w:r>
        <w:t xml:space="preserve">,</w:t>
      </w:r>
      <w:r>
        <w:t xml:space="preserve"> </w:t>
      </w:r>
      <w:r>
        <w:rPr>
          <w:rStyle w:val="VerbatimChar"/>
        </w:rPr>
        <w:t xml:space="preserve">ALIGNED</w:t>
      </w:r>
      <w:r>
        <w:t xml:space="preserve">,</w:t>
      </w:r>
      <w:r>
        <w:t xml:space="preserve"> </w:t>
      </w:r>
      <w:r>
        <w:rPr>
          <w:rStyle w:val="VerbatimChar"/>
        </w:rPr>
        <w:t xml:space="preserve">PRESSURED</w:t>
      </w:r>
      <w:r>
        <w:t xml:space="preserve">,</w:t>
      </w:r>
      <w:r>
        <w:t xml:space="preserve"> </w:t>
      </w:r>
      <w:r>
        <w:rPr>
          <w:rStyle w:val="VerbatimChar"/>
        </w:rPr>
        <w:t xml:space="preserve">MISALIGNED</w:t>
      </w:r>
      <w:r>
        <w:t xml:space="preserve">,</w:t>
      </w:r>
      <w:r>
        <w:t xml:space="preserve"> </w:t>
      </w:r>
      <w:r>
        <w:rPr>
          <w:rStyle w:val="VerbatimChar"/>
        </w:rPr>
        <w:t xml:space="preserve">SURPLUS_CAPACITY</w:t>
      </w:r>
      <w:r>
        <w:t xml:space="preserve">,</w:t>
      </w:r>
      <w:r>
        <w:t xml:space="preserve"> </w:t>
      </w:r>
      <w:r>
        <w:rPr>
          <w:rStyle w:val="VerbatimChar"/>
        </w:rPr>
        <w:t xml:space="preserve">STALE</w:t>
      </w:r>
      <w:r>
        <w:t xml:space="preserve">. The engine may identify surplus capacity and recommend HOLD; it must never fill the envelope automatically.</w:t>
      </w:r>
    </w:p>
    <w:p>
      <w:pPr>
        <w:pStyle w:val="BodyText"/>
      </w:pPr>
      <w:r>
        <w:t xml:space="preserve">AI may draft narrative explanations from deterministic results but cannot change line selection or amounts.</w:t>
      </w:r>
    </w:p>
    <w:bookmarkEnd w:id="163"/>
    <w:bookmarkStart w:id="164" w:name="tests-19"/>
    <w:p>
      <w:pPr>
        <w:pStyle w:val="Heading2"/>
      </w:pPr>
      <w:r>
        <w:t xml:space="preserve">Tests</w:t>
      </w:r>
    </w:p>
    <w:p>
      <w:pPr>
        <w:pStyle w:val="FirstParagraph"/>
      </w:pPr>
      <w:r>
        <w:t xml:space="preserve">Hard ceiling, working target, starting hypothesis, no budget disclosed, lower-spend recommendation, protected priorities, full-brief overage, optional enhancement and stale scenario after price/rule/brief change.</w:t>
      </w:r>
    </w:p>
    <w:p>
      <w:r>
        <w:pict>
          <v:rect style="width:0;height:1.5pt" o:hralign="center" o:hrstd="t" o:hr="t"/>
        </w:pict>
      </w:r>
    </w:p>
    <w:bookmarkEnd w:id="164"/>
    <w:bookmarkEnd w:id="165"/>
    <w:bookmarkStart w:id="169" w:name="Xc5da37c0f524d2376d5619e7bc3a9756832654e"/>
    <w:p>
      <w:pPr>
        <w:pStyle w:val="Heading1"/>
      </w:pPr>
      <w:r>
        <w:t xml:space="preserve">EEC-23 — Budget recommendation, approval and financial-state separation</w:t>
      </w:r>
    </w:p>
    <w:bookmarkStart w:id="166" w:name="objective-23"/>
    <w:p>
      <w:pPr>
        <w:pStyle w:val="Heading2"/>
      </w:pPr>
      <w:r>
        <w:t xml:space="preserve">Objective</w:t>
      </w:r>
    </w:p>
    <w:p>
      <w:pPr>
        <w:pStyle w:val="FirstParagraph"/>
      </w:pPr>
      <w:r>
        <w:t xml:space="preserve">Create formal Maison Doclar advice while keeping financial meanings separate.</w:t>
      </w:r>
    </w:p>
    <w:bookmarkEnd w:id="166"/>
    <w:bookmarkStart w:id="167" w:name="records-and-authority"/>
    <w:p>
      <w:pPr>
        <w:pStyle w:val="Heading2"/>
      </w:pPr>
      <w:r>
        <w:t xml:space="preserve">Records and authority</w:t>
      </w:r>
    </w:p>
    <w:p>
      <w:pPr>
        <w:pStyle w:val="FirstParagraph"/>
      </w:pPr>
      <w:r>
        <w:t xml:space="preserve">Implement immutable</w:t>
      </w:r>
      <w:r>
        <w:t xml:space="preserve"> </w:t>
      </w:r>
      <w:r>
        <w:rPr>
          <w:rStyle w:val="VerbatimChar"/>
        </w:rPr>
        <w:t xml:space="preserve">BudgetRecommendationEdition</w:t>
      </w:r>
      <w:r>
        <w:t xml:space="preserve"> </w:t>
      </w:r>
      <w:r>
        <w:t xml:space="preserve">binding scenario hashes, assumptions, advice,</w:t>
      </w:r>
      <w:r>
        <w:t xml:space="preserve"> </w:t>
      </w:r>
      <w:r>
        <w:t xml:space="preserve">“</w:t>
      </w:r>
      <w:r>
        <w:t xml:space="preserve">do not spend</w:t>
      </w:r>
      <w:r>
        <w:t xml:space="preserve">”</w:t>
      </w:r>
      <w:r>
        <w:t xml:space="preserve"> </w:t>
      </w:r>
      <w:r>
        <w:t xml:space="preserve">positions, risks and client decision request. Require submit/decide/publish with exact-hash maker/checker.</w:t>
      </w:r>
    </w:p>
    <w:p>
      <w:pPr>
        <w:pStyle w:val="BodyText"/>
      </w:pPr>
      <w:r>
        <w:t xml:space="preserve">Implement append-only</w:t>
      </w:r>
      <w:r>
        <w:t xml:space="preserve"> </w:t>
      </w:r>
      <w:r>
        <w:rPr>
          <w:rStyle w:val="VerbatimChar"/>
        </w:rPr>
        <w:t xml:space="preserve">FinancialStateDeclaration</w:t>
      </w:r>
      <w:r>
        <w:t xml:space="preserve"> </w:t>
      </w:r>
      <w:r>
        <w:t xml:space="preserve">for</w:t>
      </w:r>
      <w:r>
        <w:t xml:space="preserve"> </w:t>
      </w:r>
      <w:r>
        <w:rPr>
          <w:rStyle w:val="VerbatimChar"/>
        </w:rPr>
        <w:t xml:space="preserve">ENVELOPE</w:t>
      </w:r>
      <w:r>
        <w:t xml:space="preserve">,</w:t>
      </w:r>
      <w:r>
        <w:t xml:space="preserve"> </w:t>
      </w:r>
      <w:r>
        <w:rPr>
          <w:rStyle w:val="VerbatimChar"/>
        </w:rPr>
        <w:t xml:space="preserve">COMMITTED</w:t>
      </w:r>
      <w:r>
        <w:t xml:space="preserve">,</w:t>
      </w:r>
      <w:r>
        <w:t xml:space="preserve"> </w:t>
      </w:r>
      <w:r>
        <w:rPr>
          <w:rStyle w:val="VerbatimChar"/>
        </w:rPr>
        <w:t xml:space="preserve">PAID</w:t>
      </w:r>
      <w:r>
        <w:t xml:space="preserve">,</w:t>
      </w:r>
      <w:r>
        <w:t xml:space="preserve"> </w:t>
      </w:r>
      <w:r>
        <w:rPr>
          <w:rStyle w:val="VerbatimChar"/>
        </w:rPr>
        <w:t xml:space="preserve">FORECAST</w:t>
      </w:r>
      <w:r>
        <w:t xml:space="preserve">,</w:t>
      </w:r>
      <w:r>
        <w:t xml:space="preserve"> </w:t>
      </w:r>
      <w:r>
        <w:rPr>
          <w:rStyle w:val="VerbatimChar"/>
        </w:rPr>
        <w:t xml:space="preserve">CASH_REQUIREMENT</w:t>
      </w:r>
      <w:r>
        <w:t xml:space="preserve">. Each requires basis/evidence/confidence and must be visually and structurally distinct. A quote is not committed; an invoice is not paid; a forecast is not an envelope.</w:t>
      </w:r>
    </w:p>
    <w:p>
      <w:pPr>
        <w:pStyle w:val="BodyText"/>
      </w:pPr>
      <w:r>
        <w:t xml:space="preserve">No payment APIs, bank details, receipts or financial instruments.</w:t>
      </w:r>
    </w:p>
    <w:bookmarkEnd w:id="167"/>
    <w:bookmarkStart w:id="168" w:name="tests-20"/>
    <w:p>
      <w:pPr>
        <w:pStyle w:val="Heading2"/>
      </w:pPr>
      <w:r>
        <w:t xml:space="preserve">Tests</w:t>
      </w:r>
    </w:p>
    <w:p>
      <w:pPr>
        <w:pStyle w:val="FirstParagraph"/>
      </w:pPr>
      <w:r>
        <w:t xml:space="preserve">Misclassification rejection, self-approval, stale scenario decision, supersession, idempotent publication, client projection, auditor projection and no accounting/payment side effect.</w:t>
      </w:r>
    </w:p>
    <w:p>
      <w:r>
        <w:pict>
          <v:rect style="width:0;height:1.5pt" o:hralign="center" o:hrstd="t" o:hr="t"/>
        </w:pict>
      </w:r>
    </w:p>
    <w:bookmarkEnd w:id="168"/>
    <w:bookmarkEnd w:id="169"/>
    <w:bookmarkStart w:id="174" w:name="eec-24-planner-budget-studio-frontend"/>
    <w:p>
      <w:pPr>
        <w:pStyle w:val="Heading1"/>
      </w:pPr>
      <w:r>
        <w:t xml:space="preserve">EEC-24 — Planner Budget Studio frontend</w:t>
      </w:r>
    </w:p>
    <w:bookmarkStart w:id="170" w:name="objective-24"/>
    <w:p>
      <w:pPr>
        <w:pStyle w:val="Heading2"/>
      </w:pPr>
      <w:r>
        <w:t xml:space="preserve">Objective</w:t>
      </w:r>
    </w:p>
    <w:p>
      <w:pPr>
        <w:pStyle w:val="FirstParagraph"/>
      </w:pPr>
      <w:r>
        <w:t xml:space="preserve">Create a powerful internal tool without exposing engine complexity indiscriminately.</w:t>
      </w:r>
    </w:p>
    <w:bookmarkEnd w:id="170"/>
    <w:bookmarkStart w:id="171" w:name="information-architecture"/>
    <w:p>
      <w:pPr>
        <w:pStyle w:val="Heading2"/>
      </w:pPr>
      <w:r>
        <w:t xml:space="preserve">Information architecture</w:t>
      </w:r>
    </w:p>
    <w:p>
      <w:pPr>
        <w:numPr>
          <w:ilvl w:val="0"/>
          <w:numId w:val="1034"/>
        </w:numPr>
        <w:pStyle w:val="Compact"/>
      </w:pPr>
      <w:r>
        <w:t xml:space="preserve">context bar: brief/budget edition, calculation freshness and role;</w:t>
      </w:r>
    </w:p>
    <w:p>
      <w:pPr>
        <w:numPr>
          <w:ilvl w:val="0"/>
          <w:numId w:val="1034"/>
        </w:numPr>
        <w:pStyle w:val="Compact"/>
      </w:pPr>
      <w:r>
        <w:t xml:space="preserve">assumptions rail: value, source, confidence and unresolved/stale filters;</w:t>
      </w:r>
    </w:p>
    <w:p>
      <w:pPr>
        <w:numPr>
          <w:ilvl w:val="0"/>
          <w:numId w:val="1034"/>
        </w:numPr>
        <w:pStyle w:val="Compact"/>
      </w:pPr>
      <w:r>
        <w:t xml:space="preserve">category tree: totals/ranges and material warnings;</w:t>
      </w:r>
    </w:p>
    <w:p>
      <w:pPr>
        <w:numPr>
          <w:ilvl w:val="0"/>
          <w:numId w:val="1034"/>
        </w:numPr>
        <w:pStyle w:val="Compact"/>
      </w:pPr>
      <w:r>
        <w:t xml:space="preserve">line table on desktop, labelled cards on mobile;</w:t>
      </w:r>
    </w:p>
    <w:p>
      <w:pPr>
        <w:numPr>
          <w:ilvl w:val="0"/>
          <w:numId w:val="1034"/>
        </w:numPr>
        <w:pStyle w:val="Compact"/>
      </w:pPr>
      <w:r>
        <w:t xml:space="preserve">line detail drawer: inclusion reason, quantity, price basis and calculation trace;</w:t>
      </w:r>
    </w:p>
    <w:p>
      <w:pPr>
        <w:numPr>
          <w:ilvl w:val="0"/>
          <w:numId w:val="1034"/>
        </w:numPr>
        <w:pStyle w:val="Compact"/>
      </w:pPr>
      <w:r>
        <w:t xml:space="preserve">scenario workspace: side-by-side deltas, not colour alone;</w:t>
      </w:r>
    </w:p>
    <w:p>
      <w:pPr>
        <w:numPr>
          <w:ilvl w:val="0"/>
          <w:numId w:val="1034"/>
        </w:numPr>
        <w:pStyle w:val="Compact"/>
      </w:pPr>
      <w:r>
        <w:t xml:space="preserve">alignment panel: envelope meaning, forecast, capacity/misalignment and recommendations;</w:t>
      </w:r>
    </w:p>
    <w:p>
      <w:pPr>
        <w:numPr>
          <w:ilvl w:val="0"/>
          <w:numId w:val="1034"/>
        </w:numPr>
        <w:pStyle w:val="Compact"/>
      </w:pPr>
      <w:r>
        <w:t xml:space="preserve">governance panel: submit/decision/publication history.</w:t>
      </w:r>
    </w:p>
    <w:p>
      <w:pPr>
        <w:pStyle w:val="FirstParagraph"/>
      </w:pPr>
      <w:r>
        <w:t xml:space="preserve">Do not render thousands of calculation trace nodes by default. Use progressive disclosure with exact evidence downloadable/viewable by authorised staff.</w:t>
      </w:r>
    </w:p>
    <w:bookmarkEnd w:id="171"/>
    <w:bookmarkStart w:id="172" w:name="interaction-rules"/>
    <w:p>
      <w:pPr>
        <w:pStyle w:val="Heading2"/>
      </w:pPr>
      <w:r>
        <w:t xml:space="preserve">Interaction rules</w:t>
      </w:r>
    </w:p>
    <w:p>
      <w:pPr>
        <w:pStyle w:val="FirstParagraph"/>
      </w:pPr>
      <w:r>
        <w:t xml:space="preserve">Recalculation must show saving/calculating state and never display rejected changes as saved. Debounce preview only; durable save is explicit or visibly acknowledged. Stale results lock publication and provide a direct recovery action.</w:t>
      </w:r>
    </w:p>
    <w:bookmarkEnd w:id="172"/>
    <w:bookmarkStart w:id="173" w:name="tests-21"/>
    <w:p>
      <w:pPr>
        <w:pStyle w:val="Heading2"/>
      </w:pPr>
      <w:r>
        <w:t xml:space="preserve">Tests</w:t>
      </w:r>
    </w:p>
    <w:p>
      <w:pPr>
        <w:pStyle w:val="FirstParagraph"/>
      </w:pPr>
      <w:r>
        <w:t xml:space="preserve">Keyboard line/scenario editing, screen-reader range labels, NGN formatting, long names, filters, stale conflict, permission variants, 360/tablet/desktop/200%, reduced motion, no horizontal document scroll and truthful disabled prerequisites.</w:t>
      </w:r>
    </w:p>
    <w:p>
      <w:r>
        <w:pict>
          <v:rect style="width:0;height:1.5pt" o:hralign="center" o:hrstd="t" o:hr="t"/>
        </w:pict>
      </w:r>
    </w:p>
    <w:bookmarkEnd w:id="173"/>
    <w:bookmarkEnd w:id="174"/>
    <w:bookmarkStart w:id="180" w:name="Xc2e845c2aa8174b86cdbb2b63957b6833b3df09"/>
    <w:p>
      <w:pPr>
        <w:pStyle w:val="Heading1"/>
      </w:pPr>
      <w:r>
        <w:t xml:space="preserve">EEC-25 — CEO Investment Command and client budget view</w:t>
      </w:r>
    </w:p>
    <w:bookmarkStart w:id="175" w:name="objective-25"/>
    <w:p>
      <w:pPr>
        <w:pStyle w:val="Heading2"/>
      </w:pPr>
      <w:r>
        <w:t xml:space="preserve">Objective</w:t>
      </w:r>
    </w:p>
    <w:p>
      <w:pPr>
        <w:pStyle w:val="FirstParagraph"/>
      </w:pPr>
      <w:r>
        <w:t xml:space="preserve">Project the same governed budget truth at appropriate levels.</w:t>
      </w:r>
    </w:p>
    <w:bookmarkEnd w:id="175"/>
    <w:bookmarkStart w:id="176" w:name="ceo-view"/>
    <w:p>
      <w:pPr>
        <w:pStyle w:val="Heading2"/>
      </w:pPr>
      <w:r>
        <w:t xml:space="preserve">CEO view</w:t>
      </w:r>
    </w:p>
    <w:p>
      <w:pPr>
        <w:pStyle w:val="FirstParagraph"/>
      </w:pPr>
      <w:r>
        <w:t xml:space="preserve">Show envelope and meaning, recommended forecast range, unallocated capacity/misalignment, committed/paid/forecast distinctions, next cash window, material variance drivers, stale evidence, decisions and explicit restraint advice. Every headline links to evidence; no false green status.</w:t>
      </w:r>
    </w:p>
    <w:bookmarkEnd w:id="176"/>
    <w:bookmarkStart w:id="177" w:name="client-view"/>
    <w:p>
      <w:pPr>
        <w:pStyle w:val="Heading2"/>
      </w:pPr>
      <w:r>
        <w:t xml:space="preserve">Client view</w:t>
      </w:r>
    </w:p>
    <w:p>
      <w:pPr>
        <w:pStyle w:val="FirstParagraph"/>
      </w:pPr>
      <w:r>
        <w:t xml:space="preserve">Show calm range, protected/optimised areas, major category ranges, assumptions, exclusions, optional enhancements and pending decisions. Hide internal margins, vendor reliability notes, staff discussion, raw rule AST and unauthorised comparisons.</w:t>
      </w:r>
    </w:p>
    <w:p>
      <w:pPr>
        <w:pStyle w:val="BodyText"/>
      </w:pPr>
      <w:r>
        <w:t xml:space="preserve">Use narrative and restrained charts only where they materially improve comprehension. Accessible tables/text equivalents are mandatory.</w:t>
      </w:r>
    </w:p>
    <w:bookmarkEnd w:id="177"/>
    <w:bookmarkStart w:id="178" w:name="tests-22"/>
    <w:p>
      <w:pPr>
        <w:pStyle w:val="Heading2"/>
      </w:pPr>
      <w:r>
        <w:t xml:space="preserve">Tests</w:t>
      </w:r>
    </w:p>
    <w:p>
      <w:pPr>
        <w:pStyle w:val="FirstParagraph"/>
      </w:pPr>
      <w:r>
        <w:t xml:space="preserve">CEO vs Planner vs Auditor vs Client projections, direct-object access, exact totals matching same scenario, confidential line masking, mobile/zoom/keyboard and HOLD recommendation clarity.</w:t>
      </w:r>
    </w:p>
    <w:bookmarkEnd w:id="178"/>
    <w:bookmarkStart w:id="179" w:name="milestone-b-exit-gate"/>
    <w:p>
      <w:pPr>
        <w:pStyle w:val="Heading2"/>
      </w:pPr>
      <w:r>
        <w:t xml:space="preserve">Milestone B exit gate</w:t>
      </w:r>
    </w:p>
    <w:p>
      <w:pPr>
        <w:pStyle w:val="FirstParagraph"/>
      </w:pPr>
      <w:r>
        <w:t xml:space="preserve">Run focused Budget Engine unit/property tests, shared-platform full tests, Event OS unit/build, migration replay, programme validation,</w:t>
      </w:r>
      <w:r>
        <w:t xml:space="preserve"> </w:t>
      </w:r>
      <w:r>
        <w:rPr>
          <w:rStyle w:val="VerbatimChar"/>
        </w:rPr>
        <w:t xml:space="preserve">git diff --check</w:t>
      </w:r>
      <w:r>
        <w:t xml:space="preserve"> </w:t>
      </w:r>
      <w:r>
        <w:t xml:space="preserve">and local Playwright for brief conversion plus complete budget journey. Report benchmark performance for large synthetic BOMs and calculation-trace size. Stop for AI CTO review before roadmap/change/AI work if money determinism, authority or client projection cannot be proven.</w:t>
      </w:r>
    </w:p>
    <w:bookmarkEnd w:id="179"/>
    <w:bookmarkEnd w:id="180"/>
    <w:bookmarkStart w:id="182" w:name="eos-s05a-detailed-cursor-prompt-pack-2"/>
    <w:p>
      <w:pPr>
        <w:pStyle w:val="Heading1"/>
      </w:pPr>
      <w:r>
        <w:t xml:space="preserve">EOS-S05A — Detailed Cursor Prompt Pack</w:t>
      </w:r>
    </w:p>
    <w:bookmarkStart w:id="181" w:name="Xe9b166d22f12cc40dacad64cb4770fedea9beac"/>
    <w:p>
      <w:pPr>
        <w:pStyle w:val="Heading2"/>
      </w:pPr>
      <w:r>
        <w:t xml:space="preserve">Volume C — Roadmap, Change, Conversational AI and Experience</w:t>
      </w:r>
    </w:p>
    <w:p>
      <w:pPr>
        <w:pStyle w:val="FirstParagraph"/>
      </w:pPr>
      <w:r>
        <w:t xml:space="preserve">Status:</w:t>
      </w:r>
      <w:r>
        <w:t xml:space="preserve"> </w:t>
      </w:r>
      <w:r>
        <w:rPr>
          <w:bCs/>
          <w:b/>
        </w:rPr>
        <w:t xml:space="preserve">CEO REVIEW DRAFT — NOT IMPLEMENTATION AUTHORITY</w:t>
      </w:r>
      <w:r>
        <w:br/>
      </w:r>
      <w:r>
        <w:t xml:space="preserve">Prompts:</w:t>
      </w:r>
      <w:r>
        <w:t xml:space="preserve"> </w:t>
      </w:r>
      <w:r>
        <w:rPr>
          <w:rStyle w:val="VerbatimChar"/>
        </w:rPr>
        <w:t xml:space="preserve">EEC-26</w:t>
      </w:r>
      <w:r>
        <w:t xml:space="preserve">–</w:t>
      </w:r>
      <w:r>
        <w:rPr>
          <w:rStyle w:val="VerbatimChar"/>
        </w:rPr>
        <w:t xml:space="preserve">EEC-40</w:t>
      </w:r>
      <w:r>
        <w:br/>
      </w:r>
      <w:r>
        <w:t xml:space="preserve">Inheritance: every global law and code convention in Volume A applies.</w:t>
      </w:r>
    </w:p>
    <w:p>
      <w:r>
        <w:pict>
          <v:rect style="width:0;height:1.5pt" o:hralign="center" o:hrstd="t" o:hr="t"/>
        </w:pict>
      </w:r>
    </w:p>
    <w:bookmarkEnd w:id="181"/>
    <w:bookmarkEnd w:id="182"/>
    <w:bookmarkStart w:id="186" w:name="X4e8ec0129a953f47ef2e0bff36d8aa6fd9ff751"/>
    <w:p>
      <w:pPr>
        <w:pStyle w:val="Heading1"/>
      </w:pPr>
      <w:r>
        <w:t xml:space="preserve">EEC-26 — Roadmap domain, milestones and immutable editions</w:t>
      </w:r>
    </w:p>
    <w:bookmarkStart w:id="183" w:name="objective-26"/>
    <w:p>
      <w:pPr>
        <w:pStyle w:val="Heading2"/>
      </w:pPr>
      <w:r>
        <w:t xml:space="preserve">Objective</w:t>
      </w:r>
    </w:p>
    <w:p>
      <w:pPr>
        <w:pStyle w:val="FirstParagraph"/>
      </w:pPr>
      <w:r>
        <w:t xml:space="preserve">Define the roadmap as readiness outcomes, not a task list.</w:t>
      </w:r>
    </w:p>
    <w:bookmarkEnd w:id="183"/>
    <w:bookmarkStart w:id="184" w:name="types-1"/>
    <w:p>
      <w:pPr>
        <w:pStyle w:val="Heading2"/>
      </w:pPr>
      <w:r>
        <w:t xml:space="preserve">Types</w:t>
      </w:r>
    </w:p>
    <w:p>
      <w:pPr>
        <w:pStyle w:val="SourceCode"/>
      </w:pPr>
      <w:r>
        <w:rPr>
          <w:rStyle w:val="KeywordTok"/>
        </w:rPr>
        <w:t xml:space="preserve">type</w:t>
      </w:r>
      <w:r>
        <w:rPr>
          <w:rStyle w:val="NormalTok"/>
        </w:rPr>
        <w:t xml:space="preserve"> MilestoneLayer </w:t>
      </w:r>
      <w:r>
        <w:rPr>
          <w:rStyle w:val="OperatorTok"/>
        </w:rPr>
        <w:t xml:space="preserve">=</w:t>
      </w:r>
      <w:r>
        <w:rPr>
          <w:rStyle w:val="NormalTok"/>
        </w:rPr>
        <w:t xml:space="preserve"> </w:t>
      </w:r>
      <w:r>
        <w:rPr>
          <w:rStyle w:val="StringTok"/>
        </w:rPr>
        <w:t xml:space="preserve">"CLIENT_OUTCOME"</w:t>
      </w:r>
      <w:r>
        <w:rPr>
          <w:rStyle w:val="NormalTok"/>
        </w:rPr>
        <w:t xml:space="preserve"> </w:t>
      </w:r>
      <w:r>
        <w:rPr>
          <w:rStyle w:val="OperatorTok"/>
        </w:rPr>
        <w:t xml:space="preserve">|</w:t>
      </w:r>
      <w:r>
        <w:rPr>
          <w:rStyle w:val="NormalTok"/>
        </w:rPr>
        <w:t xml:space="preserve"> </w:t>
      </w:r>
      <w:r>
        <w:rPr>
          <w:rStyle w:val="StringTok"/>
        </w:rPr>
        <w:t xml:space="preserve">"OPERATIONAL_READINESS"</w:t>
      </w:r>
      <w:r>
        <w:rPr>
          <w:rStyle w:val="NormalTok"/>
        </w:rPr>
        <w:t xml:space="preserve"> </w:t>
      </w:r>
      <w:r>
        <w:rPr>
          <w:rStyle w:val="OperatorTok"/>
        </w:rPr>
        <w:t xml:space="preserve">|</w:t>
      </w:r>
      <w:r>
        <w:rPr>
          <w:rStyle w:val="NormalTok"/>
        </w:rPr>
        <w:t xml:space="preserve"> </w:t>
      </w:r>
      <w:r>
        <w:rPr>
          <w:rStyle w:val="StringTok"/>
        </w:rPr>
        <w:t xml:space="preserve">"DECISION"</w:t>
      </w:r>
      <w:r>
        <w:rPr>
          <w:rStyle w:val="OperatorTok"/>
        </w:rPr>
        <w:t xml:space="preserve">;</w:t>
      </w:r>
      <w:r>
        <w:br/>
      </w:r>
      <w:r>
        <w:rPr>
          <w:rStyle w:val="KeywordTok"/>
        </w:rPr>
        <w:t xml:space="preserve">type</w:t>
      </w:r>
      <w:r>
        <w:rPr>
          <w:rStyle w:val="NormalTok"/>
        </w:rPr>
        <w:t xml:space="preserve"> RoadmapConfidence </w:t>
      </w:r>
      <w:r>
        <w:rPr>
          <w:rStyle w:val="OperatorTok"/>
        </w:rPr>
        <w:t xml:space="preserve">=</w:t>
      </w:r>
      <w:r>
        <w:rPr>
          <w:rStyle w:val="NormalTok"/>
        </w:rPr>
        <w:t xml:space="preserve"> </w:t>
      </w:r>
      <w:r>
        <w:rPr>
          <w:rStyle w:val="StringTok"/>
        </w:rPr>
        <w:t xml:space="preserve">"CONFIRMED"</w:t>
      </w:r>
      <w:r>
        <w:rPr>
          <w:rStyle w:val="NormalTok"/>
        </w:rPr>
        <w:t xml:space="preserve"> </w:t>
      </w:r>
      <w:r>
        <w:rPr>
          <w:rStyle w:val="OperatorTok"/>
        </w:rPr>
        <w:t xml:space="preserve">|</w:t>
      </w:r>
      <w:r>
        <w:rPr>
          <w:rStyle w:val="NormalTok"/>
        </w:rPr>
        <w:t xml:space="preserve"> </w:t>
      </w:r>
      <w:r>
        <w:rPr>
          <w:rStyle w:val="StringTok"/>
        </w:rPr>
        <w:t xml:space="preserve">"FORECAST"</w:t>
      </w:r>
      <w:r>
        <w:rPr>
          <w:rStyle w:val="NormalTok"/>
        </w:rPr>
        <w:t xml:space="preserve"> </w:t>
      </w:r>
      <w:r>
        <w:rPr>
          <w:rStyle w:val="OperatorTok"/>
        </w:rPr>
        <w:t xml:space="preserve">|</w:t>
      </w:r>
      <w:r>
        <w:rPr>
          <w:rStyle w:val="NormalTok"/>
        </w:rPr>
        <w:t xml:space="preserve"> </w:t>
      </w:r>
      <w:r>
        <w:rPr>
          <w:rStyle w:val="StringTok"/>
        </w:rPr>
        <w:t xml:space="preserve">"PROVISIONAL"</w:t>
      </w:r>
      <w:r>
        <w:rPr>
          <w:rStyle w:val="NormalTok"/>
        </w:rPr>
        <w:t xml:space="preserve"> </w:t>
      </w:r>
      <w:r>
        <w:rPr>
          <w:rStyle w:val="OperatorTok"/>
        </w:rPr>
        <w:t xml:space="preserve">|</w:t>
      </w:r>
      <w:r>
        <w:rPr>
          <w:rStyle w:val="NormalTok"/>
        </w:rPr>
        <w:t xml:space="preserve"> </w:t>
      </w:r>
      <w:r>
        <w:rPr>
          <w:rStyle w:val="StringTok"/>
        </w:rPr>
        <w:t xml:space="preserve">"AT_RISK"</w:t>
      </w:r>
      <w:r>
        <w:rPr>
          <w:rStyle w:val="NormalTok"/>
        </w:rPr>
        <w:t xml:space="preserve"> </w:t>
      </w:r>
      <w:r>
        <w:rPr>
          <w:rStyle w:val="OperatorTok"/>
        </w:rPr>
        <w:t xml:space="preserve">|</w:t>
      </w:r>
      <w:r>
        <w:rPr>
          <w:rStyle w:val="NormalTok"/>
        </w:rPr>
        <w:t xml:space="preserve"> </w:t>
      </w:r>
      <w:r>
        <w:rPr>
          <w:rStyle w:val="StringTok"/>
        </w:rPr>
        <w:t xml:space="preserve">"BLOCKED"</w:t>
      </w:r>
      <w:r>
        <w:rPr>
          <w:rStyle w:val="OperatorTok"/>
        </w:rPr>
        <w:t xml:space="preserve">;</w:t>
      </w:r>
      <w:r>
        <w:br/>
      </w:r>
      <w:r>
        <w:rPr>
          <w:rStyle w:val="KeywordTok"/>
        </w:rPr>
        <w:t xml:space="preserve">type</w:t>
      </w:r>
      <w:r>
        <w:rPr>
          <w:rStyle w:val="NormalTok"/>
        </w:rPr>
        <w:t xml:space="preserve"> DependencyKind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"FINISH_TO_START"</w:t>
      </w:r>
      <w:r>
        <w:rPr>
          <w:rStyle w:val="NormalTok"/>
        </w:rPr>
        <w:t xml:space="preserve"> </w:t>
      </w:r>
      <w:r>
        <w:rPr>
          <w:rStyle w:val="OperatorTok"/>
        </w:rPr>
        <w:t xml:space="preserve">|</w:t>
      </w:r>
      <w:r>
        <w:rPr>
          <w:rStyle w:val="NormalTok"/>
        </w:rPr>
        <w:t xml:space="preserve"> </w:t>
      </w:r>
      <w:r>
        <w:rPr>
          <w:rStyle w:val="StringTok"/>
        </w:rPr>
        <w:t xml:space="preserve">"START_TO_START"</w:t>
      </w:r>
      <w:r>
        <w:rPr>
          <w:rStyle w:val="NormalTok"/>
        </w:rPr>
        <w:t xml:space="preserve"> </w:t>
      </w:r>
      <w:r>
        <w:rPr>
          <w:rStyle w:val="OperatorTok"/>
        </w:rPr>
        <w:t xml:space="preserve">|</w:t>
      </w:r>
      <w:r>
        <w:rPr>
          <w:rStyle w:val="NormalTok"/>
        </w:rPr>
        <w:t xml:space="preserve"> </w:t>
      </w:r>
      <w:r>
        <w:rPr>
          <w:rStyle w:val="StringTok"/>
        </w:rPr>
        <w:t xml:space="preserve">"DECISION_GATES"</w:t>
      </w:r>
      <w:r>
        <w:br/>
      </w:r>
      <w:r>
        <w:rPr>
          <w:rStyle w:val="NormalTok"/>
        </w:rPr>
        <w:t xml:space="preserve">  </w:t>
      </w:r>
      <w:r>
        <w:rPr>
          <w:rStyle w:val="OperatorTok"/>
        </w:rPr>
        <w:t xml:space="preserve">|</w:t>
      </w:r>
      <w:r>
        <w:rPr>
          <w:rStyle w:val="NormalTok"/>
        </w:rPr>
        <w:t xml:space="preserve"> </w:t>
      </w:r>
      <w:r>
        <w:rPr>
          <w:rStyle w:val="StringTok"/>
        </w:rPr>
        <w:t xml:space="preserve">"EVIDENCE_GATES"</w:t>
      </w:r>
      <w:r>
        <w:rPr>
          <w:rStyle w:val="NormalTok"/>
        </w:rPr>
        <w:t xml:space="preserve"> </w:t>
      </w:r>
      <w:r>
        <w:rPr>
          <w:rStyle w:val="OperatorTok"/>
        </w:rPr>
        <w:t xml:space="preserve">|</w:t>
      </w:r>
      <w:r>
        <w:rPr>
          <w:rStyle w:val="NormalTok"/>
        </w:rPr>
        <w:t xml:space="preserve"> </w:t>
      </w:r>
      <w:r>
        <w:rPr>
          <w:rStyle w:val="StringTok"/>
        </w:rPr>
        <w:t xml:space="preserve">"FINANCIAL_GATES"</w:t>
      </w:r>
      <w:r>
        <w:rPr>
          <w:rStyle w:val="NormalTok"/>
        </w:rPr>
        <w:t xml:space="preserve"> </w:t>
      </w:r>
      <w:r>
        <w:rPr>
          <w:rStyle w:val="OperatorTok"/>
        </w:rPr>
        <w:t xml:space="preserve">|</w:t>
      </w:r>
      <w:r>
        <w:rPr>
          <w:rStyle w:val="NormalTok"/>
        </w:rPr>
        <w:t xml:space="preserve"> </w:t>
      </w:r>
      <w:r>
        <w:rPr>
          <w:rStyle w:val="StringTok"/>
        </w:rPr>
        <w:t xml:space="preserve">"SCOPE_DEPENDS_ON"</w:t>
      </w:r>
      <w:r>
        <w:rPr>
          <w:rStyle w:val="OperatorTok"/>
        </w:rPr>
        <w:t xml:space="preserve">;</w:t>
      </w:r>
    </w:p>
    <w:p>
      <w:pPr>
        <w:pStyle w:val="FirstParagraph"/>
      </w:pPr>
      <w:r>
        <w:t xml:space="preserve">Implement template and event-roadmap draft/edition records. A milestone contains achieved-state wording, layer, canonical programme phase/workstream, owner, forecast/target/latest-safe dates, confidence, evidence requirement, investment window, client visibility, delay consequence and optional buffer.</w:t>
      </w:r>
    </w:p>
    <w:p>
      <w:pPr>
        <w:pStyle w:val="BodyText"/>
      </w:pPr>
      <w:r>
        <w:t xml:space="preserve">Published editions are immutable and exact-hash superseded. Do not modify canonical Event phase from roadmap state.</w:t>
      </w:r>
    </w:p>
    <w:bookmarkEnd w:id="184"/>
    <w:bookmarkStart w:id="185" w:name="tests-23"/>
    <w:p>
      <w:pPr>
        <w:pStyle w:val="Heading2"/>
      </w:pPr>
      <w:r>
        <w:t xml:space="preserve">Tests</w:t>
      </w:r>
    </w:p>
    <w:p>
      <w:pPr>
        <w:pStyle w:val="FirstParagraph"/>
      </w:pPr>
      <w:r>
        <w:t xml:space="preserve">Invalid activity-style milestone warning, date ordering, unknown owner, immutable publication, phase association without count summation, client visibility and cross-event isolation.</w:t>
      </w:r>
    </w:p>
    <w:p>
      <w:r>
        <w:pict>
          <v:rect style="width:0;height:1.5pt" o:hralign="center" o:hrstd="t" o:hr="t"/>
        </w:pict>
      </w:r>
    </w:p>
    <w:bookmarkEnd w:id="185"/>
    <w:bookmarkEnd w:id="186"/>
    <w:bookmarkStart w:id="190" w:name="X0dd9ded32ed6440e81304c31fbf80f64e05145d"/>
    <w:p>
      <w:pPr>
        <w:pStyle w:val="Heading1"/>
      </w:pPr>
      <w:r>
        <w:t xml:space="preserve">EEC-27 — Governed roadmap templates and instantiation</w:t>
      </w:r>
    </w:p>
    <w:bookmarkStart w:id="187" w:name="objective-27"/>
    <w:p>
      <w:pPr>
        <w:pStyle w:val="Heading2"/>
      </w:pPr>
      <w:r>
        <w:t xml:space="preserve">Objective</w:t>
      </w:r>
    </w:p>
    <w:p>
      <w:pPr>
        <w:pStyle w:val="FirstParagraph"/>
      </w:pPr>
      <w:r>
        <w:t xml:space="preserve">Create reusable patterns that adapt without becoming static wedding checklists.</w:t>
      </w:r>
    </w:p>
    <w:bookmarkEnd w:id="187"/>
    <w:bookmarkStart w:id="188" w:name="requirements-1"/>
    <w:p>
      <w:pPr>
        <w:pStyle w:val="Heading2"/>
      </w:pPr>
      <w:r>
        <w:t xml:space="preserve">Requirements</w:t>
      </w:r>
    </w:p>
    <w:p>
      <w:pPr>
        <w:pStyle w:val="FirstParagraph"/>
      </w:pPr>
      <w:r>
        <w:t xml:space="preserve">Create versioned synthetic templates for long/standard/compressed lead modes and representative event types. Template rules define applicability, relative date windows, required evidence and dependency edges. Instantiation binds Event Brief, venue and investment hashes and records every default/override.</w:t>
      </w:r>
    </w:p>
    <w:p>
      <w:pPr>
        <w:pStyle w:val="BodyText"/>
      </w:pPr>
      <w:r>
        <w:t xml:space="preserve">Use explicit calendar/time-zone arithmetic. Do not assume all days are working days; add governed calendar constraints with safe defaults and visible unresolved state.</w:t>
      </w:r>
    </w:p>
    <w:p>
      <w:pPr>
        <w:pStyle w:val="BodyText"/>
      </w:pPr>
      <w:r>
        <w:t xml:space="preserve">Template updates do not mutate existing roadmaps. Provide comparison/adopt-as-new-edition workflow.</w:t>
      </w:r>
    </w:p>
    <w:bookmarkEnd w:id="188"/>
    <w:bookmarkStart w:id="189" w:name="tests-24"/>
    <w:p>
      <w:pPr>
        <w:pStyle w:val="Heading2"/>
      </w:pPr>
      <w:r>
        <w:t xml:space="preserve">Tests</w:t>
      </w:r>
    </w:p>
    <w:p>
      <w:pPr>
        <w:pStyle w:val="FirstParagraph"/>
      </w:pPr>
      <w:r>
        <w:t xml:space="preserve">Eighteen-month event with intentional deferrals, eight-week compression, multi-day/ceremony event, Lagos timezone/DST-safe general handling, event date change and template supersession.</w:t>
      </w:r>
    </w:p>
    <w:p>
      <w:r>
        <w:pict>
          <v:rect style="width:0;height:1.5pt" o:hralign="center" o:hrstd="t" o:hr="t"/>
        </w:pict>
      </w:r>
    </w:p>
    <w:bookmarkEnd w:id="189"/>
    <w:bookmarkEnd w:id="190"/>
    <w:bookmarkStart w:id="194" w:name="X5a6525efb622dc221924d313e4c97d16f1981d1"/>
    <w:p>
      <w:pPr>
        <w:pStyle w:val="Heading1"/>
      </w:pPr>
      <w:r>
        <w:t xml:space="preserve">EEC-28 — Dependency graph validation and deterministic critical path</w:t>
      </w:r>
    </w:p>
    <w:bookmarkStart w:id="191" w:name="objective-28"/>
    <w:p>
      <w:pPr>
        <w:pStyle w:val="Heading2"/>
      </w:pPr>
      <w:r>
        <w:t xml:space="preserve">Objective</w:t>
      </w:r>
    </w:p>
    <w:p>
      <w:pPr>
        <w:pStyle w:val="FirstParagraph"/>
      </w:pPr>
      <w:r>
        <w:t xml:space="preserve">Implement explainable graph reasoning.</w:t>
      </w:r>
    </w:p>
    <w:bookmarkEnd w:id="191"/>
    <w:bookmarkStart w:id="192" w:name="engine"/>
    <w:p>
      <w:pPr>
        <w:pStyle w:val="Heading2"/>
      </w:pPr>
      <w:r>
        <w:t xml:space="preserve">Engine</w:t>
      </w:r>
    </w:p>
    <w:p>
      <w:pPr>
        <w:pStyle w:val="FirstParagraph"/>
      </w:pPr>
      <w:r>
        <w:t xml:space="preserve">Represent nodes and typed edges in an acyclic directed graph. Validate missing nodes, self-loops, cycles, incompatible scope and impossible date constraints. Calculate earliest/latest dates, float/buffer and critical-path candidates using deterministic duration/calendar inputs.</w:t>
      </w:r>
    </w:p>
    <w:p>
      <w:pPr>
        <w:pStyle w:val="BodyText"/>
      </w:pPr>
      <w:r>
        <w:t xml:space="preserve">Do not label a path critical when required duration/evidence is unknown. Return</w:t>
      </w:r>
      <w:r>
        <w:t xml:space="preserve"> </w:t>
      </w:r>
      <w:r>
        <w:rPr>
          <w:rStyle w:val="VerbatimChar"/>
        </w:rPr>
        <w:t xml:space="preserve">INSUFFICIENT_INFORMATION</w:t>
      </w:r>
      <w:r>
        <w:t xml:space="preserve"> </w:t>
      </w:r>
      <w:r>
        <w:t xml:space="preserve">with missing inputs. Preserve multiple equal critical paths.</w:t>
      </w:r>
    </w:p>
    <w:p>
      <w:pPr>
        <w:pStyle w:val="SourceCode"/>
      </w:pPr>
      <w:r>
        <w:rPr>
          <w:rStyle w:val="KeywordTok"/>
        </w:rPr>
        <w:t xml:space="preserve">type</w:t>
      </w:r>
      <w:r>
        <w:rPr>
          <w:rStyle w:val="NormalTok"/>
        </w:rPr>
        <w:t xml:space="preserve"> CriticalPathResult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"CALCULATED"</w:t>
      </w:r>
      <w:r>
        <w:rPr>
          <w:rStyle w:val="NormalTok"/>
        </w:rPr>
        <w:t xml:space="preserve"> </w:t>
      </w:r>
      <w:r>
        <w:rPr>
          <w:rStyle w:val="OperatorTok"/>
        </w:rPr>
        <w:t xml:space="preserve">|</w:t>
      </w:r>
      <w:r>
        <w:rPr>
          <w:rStyle w:val="NormalTok"/>
        </w:rPr>
        <w:t xml:space="preserve"> </w:t>
      </w:r>
      <w:r>
        <w:rPr>
          <w:rStyle w:val="StringTok"/>
        </w:rPr>
        <w:t xml:space="preserve">"INSUFFICIENT_INFORMATION"</w:t>
      </w:r>
      <w:r>
        <w:rPr>
          <w:rStyle w:val="NormalTok"/>
        </w:rPr>
        <w:t xml:space="preserve"> </w:t>
      </w:r>
      <w:r>
        <w:rPr>
          <w:rStyle w:val="OperatorTok"/>
        </w:rPr>
        <w:t xml:space="preserve">|</w:t>
      </w:r>
      <w:r>
        <w:rPr>
          <w:rStyle w:val="NormalTok"/>
        </w:rPr>
        <w:t xml:space="preserve"> </w:t>
      </w:r>
      <w:r>
        <w:rPr>
          <w:rStyle w:val="StringTok"/>
        </w:rPr>
        <w:t xml:space="preserve">"INFEASIBLE"</w:t>
      </w:r>
      <w:r>
        <w:rPr>
          <w:rStyle w:val="OperatorTok"/>
        </w:rPr>
        <w:t xml:space="preserve">;</w:t>
      </w:r>
      <w:r>
        <w:br/>
      </w:r>
      <w:r>
        <w:rPr>
          <w:rStyle w:val="NormalTok"/>
        </w:rPr>
        <w:t xml:space="preserve">  milestoneIds</w:t>
      </w:r>
      <w:r>
        <w:rPr>
          <w:rStyle w:val="OperatorTok"/>
        </w:rPr>
        <w:t xml:space="preserve">:</w:t>
      </w:r>
      <w:r>
        <w:rPr>
          <w:rStyle w:val="NormalTok"/>
        </w:rPr>
        <w:t xml:space="preserve"> </w:t>
      </w:r>
      <w:r>
        <w:rPr>
          <w:rStyle w:val="KeywordTok"/>
        </w:rPr>
        <w:t xml:space="preserve">readonly</w:t>
      </w:r>
      <w:r>
        <w:rPr>
          <w:rStyle w:val="NormalTok"/>
        </w:rPr>
        <w:t xml:space="preserve"> MilestoneId[]</w:t>
      </w:r>
      <w:r>
        <w:rPr>
          <w:rStyle w:val="OperatorTok"/>
        </w:rPr>
        <w:t xml:space="preserve">;</w:t>
      </w:r>
      <w:r>
        <w:br/>
      </w:r>
      <w:r>
        <w:rPr>
          <w:rStyle w:val="NormalTok"/>
        </w:rPr>
        <w:t xml:space="preserve">  totalDurationDays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assumptions</w:t>
      </w:r>
      <w:r>
        <w:rPr>
          <w:rStyle w:val="OperatorTok"/>
        </w:rPr>
        <w:t xml:space="preserve">:</w:t>
      </w:r>
      <w:r>
        <w:rPr>
          <w:rStyle w:val="NormalTok"/>
        </w:rPr>
        <w:t xml:space="preserve"> </w:t>
      </w:r>
      <w:r>
        <w:rPr>
          <w:rStyle w:val="KeywordTok"/>
        </w:rPr>
        <w:t xml:space="preserve">readonly</w:t>
      </w:r>
      <w:r>
        <w:rPr>
          <w:rStyle w:val="NormalTok"/>
        </w:rPr>
        <w:t xml:space="preserve"> RoadmapAssumption[]</w:t>
      </w:r>
      <w:r>
        <w:rPr>
          <w:rStyle w:val="OperatorTok"/>
        </w:rPr>
        <w:t xml:space="preserve">;</w:t>
      </w:r>
      <w:r>
        <w:br/>
      </w:r>
      <w:r>
        <w:rPr>
          <w:rStyle w:val="NormalTok"/>
        </w:rPr>
        <w:t xml:space="preserve">  explanation</w:t>
      </w:r>
      <w:r>
        <w:rPr>
          <w:rStyle w:val="OperatorTok"/>
        </w:rPr>
        <w:t xml:space="preserve">:</w:t>
      </w:r>
      <w:r>
        <w:rPr>
          <w:rStyle w:val="NormalTok"/>
        </w:rPr>
        <w:t xml:space="preserve"> </w:t>
      </w:r>
      <w:r>
        <w:rPr>
          <w:rStyle w:val="KeywordTok"/>
        </w:rPr>
        <w:t xml:space="preserve">readonly</w:t>
      </w:r>
      <w:r>
        <w:rPr>
          <w:rStyle w:val="NormalTok"/>
        </w:rPr>
        <w:t xml:space="preserve"> PathTraceStep[]</w:t>
      </w:r>
      <w:r>
        <w:rPr>
          <w:rStyle w:val="OperatorTok"/>
        </w:rPr>
        <w:t xml:space="preserve">;</w:t>
      </w:r>
      <w:r>
        <w:br/>
      </w:r>
      <w:r>
        <w:rPr>
          <w:rStyle w:val="NormalTok"/>
        </w:rPr>
        <w:t xml:space="preserve">  inputHash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p>
    <w:bookmarkEnd w:id="192"/>
    <w:bookmarkStart w:id="193" w:name="tests-25"/>
    <w:p>
      <w:pPr>
        <w:pStyle w:val="Heading2"/>
      </w:pPr>
      <w:r>
        <w:t xml:space="preserve">Tests</w:t>
      </w:r>
    </w:p>
    <w:p>
      <w:pPr>
        <w:pStyle w:val="FirstParagraph"/>
      </w:pPr>
      <w:r>
        <w:t xml:space="preserve">Golden DAGs, two critical paths, buffer changes, cycle rejection, unknown duration, decision-gate delay, venue dependency cascade, deterministic replay and large-graph performance.</w:t>
      </w:r>
    </w:p>
    <w:p>
      <w:r>
        <w:pict>
          <v:rect style="width:0;height:1.5pt" o:hralign="center" o:hrstd="t" o:hr="t"/>
        </w:pict>
      </w:r>
    </w:p>
    <w:bookmarkEnd w:id="193"/>
    <w:bookmarkEnd w:id="194"/>
    <w:bookmarkStart w:id="197" w:name="Xd1278ba0ce97f98247b9ef276250c6b814c5720"/>
    <w:p>
      <w:pPr>
        <w:pStyle w:val="Heading1"/>
      </w:pPr>
      <w:r>
        <w:t xml:space="preserve">EEC-29 — Decision deadlines, financial windows and readiness</w:t>
      </w:r>
    </w:p>
    <w:bookmarkStart w:id="195" w:name="objective-29"/>
    <w:p>
      <w:pPr>
        <w:pStyle w:val="Heading2"/>
      </w:pPr>
      <w:r>
        <w:t xml:space="preserve">Objective</w:t>
      </w:r>
    </w:p>
    <w:p>
      <w:pPr>
        <w:pStyle w:val="FirstParagraph"/>
      </w:pPr>
      <w:r>
        <w:t xml:space="preserve">Connect decisions, money and readiness without collapsing their meanings.</w:t>
      </w:r>
    </w:p>
    <w:p>
      <w:pPr>
        <w:pStyle w:val="BodyText"/>
      </w:pPr>
      <w:r>
        <w:t xml:space="preserve">Create</w:t>
      </w:r>
      <w:r>
        <w:t xml:space="preserve"> </w:t>
      </w:r>
      <w:r>
        <w:rPr>
          <w:rStyle w:val="VerbatimChar"/>
        </w:rPr>
        <w:t xml:space="preserve">DecisionRequirement</w:t>
      </w:r>
      <w:r>
        <w:t xml:space="preserve"> </w:t>
      </w:r>
      <w:r>
        <w:t xml:space="preserve">with decision owner, recommended/latest-safe dates, authority source, consequence, alternatives and affected milestones. Connect indicative financial commitment windows to Budget scenario lines/declarations by reference; do not copy or convert them into paid/committed truth.</w:t>
      </w:r>
    </w:p>
    <w:p>
      <w:pPr>
        <w:pStyle w:val="BodyText"/>
      </w:pPr>
      <w:r>
        <w:t xml:space="preserve">Implement</w:t>
      </w:r>
      <w:r>
        <w:t xml:space="preserve"> </w:t>
      </w:r>
      <w:r>
        <w:rPr>
          <w:rStyle w:val="VerbatimChar"/>
        </w:rPr>
        <w:t xml:space="preserve">ReadinessAssessment</w:t>
      </w:r>
      <w:r>
        <w:t xml:space="preserve"> </w:t>
      </w:r>
      <w:r>
        <w:t xml:space="preserve">as immutable observation with status, critical milestones, overdue/latest-safe decisions, dependency health, investment alignment, owned risks and explanation. Task completion percentage may be supporting data only.</w:t>
      </w:r>
    </w:p>
    <w:bookmarkEnd w:id="195"/>
    <w:bookmarkStart w:id="196" w:name="tests-26"/>
    <w:p>
      <w:pPr>
        <w:pStyle w:val="Heading2"/>
      </w:pPr>
      <w:r>
        <w:t xml:space="preserve">Tests</w:t>
      </w:r>
    </w:p>
    <w:p>
      <w:pPr>
        <w:pStyle w:val="FirstParagraph"/>
      </w:pPr>
      <w:r>
        <w:t xml:space="preserve">95% tasks but venue blocked → not on track; harmless non-critical delay; cash window without commitment; expired client decision; unknown owner; stale budget link and honest recalculation.</w:t>
      </w:r>
    </w:p>
    <w:p>
      <w:r>
        <w:pict>
          <v:rect style="width:0;height:1.5pt" o:hralign="center" o:hrstd="t" o:hr="t"/>
        </w:pict>
      </w:r>
    </w:p>
    <w:bookmarkEnd w:id="196"/>
    <w:bookmarkEnd w:id="197"/>
    <w:bookmarkStart w:id="200" w:name="X891a1f449535a01fdc48a812faf7ae5f3746231"/>
    <w:p>
      <w:pPr>
        <w:pStyle w:val="Heading1"/>
      </w:pPr>
      <w:r>
        <w:t xml:space="preserve">EEC-30 — Short-lead compression and infeasibility engine</w:t>
      </w:r>
    </w:p>
    <w:bookmarkStart w:id="198" w:name="objective-30"/>
    <w:p>
      <w:pPr>
        <w:pStyle w:val="Heading2"/>
      </w:pPr>
      <w:r>
        <w:t xml:space="preserve">Objective</w:t>
      </w:r>
    </w:p>
    <w:p>
      <w:pPr>
        <w:pStyle w:val="FirstParagraph"/>
      </w:pPr>
      <w:r>
        <w:t xml:space="preserve">Turn short lead time into explicit parallel planning and risk rather than false reassurance.</w:t>
      </w:r>
    </w:p>
    <w:p>
      <w:pPr>
        <w:pStyle w:val="BodyText"/>
      </w:pPr>
      <w:r>
        <w:t xml:space="preserve">Define minimum dependency thresholds permitting controlled overlap. Generate proposed workstreams</w:t>
      </w:r>
      <w:r>
        <w:t xml:space="preserve"> </w:t>
      </w:r>
      <w:r>
        <w:rPr>
          <w:rStyle w:val="VerbatimChar"/>
        </w:rPr>
        <w:t xml:space="preserve">IMMEDIATE_PARALLEL</w:t>
      </w:r>
      <w:r>
        <w:t xml:space="preserve">,</w:t>
      </w:r>
      <w:r>
        <w:t xml:space="preserve"> </w:t>
      </w:r>
      <w:r>
        <w:rPr>
          <w:rStyle w:val="VerbatimChar"/>
        </w:rPr>
        <w:t xml:space="preserve">AFTER_MINIMUM_DEPENDENCY</w:t>
      </w:r>
      <w:r>
        <w:t xml:space="preserve">,</w:t>
      </w:r>
      <w:r>
        <w:t xml:space="preserve"> </w:t>
      </w:r>
      <w:r>
        <w:rPr>
          <w:rStyle w:val="VerbatimChar"/>
        </w:rPr>
        <w:t xml:space="preserve">LATER</w:t>
      </w:r>
      <w:r>
        <w:t xml:space="preserve">. Identify accelerated procurement, reduced choice, approval compression, resource collision and impossible latest-safe dates.</w:t>
      </w:r>
    </w:p>
    <w:p>
      <w:pPr>
        <w:pStyle w:val="BodyText"/>
      </w:pPr>
      <w:r>
        <w:t xml:space="preserve">The engine proposes a compressed roadmap and shows deviations from the standard template. It cannot waive safety, legal, authority or maker/checker gates. If constraints cannot be satisfied, status is</w:t>
      </w:r>
      <w:r>
        <w:t xml:space="preserve"> </w:t>
      </w:r>
      <w:r>
        <w:rPr>
          <w:rStyle w:val="VerbatimChar"/>
        </w:rPr>
        <w:t xml:space="preserve">INFEASIBLE</w:t>
      </w:r>
      <w:r>
        <w:t xml:space="preserve"> </w:t>
      </w:r>
      <w:r>
        <w:t xml:space="preserve">or</w:t>
      </w:r>
      <w:r>
        <w:t xml:space="preserve"> </w:t>
      </w:r>
      <w:r>
        <w:rPr>
          <w:rStyle w:val="VerbatimChar"/>
        </w:rPr>
        <w:t xml:space="preserve">REQUIRES_SCOPE_DECISION</w:t>
      </w:r>
      <w:r>
        <w:t xml:space="preserve">, never green.</w:t>
      </w:r>
    </w:p>
    <w:bookmarkEnd w:id="198"/>
    <w:bookmarkStart w:id="199" w:name="tests-27"/>
    <w:p>
      <w:pPr>
        <w:pStyle w:val="Heading2"/>
      </w:pPr>
      <w:r>
        <w:t xml:space="preserve">Tests</w:t>
      </w:r>
    </w:p>
    <w:p>
      <w:pPr>
        <w:pStyle w:val="FirstParagraph"/>
      </w:pPr>
      <w:r>
        <w:t xml:space="preserve">Eight-week event, unavailable venue, imported material lead time, late invitation, overlapping supplier work, protected gate, client unavailability and reduced-scope recovery.</w:t>
      </w:r>
    </w:p>
    <w:p>
      <w:r>
        <w:pict>
          <v:rect style="width:0;height:1.5pt" o:hralign="center" o:hrstd="t" o:hr="t"/>
        </w:pict>
      </w:r>
    </w:p>
    <w:bookmarkEnd w:id="199"/>
    <w:bookmarkEnd w:id="200"/>
    <w:bookmarkStart w:id="204" w:name="eec-31-planner-roadmap-studio-frontend"/>
    <w:p>
      <w:pPr>
        <w:pStyle w:val="Heading1"/>
      </w:pPr>
      <w:r>
        <w:t xml:space="preserve">EEC-31 — Planner Roadmap Studio frontend</w:t>
      </w:r>
    </w:p>
    <w:bookmarkStart w:id="201" w:name="objective-31"/>
    <w:p>
      <w:pPr>
        <w:pStyle w:val="Heading2"/>
      </w:pPr>
      <w:r>
        <w:t xml:space="preserve">Objective</w:t>
      </w:r>
    </w:p>
    <w:p>
      <w:pPr>
        <w:pStyle w:val="FirstParagraph"/>
      </w:pPr>
      <w:r>
        <w:t xml:space="preserve">Make dependencies and decisions operable without reproducing a project-management grid.</w:t>
      </w:r>
    </w:p>
    <w:bookmarkEnd w:id="201"/>
    <w:bookmarkStart w:id="202" w:name="page-structure-1"/>
    <w:p>
      <w:pPr>
        <w:pStyle w:val="Heading2"/>
      </w:pPr>
      <w:r>
        <w:t xml:space="preserve">Page structure</w:t>
      </w:r>
    </w:p>
    <w:p>
      <w:pPr>
        <w:numPr>
          <w:ilvl w:val="0"/>
          <w:numId w:val="1035"/>
        </w:numPr>
        <w:pStyle w:val="Compact"/>
      </w:pPr>
      <w:r>
        <w:t xml:space="preserve">executive strip: days, phase, readiness, next outcome/decision;</w:t>
      </w:r>
    </w:p>
    <w:p>
      <w:pPr>
        <w:numPr>
          <w:ilvl w:val="0"/>
          <w:numId w:val="1035"/>
        </w:numPr>
        <w:pStyle w:val="Compact"/>
      </w:pPr>
      <w:r>
        <w:t xml:space="preserve">timeline by meaningful workstream/phase;</w:t>
      </w:r>
    </w:p>
    <w:p>
      <w:pPr>
        <w:numPr>
          <w:ilvl w:val="0"/>
          <w:numId w:val="1035"/>
        </w:numPr>
        <w:pStyle w:val="Compact"/>
      </w:pPr>
      <w:r>
        <w:t xml:space="preserve">critical-path focus;</w:t>
      </w:r>
    </w:p>
    <w:p>
      <w:pPr>
        <w:numPr>
          <w:ilvl w:val="0"/>
          <w:numId w:val="1035"/>
        </w:numPr>
        <w:pStyle w:val="Compact"/>
      </w:pPr>
      <w:r>
        <w:t xml:space="preserve">milestone detail with evidence/dependencies/financial window;</w:t>
      </w:r>
    </w:p>
    <w:p>
      <w:pPr>
        <w:numPr>
          <w:ilvl w:val="0"/>
          <w:numId w:val="1035"/>
        </w:numPr>
        <w:pStyle w:val="Compact"/>
      </w:pPr>
      <w:r>
        <w:t xml:space="preserve">client-decision queue;</w:t>
      </w:r>
    </w:p>
    <w:p>
      <w:pPr>
        <w:numPr>
          <w:ilvl w:val="0"/>
          <w:numId w:val="1035"/>
        </w:numPr>
        <w:pStyle w:val="Compact"/>
      </w:pPr>
      <w:r>
        <w:t xml:space="preserve">risk and infeasibility panel;</w:t>
      </w:r>
    </w:p>
    <w:p>
      <w:pPr>
        <w:numPr>
          <w:ilvl w:val="0"/>
          <w:numId w:val="1035"/>
        </w:numPr>
        <w:pStyle w:val="Compact"/>
      </w:pPr>
      <w:r>
        <w:t xml:space="preserve">comparison/rebaseline history.</w:t>
      </w:r>
    </w:p>
    <w:p>
      <w:pPr>
        <w:pStyle w:val="FirstParagraph"/>
      </w:pPr>
      <w:r>
        <w:t xml:space="preserve">Provide list/table alternative to any graphical timeline. Dragging may adjust a draft only and must have keyboard equivalents, explicit save and CAS. Use text/pattern/icon plus colour. Do not place hundreds of tasks on the roadmap.</w:t>
      </w:r>
    </w:p>
    <w:bookmarkEnd w:id="202"/>
    <w:bookmarkStart w:id="203" w:name="tests-28"/>
    <w:p>
      <w:pPr>
        <w:pStyle w:val="Heading2"/>
      </w:pPr>
      <w:r>
        <w:t xml:space="preserve">Tests</w:t>
      </w:r>
    </w:p>
    <w:p>
      <w:pPr>
        <w:pStyle w:val="FirstParagraph"/>
      </w:pPr>
      <w:r>
        <w:t xml:space="preserve">Keyboard date/dependency editing, graph/list parity, focus after save, mobile stacked journey, 200% zoom, long milestone names, stale edit, prohibited rebaseline and no document overflow.</w:t>
      </w:r>
    </w:p>
    <w:p>
      <w:r>
        <w:pict>
          <v:rect style="width:0;height:1.5pt" o:hralign="center" o:hrstd="t" o:hr="t"/>
        </w:pict>
      </w:r>
    </w:p>
    <w:bookmarkEnd w:id="203"/>
    <w:bookmarkEnd w:id="204"/>
    <w:bookmarkStart w:id="207" w:name="eec-32-client-roadmap-frontend"/>
    <w:p>
      <w:pPr>
        <w:pStyle w:val="Heading1"/>
      </w:pPr>
      <w:r>
        <w:t xml:space="preserve">EEC-32 — Client Roadmap frontend</w:t>
      </w:r>
    </w:p>
    <w:bookmarkStart w:id="205" w:name="objective-32"/>
    <w:p>
      <w:pPr>
        <w:pStyle w:val="Heading2"/>
      </w:pPr>
      <w:r>
        <w:t xml:space="preserve">Objective</w:t>
      </w:r>
    </w:p>
    <w:p>
      <w:pPr>
        <w:pStyle w:val="FirstParagraph"/>
      </w:pPr>
      <w:r>
        <w:t xml:space="preserve">Give confidence without transferring operational complexity.</w:t>
      </w:r>
    </w:p>
    <w:p>
      <w:pPr>
        <w:pStyle w:val="BodyText"/>
      </w:pPr>
      <w:r>
        <w:t xml:space="preserve">Show</w:t>
      </w:r>
      <w:r>
        <w:t xml:space="preserve"> </w:t>
      </w:r>
      <w:r>
        <w:t xml:space="preserve">“</w:t>
      </w:r>
      <w:r>
        <w:t xml:space="preserve">You are here,</w:t>
      </w:r>
      <w:r>
        <w:t xml:space="preserve">”</w:t>
      </w:r>
      <w:r>
        <w:t xml:space="preserve"> </w:t>
      </w:r>
      <w:r>
        <w:t xml:space="preserve">next outcome/date, what Maison Doclar needs from the client, recommended/latest-safe decision date, consequence stated calmly, subsequent major outcomes, investment-range status and overall readiness explanation.</w:t>
      </w:r>
    </w:p>
    <w:p>
      <w:pPr>
        <w:pStyle w:val="BodyText"/>
      </w:pPr>
      <w:r>
        <w:t xml:space="preserve">Hide internal tasks, supplier negotiations, staff notes, restricted risk, raw graph and unauthorised investment details. Provide client confirmation/decision submission as proposals with receipts; no direct roadmap mutation.</w:t>
      </w:r>
    </w:p>
    <w:bookmarkEnd w:id="205"/>
    <w:bookmarkStart w:id="206" w:name="tests-29"/>
    <w:p>
      <w:pPr>
        <w:pStyle w:val="Heading2"/>
      </w:pPr>
      <w:r>
        <w:t xml:space="preserve">Tests</w:t>
      </w:r>
    </w:p>
    <w:p>
      <w:pPr>
        <w:pStyle w:val="FirstParagraph"/>
      </w:pPr>
      <w:r>
        <w:t xml:space="preserve">Separate session, expired access, decision submission, mobile/keyboard/screen reader, at-risk wording, no hidden-data DOM leakage and staff/client same milestone identity.</w:t>
      </w:r>
    </w:p>
    <w:p>
      <w:r>
        <w:pict>
          <v:rect style="width:0;height:1.5pt" o:hralign="center" o:hrstd="t" o:hr="t"/>
        </w:pict>
      </w:r>
    </w:p>
    <w:bookmarkEnd w:id="206"/>
    <w:bookmarkEnd w:id="207"/>
    <w:bookmarkStart w:id="210" w:name="X7fa3bc77c59c3341c711a27e79cca6a44d29180"/>
    <w:p>
      <w:pPr>
        <w:pStyle w:val="Heading1"/>
      </w:pPr>
      <w:r>
        <w:t xml:space="preserve">EEC-33 — Change detection and proposal service</w:t>
      </w:r>
    </w:p>
    <w:bookmarkStart w:id="208" w:name="objective-33"/>
    <w:p>
      <w:pPr>
        <w:pStyle w:val="Heading2"/>
      </w:pPr>
      <w:r>
        <w:t xml:space="preserve">Objective</w:t>
      </w:r>
    </w:p>
    <w:p>
      <w:pPr>
        <w:pStyle w:val="FirstParagraph"/>
      </w:pPr>
      <w:r>
        <w:t xml:space="preserve">Capture living discovery without silently rewriting the event.</w:t>
      </w:r>
    </w:p>
    <w:p>
      <w:pPr>
        <w:pStyle w:val="BodyText"/>
      </w:pPr>
      <w:r>
        <w:t xml:space="preserve">Create change proposals from authorised new sources or manual staff initiation. Bind the source segment, candidate assertion, current governing brief hash and proposed semantic change. Classify scope, materiality and confidence. AI detections remain</w:t>
      </w:r>
      <w:r>
        <w:t xml:space="preserve"> </w:t>
      </w:r>
      <w:r>
        <w:rPr>
          <w:rStyle w:val="VerbatimChar"/>
        </w:rPr>
        <w:t xml:space="preserve">DETECTED</w:t>
      </w:r>
      <w:r>
        <w:t xml:space="preserve"> </w:t>
      </w:r>
      <w:r>
        <w:t xml:space="preserve">proposals.</w:t>
      </w:r>
    </w:p>
    <w:p>
      <w:pPr>
        <w:pStyle w:val="BodyText"/>
      </w:pPr>
      <w:r>
        <w:t xml:space="preserve">Lifecycle:</w:t>
      </w:r>
      <w:r>
        <w:t xml:space="preserve"> </w:t>
      </w:r>
      <w:r>
        <w:rPr>
          <w:rStyle w:val="VerbatimChar"/>
        </w:rPr>
        <w:t xml:space="preserve">DETECTED → TRIAGED → IMPACT_ASSESSED → CLARIFICATION_REQUIRED | READY_FOR_DECISION → APPROVED | REJECTED → PROPAGATED → VERIFIED</w:t>
      </w:r>
      <w:r>
        <w:t xml:space="preserve">.</w:t>
      </w:r>
    </w:p>
    <w:p>
      <w:pPr>
        <w:pStyle w:val="BodyText"/>
      </w:pPr>
      <w:r>
        <w:t xml:space="preserve">Duplicate detections over the same source/semantic hash must be idempotent. A rejected proposal cannot be revived by the model.</w:t>
      </w:r>
    </w:p>
    <w:bookmarkEnd w:id="208"/>
    <w:bookmarkStart w:id="209" w:name="tests-30"/>
    <w:p>
      <w:pPr>
        <w:pStyle w:val="Heading2"/>
      </w:pPr>
      <w:r>
        <w:t xml:space="preserve">Tests</w:t>
      </w:r>
    </w:p>
    <w:p>
      <w:pPr>
        <w:pStyle w:val="FirstParagraph"/>
      </w:pPr>
      <w:r>
        <w:t xml:space="preserve">Guest-count message, changed venue/date, extra ceremony, non-material wording, duplicate source, rejected reappearance, unauthorised participant and cross-event injection.</w:t>
      </w:r>
    </w:p>
    <w:p>
      <w:r>
        <w:pict>
          <v:rect style="width:0;height:1.5pt" o:hralign="center" o:hrstd="t" o:hr="t"/>
        </w:pict>
      </w:r>
    </w:p>
    <w:bookmarkEnd w:id="209"/>
    <w:bookmarkEnd w:id="210"/>
    <w:bookmarkStart w:id="213" w:name="eec-34-exact-hash-impact-assessment"/>
    <w:p>
      <w:pPr>
        <w:pStyle w:val="Heading1"/>
      </w:pPr>
      <w:r>
        <w:t xml:space="preserve">EEC-34 — Exact-hash impact assessment</w:t>
      </w:r>
    </w:p>
    <w:bookmarkStart w:id="211" w:name="objective-34"/>
    <w:p>
      <w:pPr>
        <w:pStyle w:val="Heading2"/>
      </w:pPr>
      <w:r>
        <w:t xml:space="preserve">Objective</w:t>
      </w:r>
    </w:p>
    <w:p>
      <w:pPr>
        <w:pStyle w:val="FirstParagraph"/>
      </w:pPr>
      <w:r>
        <w:t xml:space="preserve">Calculate consequences before humans decide.</w:t>
      </w:r>
    </w:p>
    <w:p>
      <w:pPr>
        <w:pStyle w:val="BodyText"/>
      </w:pPr>
      <w:r>
        <w:t xml:space="preserve">Impact assessment is a pure orchestration over read-only adapters. It lists affected Brief assertions/editions, Budget assumptions/scenarios/recommendations, Roadmap milestones/critical paths/decisions, risks and accepted downstream products that may become stale.</w:t>
      </w:r>
    </w:p>
    <w:p>
      <w:pPr>
        <w:pStyle w:val="BodyText"/>
      </w:pPr>
      <w:r>
        <w:t xml:space="preserve">Every assessment binds source hash, current target hashes, adapter versions and calculation time. It must distinguish</w:t>
      </w:r>
      <w:r>
        <w:t xml:space="preserve"> </w:t>
      </w:r>
      <w:r>
        <w:rPr>
          <w:rStyle w:val="VerbatimChar"/>
        </w:rPr>
        <w:t xml:space="preserve">DIRECT</w:t>
      </w:r>
      <w:r>
        <w:t xml:space="preserve">,</w:t>
      </w:r>
      <w:r>
        <w:t xml:space="preserve"> </w:t>
      </w:r>
      <w:r>
        <w:rPr>
          <w:rStyle w:val="VerbatimChar"/>
        </w:rPr>
        <w:t xml:space="preserve">POTENTIAL</w:t>
      </w:r>
      <w:r>
        <w:t xml:space="preserve">,</w:t>
      </w:r>
      <w:r>
        <w:t xml:space="preserve"> </w:t>
      </w:r>
      <w:r>
        <w:rPr>
          <w:rStyle w:val="VerbatimChar"/>
        </w:rPr>
        <w:t xml:space="preserve">NONE</w:t>
      </w:r>
      <w:r>
        <w:t xml:space="preserve">,</w:t>
      </w:r>
      <w:r>
        <w:t xml:space="preserve"> </w:t>
      </w:r>
      <w:r>
        <w:rPr>
          <w:rStyle w:val="VerbatimChar"/>
        </w:rPr>
        <w:t xml:space="preserve">UNKNOWN</w:t>
      </w:r>
      <w:r>
        <w:t xml:space="preserve"> </w:t>
      </w:r>
      <w:r>
        <w:t xml:space="preserve">impact and state why. Never claim no impact merely because an adapter is absent.</w:t>
      </w:r>
    </w:p>
    <w:bookmarkEnd w:id="211"/>
    <w:bookmarkStart w:id="212" w:name="tests-31"/>
    <w:p>
      <w:pPr>
        <w:pStyle w:val="Heading2"/>
      </w:pPr>
      <w:r>
        <w:t xml:space="preserve">Tests</w:t>
      </w:r>
    </w:p>
    <w:p>
      <w:pPr>
        <w:pStyle w:val="FirstParagraph"/>
      </w:pPr>
      <w:r>
        <w:t xml:space="preserve">320→360 guests affects catering/venue/roadmap but not automatically RSVP; venue change affects layout provenance; date change affects season/price/roadmap; harmless spelling correction; stale assessment after concurrent publication.</w:t>
      </w:r>
    </w:p>
    <w:p>
      <w:r>
        <w:pict>
          <v:rect style="width:0;height:1.5pt" o:hralign="center" o:hrstd="t" o:hr="t"/>
        </w:pict>
      </w:r>
    </w:p>
    <w:bookmarkEnd w:id="212"/>
    <w:bookmarkEnd w:id="213"/>
    <w:bookmarkStart w:id="216" w:name="X871ca18bbbdbbc55a0cd972e5c3e6e7dd6b2908"/>
    <w:p>
      <w:pPr>
        <w:pStyle w:val="Heading1"/>
      </w:pPr>
      <w:r>
        <w:t xml:space="preserve">EEC-35 — Change decision, rebaseline and propagation adapters</w:t>
      </w:r>
    </w:p>
    <w:bookmarkStart w:id="214" w:name="objective-35"/>
    <w:p>
      <w:pPr>
        <w:pStyle w:val="Heading2"/>
      </w:pPr>
      <w:r>
        <w:t xml:space="preserve">Objective</w:t>
      </w:r>
    </w:p>
    <w:p>
      <w:pPr>
        <w:pStyle w:val="FirstParagraph"/>
      </w:pPr>
      <w:r>
        <w:t xml:space="preserve">Make approved change deliberate and domain-owned.</w:t>
      </w:r>
    </w:p>
    <w:p>
      <w:pPr>
        <w:pStyle w:val="BodyText"/>
      </w:pPr>
      <w:r>
        <w:t xml:space="preserve">Require maker/checker for material changes. Decision binds proposal and impact hashes. Approved propagation calls explicit destination adapters which create proposals/new editions under destination authority; the change service never writes destination tables directly.</w:t>
      </w:r>
    </w:p>
    <w:p>
      <w:pPr>
        <w:pStyle w:val="BodyText"/>
      </w:pPr>
      <w:r>
        <w:t xml:space="preserve">Support partial propagation only when clearly recorded, with remaining impacts open. Verify resulting hashes and preserve rollback through forward supersession, never destructive history rewrites.</w:t>
      </w:r>
    </w:p>
    <w:bookmarkEnd w:id="214"/>
    <w:bookmarkStart w:id="215" w:name="tests-32"/>
    <w:p>
      <w:pPr>
        <w:pStyle w:val="Heading2"/>
      </w:pPr>
      <w:r>
        <w:t xml:space="preserve">Tests</w:t>
      </w:r>
    </w:p>
    <w:p>
      <w:pPr>
        <w:pStyle w:val="FirstParagraph"/>
      </w:pPr>
      <w:r>
        <w:t xml:space="preserve">Self-approval denial, stale impact denial, one adapter failure with honest partial result, retry idempotency, change rejected, cross-event adapter, no direct RSVP/forecast mutation and audit correlation across child actions.</w:t>
      </w:r>
    </w:p>
    <w:p>
      <w:r>
        <w:pict>
          <v:rect style="width:0;height:1.5pt" o:hralign="center" o:hrstd="t" o:hr="t"/>
        </w:pict>
      </w:r>
    </w:p>
    <w:bookmarkEnd w:id="215"/>
    <w:bookmarkEnd w:id="216"/>
    <w:bookmarkStart w:id="220" w:name="X4a7c29c175a6b5ece65518d07d90213046da066"/>
    <w:p>
      <w:pPr>
        <w:pStyle w:val="Heading1"/>
      </w:pPr>
      <w:r>
        <w:t xml:space="preserve">EEC-36 — AI provider boundary, schemas and job lifecycle</w:t>
      </w:r>
    </w:p>
    <w:bookmarkStart w:id="217" w:name="objective-36"/>
    <w:p>
      <w:pPr>
        <w:pStyle w:val="Heading2"/>
      </w:pPr>
      <w:r>
        <w:t xml:space="preserve">Objective</w:t>
      </w:r>
    </w:p>
    <w:p>
      <w:pPr>
        <w:pStyle w:val="FirstParagraph"/>
      </w:pPr>
      <w:r>
        <w:t xml:space="preserve">Introduce optional AI without making it the system backbone.</w:t>
      </w:r>
    </w:p>
    <w:bookmarkEnd w:id="217"/>
    <w:bookmarkStart w:id="218" w:name="interface"/>
    <w:p>
      <w:pPr>
        <w:pStyle w:val="Heading2"/>
      </w:pPr>
      <w:r>
        <w:t xml:space="preserve">Interface</w:t>
      </w:r>
    </w:p>
    <w:p>
      <w:pPr>
        <w:pStyle w:val="SourceCode"/>
      </w:pPr>
      <w:r>
        <w:rPr>
          <w:rStyle w:val="KeywordTok"/>
        </w:rPr>
        <w:t xml:space="preserve">interface</w:t>
      </w:r>
      <w:r>
        <w:rPr>
          <w:rStyle w:val="NormalTok"/>
        </w:rPr>
        <w:t xml:space="preserve"> DiscoveryAiProvider {</w:t>
      </w:r>
      <w:r>
        <w:br/>
      </w:r>
      <w:r>
        <w:rPr>
          <w:rStyle w:val="NormalTok"/>
        </w:rPr>
        <w:t xml:space="preserve">  </w:t>
      </w:r>
      <w:r>
        <w:rPr>
          <w:rStyle w:val="FunctionTok"/>
        </w:rPr>
        <w:t xml:space="preserve">proposeAssertions</w:t>
      </w:r>
      <w:r>
        <w:rPr>
          <w:rStyle w:val="NormalTok"/>
        </w:rPr>
        <w:t xml:space="preserve">(input</w:t>
      </w:r>
      <w:r>
        <w:rPr>
          <w:rStyle w:val="OperatorTok"/>
        </w:rPr>
        <w:t xml:space="preserve">:</w:t>
      </w:r>
      <w:r>
        <w:rPr>
          <w:rStyle w:val="NormalTok"/>
        </w:rPr>
        <w:t xml:space="preserve"> PermissionSafeDiscoveryInput)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AiProposalEnvelope</w:t>
      </w:r>
      <w:r>
        <w:rPr>
          <w:rStyle w:val="OperatorTok"/>
        </w:rPr>
        <w:t xml:space="preserve">&gt;;</w:t>
      </w:r>
      <w:r>
        <w:br/>
      </w:r>
      <w:r>
        <w:rPr>
          <w:rStyle w:val="NormalTok"/>
        </w:rPr>
        <w:t xml:space="preserve">  </w:t>
      </w:r>
      <w:r>
        <w:rPr>
          <w:rStyle w:val="FunctionTok"/>
        </w:rPr>
        <w:t xml:space="preserve">proposeNextQuestion</w:t>
      </w:r>
      <w:r>
        <w:rPr>
          <w:rStyle w:val="NormalTok"/>
        </w:rPr>
        <w:t xml:space="preserve">(input</w:t>
      </w:r>
      <w:r>
        <w:rPr>
          <w:rStyle w:val="OperatorTok"/>
        </w:rPr>
        <w:t xml:space="preserve">:</w:t>
      </w:r>
      <w:r>
        <w:rPr>
          <w:rStyle w:val="NormalTok"/>
        </w:rPr>
        <w:t xml:space="preserve"> CoveragePromptInput)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AiQuestionEnvelope</w:t>
      </w:r>
      <w:r>
        <w:rPr>
          <w:rStyle w:val="OperatorTok"/>
        </w:rPr>
        <w:t xml:space="preserve">&gt;;</w:t>
      </w:r>
      <w:r>
        <w:br/>
      </w:r>
      <w:r>
        <w:rPr>
          <w:rStyle w:val="NormalTok"/>
        </w:rPr>
        <w:t xml:space="preserve">  </w:t>
      </w:r>
      <w:r>
        <w:rPr>
          <w:rStyle w:val="FunctionTok"/>
        </w:rPr>
        <w:t xml:space="preserve">draftSummary</w:t>
      </w:r>
      <w:r>
        <w:rPr>
          <w:rStyle w:val="NormalTok"/>
        </w:rPr>
        <w:t xml:space="preserve">(input</w:t>
      </w:r>
      <w:r>
        <w:rPr>
          <w:rStyle w:val="OperatorTok"/>
        </w:rPr>
        <w:t xml:space="preserve">:</w:t>
      </w:r>
      <w:r>
        <w:rPr>
          <w:rStyle w:val="NormalTok"/>
        </w:rPr>
        <w:t xml:space="preserve"> SummaryPromptInput)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AiSummaryEnvelope</w:t>
      </w:r>
      <w:r>
        <w:rPr>
          <w:rStyle w:val="OperatorTok"/>
        </w:rPr>
        <w:t xml:space="preserve">&gt;;</w:t>
      </w:r>
      <w:r>
        <w:br/>
      </w:r>
      <w:r>
        <w:rPr>
          <w:rStyle w:val="NormalTok"/>
        </w:rPr>
        <w:t xml:space="preserve">  </w:t>
      </w:r>
      <w:r>
        <w:rPr>
          <w:rStyle w:val="FunctionTok"/>
        </w:rPr>
        <w:t xml:space="preserve">draftChangeDetection</w:t>
      </w:r>
      <w:r>
        <w:rPr>
          <w:rStyle w:val="NormalTok"/>
        </w:rPr>
        <w:t xml:space="preserve">(input</w:t>
      </w:r>
      <w:r>
        <w:rPr>
          <w:rStyle w:val="OperatorTok"/>
        </w:rPr>
        <w:t xml:space="preserve">:</w:t>
      </w:r>
      <w:r>
        <w:rPr>
          <w:rStyle w:val="NormalTok"/>
        </w:rPr>
        <w:t xml:space="preserve"> ChangePromptInput)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AiChangeEnvelope</w:t>
      </w:r>
      <w:r>
        <w:rPr>
          <w:rStyle w:val="OperatorTok"/>
        </w:rPr>
        <w:t xml:space="preserve">&gt;;</w:t>
      </w:r>
      <w:r>
        <w:br/>
      </w:r>
      <w:r>
        <w:rPr>
          <w:rStyle w:val="NormalTok"/>
        </w:rPr>
        <w:t xml:space="preserve">}</w:t>
      </w:r>
    </w:p>
    <w:p>
      <w:pPr>
        <w:pStyle w:val="FirstParagraph"/>
      </w:pPr>
      <w:r>
        <w:t xml:space="preserve">Strictly validate response schemas, model/policy version, citations and maximum sizes. Jobs have</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with durable idempotency and retry classification. Provider interface has timeouts, circuit breaker, cost/token budget and redacted telemetry.</w:t>
      </w:r>
    </w:p>
    <w:p>
      <w:pPr>
        <w:pStyle w:val="BodyText"/>
      </w:pPr>
      <w:r>
        <w:t xml:space="preserve">Ship a deterministic fixture provider for tests and an explicitly inactive production adapter. No provider secret is required or requested in this prompt.</w:t>
      </w:r>
    </w:p>
    <w:bookmarkEnd w:id="218"/>
    <w:bookmarkStart w:id="219" w:name="tests-33"/>
    <w:p>
      <w:pPr>
        <w:pStyle w:val="Heading2"/>
      </w:pPr>
      <w:r>
        <w:t xml:space="preserve">Tests</w:t>
      </w:r>
    </w:p>
    <w:p>
      <w:pPr>
        <w:pStyle w:val="FirstParagraph"/>
      </w:pPr>
      <w:r>
        <w:t xml:space="preserve">Malformed response, missing citation, unsupported assertion, timeout, duplicate retry, provider unavailable, oversized output, prompt injection, secret-like content redaction and no database mutation.</w:t>
      </w:r>
    </w:p>
    <w:p>
      <w:r>
        <w:pict>
          <v:rect style="width:0;height:1.5pt" o:hralign="center" o:hrstd="t" o:hr="t"/>
        </w:pict>
      </w:r>
    </w:p>
    <w:bookmarkEnd w:id="219"/>
    <w:bookmarkEnd w:id="220"/>
    <w:bookmarkStart w:id="223" w:name="Xced854a899f433ee9ad7488d8b9e4e89c6c496b"/>
    <w:p>
      <w:pPr>
        <w:pStyle w:val="Heading1"/>
      </w:pPr>
      <w:r>
        <w:t xml:space="preserve">EEC-37 — Coverage-led conversational orchestrator</w:t>
      </w:r>
    </w:p>
    <w:bookmarkStart w:id="221" w:name="objective-37"/>
    <w:p>
      <w:pPr>
        <w:pStyle w:val="Heading2"/>
      </w:pPr>
      <w:r>
        <w:t xml:space="preserve">Objective</w:t>
      </w:r>
    </w:p>
    <w:p>
      <w:pPr>
        <w:pStyle w:val="FirstParagraph"/>
      </w:pPr>
      <w:r>
        <w:t xml:space="preserve">Conduct a natural interview by knowledge gaps, not question order.</w:t>
      </w:r>
    </w:p>
    <w:p>
      <w:pPr>
        <w:pStyle w:val="BodyText"/>
      </w:pPr>
      <w:r>
        <w:t xml:space="preserve">The orchestrator combines session state, permission-safe confirmed knowledge, coverage assessment, recent turns, fatigue/pacing and sensitive-topic policy. Deterministic policy selects eligible gaps; AI may phrase one selected question but cannot alter its purpose or sensitivity.</w:t>
      </w:r>
    </w:p>
    <w:p>
      <w:pPr>
        <w:pStyle w:val="BodyText"/>
      </w:pPr>
      <w:r>
        <w:t xml:space="preserve">Support acknowledgement, follow-up, summary, correction, pause/resume, skip, prefer-not-to-answer and human handoff. Suppress already answered questions unless conflict/staleness/material confirmation justifies revisiting them; explain the revisit.</w:t>
      </w:r>
    </w:p>
    <w:p>
      <w:pPr>
        <w:pStyle w:val="BodyText"/>
      </w:pPr>
      <w:r>
        <w:t xml:space="preserve">Persist user input before model processing so provider failure does not lose the answer. Never claim an answer saved if persistence failed.</w:t>
      </w:r>
    </w:p>
    <w:bookmarkEnd w:id="221"/>
    <w:bookmarkStart w:id="222" w:name="tests-34"/>
    <w:p>
      <w:pPr>
        <w:pStyle w:val="Heading2"/>
      </w:pPr>
      <w:r>
        <w:t xml:space="preserve">Tests</w:t>
      </w:r>
    </w:p>
    <w:p>
      <w:pPr>
        <w:pStyle w:val="FirstParagraph"/>
      </w:pPr>
      <w:r>
        <w:t xml:space="preserve">Natural branching, repeat suppression, relevant probe, premature deferral, sensitive explanation, fatigue stop, provider failure after answer save, resume across restart, multi-participant conflict and correct session termination.</w:t>
      </w:r>
    </w:p>
    <w:p>
      <w:r>
        <w:pict>
          <v:rect style="width:0;height:1.5pt" o:hralign="center" o:hrstd="t" o:hr="t"/>
        </w:pict>
      </w:r>
    </w:p>
    <w:bookmarkEnd w:id="222"/>
    <w:bookmarkEnd w:id="223"/>
    <w:bookmarkStart w:id="228" w:name="eec-38-interview-and-review-frontends"/>
    <w:p>
      <w:pPr>
        <w:pStyle w:val="Heading1"/>
      </w:pPr>
      <w:r>
        <w:t xml:space="preserve">EEC-38 — Interview and review frontends</w:t>
      </w:r>
    </w:p>
    <w:bookmarkStart w:id="224" w:name="objective-38"/>
    <w:p>
      <w:pPr>
        <w:pStyle w:val="Heading2"/>
      </w:pPr>
      <w:r>
        <w:t xml:space="preserve">Objective</w:t>
      </w:r>
    </w:p>
    <w:p>
      <w:pPr>
        <w:pStyle w:val="FirstParagraph"/>
      </w:pPr>
      <w:r>
        <w:t xml:space="preserve">Create premium human-led and client-led discovery experiences.</w:t>
      </w:r>
    </w:p>
    <w:bookmarkEnd w:id="224"/>
    <w:bookmarkStart w:id="225" w:name="client-surface"/>
    <w:p>
      <w:pPr>
        <w:pStyle w:val="Heading2"/>
      </w:pPr>
      <w:r>
        <w:t xml:space="preserve">Client surface</w:t>
      </w:r>
    </w:p>
    <w:p>
      <w:pPr>
        <w:pStyle w:val="FirstParagraph"/>
      </w:pPr>
      <w:r>
        <w:t xml:space="preserve">Primary conversation column, concise progress statement, pause/handoff, source/consent status and accessible composer. No giant questionnaire, crude percentage or internal codes. Show periodic summaries with confirm/correct/defer actions.</w:t>
      </w:r>
    </w:p>
    <w:bookmarkEnd w:id="225"/>
    <w:bookmarkStart w:id="226" w:name="staff-surface"/>
    <w:p>
      <w:pPr>
        <w:pStyle w:val="Heading2"/>
      </w:pPr>
      <w:r>
        <w:t xml:space="preserve">Staff surface</w:t>
      </w:r>
    </w:p>
    <w:p>
      <w:pPr>
        <w:pStyle w:val="FirstParagraph"/>
      </w:pPr>
      <w:r>
        <w:t xml:space="preserve">Conversation/notes primary; private copilot suggestions visually distinct and never visible to client. Coverage drawer, source status and suggested follow-up are secondary. Staff can ignore/edit a suggested question without changing catalogue truth.</w:t>
      </w:r>
    </w:p>
    <w:p>
      <w:pPr>
        <w:pStyle w:val="BodyText"/>
      </w:pPr>
      <w:r>
        <w:t xml:space="preserve">Streaming text must not trap focus or overwhelm screen readers. Provide non-streaming reduced-motion mode. Use inert rendering for all transcript/model text.</w:t>
      </w:r>
    </w:p>
    <w:bookmarkEnd w:id="226"/>
    <w:bookmarkStart w:id="227" w:name="tests-35"/>
    <w:p>
      <w:pPr>
        <w:pStyle w:val="Heading2"/>
      </w:pPr>
      <w:r>
        <w:t xml:space="preserve">Tests</w:t>
      </w:r>
    </w:p>
    <w:p>
      <w:pPr>
        <w:pStyle w:val="FirstParagraph"/>
      </w:pPr>
      <w:r>
        <w:t xml:space="preserve">Keyboard complete session, focus/announcement discipline, pause/resume, human handoff, reconnect, 360/tablet/desktop/200%, reduced motion, long Yorùbá content, client/staff projection separation and provider-unavailable recovery.</w:t>
      </w:r>
    </w:p>
    <w:p>
      <w:r>
        <w:pict>
          <v:rect style="width:0;height:1.5pt" o:hralign="center" o:hrstd="t" o:hr="t"/>
        </w:pict>
      </w:r>
    </w:p>
    <w:bookmarkEnd w:id="227"/>
    <w:bookmarkEnd w:id="228"/>
    <w:bookmarkStart w:id="231" w:name="X3ba1510cbecc5d77aab8702857d1dd6dc27ade5"/>
    <w:p>
      <w:pPr>
        <w:pStyle w:val="Heading1"/>
      </w:pPr>
      <w:r>
        <w:t xml:space="preserve">EEC-39 — AI evaluation, red team and model-release gate</w:t>
      </w:r>
    </w:p>
    <w:bookmarkStart w:id="229" w:name="objective-39"/>
    <w:p>
      <w:pPr>
        <w:pStyle w:val="Heading2"/>
      </w:pPr>
      <w:r>
        <w:t xml:space="preserve">Objective</w:t>
      </w:r>
    </w:p>
    <w:p>
      <w:pPr>
        <w:pStyle w:val="FirstParagraph"/>
      </w:pPr>
      <w:r>
        <w:t xml:space="preserve">Make AI quality measurable and prevent unreviewed model drift.</w:t>
      </w:r>
    </w:p>
    <w:p>
      <w:pPr>
        <w:pStyle w:val="BodyText"/>
      </w:pPr>
      <w:r>
        <w:t xml:space="preserve">Implement a versioned synthetic evaluation corpus covering every scenario in the ratified AI specification. Record supported-assertion precision/recall, citation accuracy, speaker attribution, contradiction recall, repeat-question rate, schema validity, false-governing-truth rate, protected-trait/wealth inference, handoff/stop quality and permission leakage.</w:t>
      </w:r>
    </w:p>
    <w:p>
      <w:pPr>
        <w:pStyle w:val="BodyText"/>
      </w:pPr>
      <w:r>
        <w:t xml:space="preserve">Set release thresholds in a governed configuration; zero tolerance for governing-truth elevation, protected-trait/wealth inference and permission leakage. Store evaluation run, model, prompt/policy, corpus edition and results. Model/prompt upgrades require a new evaluation; no silent</w:t>
      </w:r>
      <w:r>
        <w:t xml:space="preserve"> </w:t>
      </w:r>
      <w:r>
        <w:t xml:space="preserve">“</w:t>
      </w:r>
      <w:r>
        <w:t xml:space="preserve">latest model.</w:t>
      </w:r>
      <w:r>
        <w:t xml:space="preserve">”</w:t>
      </w:r>
    </w:p>
    <w:p>
      <w:pPr>
        <w:pStyle w:val="BodyText"/>
      </w:pPr>
      <w:r>
        <w:t xml:space="preserve">Red-team prompt injection, impersonation, cross-event access, invented approval, toxic/malformed output, revoked consent, restricted surprise, currency/date ambiguity and concurrency.</w:t>
      </w:r>
    </w:p>
    <w:bookmarkEnd w:id="229"/>
    <w:bookmarkStart w:id="230" w:name="evidence-1"/>
    <w:p>
      <w:pPr>
        <w:pStyle w:val="Heading2"/>
      </w:pPr>
      <w:r>
        <w:t xml:space="preserve">Evidence</w:t>
      </w:r>
    </w:p>
    <w:p>
      <w:pPr>
        <w:pStyle w:val="FirstParagraph"/>
      </w:pPr>
      <w:r>
        <w:t xml:space="preserve">Provide machine-readable results and concise failure examples without real data or secrets. A failure cannot be averaged away if it violates a zero-tolerance invariant.</w:t>
      </w:r>
    </w:p>
    <w:p>
      <w:r>
        <w:pict>
          <v:rect style="width:0;height:1.5pt" o:hralign="center" o:hrstd="t" o:hr="t"/>
        </w:pict>
      </w:r>
    </w:p>
    <w:bookmarkEnd w:id="230"/>
    <w:bookmarkEnd w:id="231"/>
    <w:bookmarkStart w:id="238" w:name="X0af1e58ac79b481519065b77653b74f9f8a5246"/>
    <w:p>
      <w:pPr>
        <w:pStyle w:val="Heading1"/>
      </w:pPr>
      <w:r>
        <w:t xml:space="preserve">EEC-40 — Executive Event Command and integrated navigation</w:t>
      </w:r>
    </w:p>
    <w:bookmarkStart w:id="232" w:name="objective-40"/>
    <w:p>
      <w:pPr>
        <w:pStyle w:val="Heading2"/>
      </w:pPr>
      <w:r>
        <w:t xml:space="preserve">Objective</w:t>
      </w:r>
    </w:p>
    <w:p>
      <w:pPr>
        <w:pStyle w:val="FirstParagraph"/>
      </w:pPr>
      <w:r>
        <w:t xml:space="preserve">Deliver the executive synthesis without building a second Programme Control Tower.</w:t>
      </w:r>
    </w:p>
    <w:bookmarkEnd w:id="232"/>
    <w:bookmarkStart w:id="233" w:name="event-view"/>
    <w:p>
      <w:pPr>
        <w:pStyle w:val="Heading2"/>
      </w:pPr>
      <w:r>
        <w:t xml:space="preserve">Event view</w:t>
      </w:r>
    </w:p>
    <w:p>
      <w:pPr>
        <w:pStyle w:val="FirstParagraph"/>
      </w:pPr>
      <w:r>
        <w:t xml:space="preserve">Show what is being delivered, days/phase, brief alignment, overall readiness with explanation, next milestone, next client decision, critical path, investment envelope/committed/paid/forecast distinctions, next cash need, top risks/contradictions and executive intervention.</w:t>
      </w:r>
    </w:p>
    <w:bookmarkEnd w:id="233"/>
    <w:bookmarkStart w:id="234" w:name="portfolio-view"/>
    <w:p>
      <w:pPr>
        <w:pStyle w:val="Heading2"/>
      </w:pPr>
      <w:r>
        <w:t xml:space="preserve">Portfolio view</w:t>
      </w:r>
    </w:p>
    <w:p>
      <w:pPr>
        <w:pStyle w:val="FirstParagraph"/>
      </w:pPr>
      <w:r>
        <w:t xml:space="preserve">CEO-only, organisation-scoped exception list. Rank by materiality/latest-safe date, not by opaque AI score. No cross-client data leakage. Each item links to authoritative Event OS evidence and actionable destination.</w:t>
      </w:r>
    </w:p>
    <w:bookmarkEnd w:id="234"/>
    <w:bookmarkStart w:id="235" w:name="ux-1"/>
    <w:p>
      <w:pPr>
        <w:pStyle w:val="Heading2"/>
      </w:pPr>
      <w:r>
        <w:t xml:space="preserve">UX</w:t>
      </w:r>
    </w:p>
    <w:p>
      <w:pPr>
        <w:pStyle w:val="FirstParagraph"/>
      </w:pPr>
      <w:r>
        <w:t xml:space="preserve">Use strong hierarchy and restrained density; avoid decorative KPI grids. Boundary sentences explain what each number/state does and does not mean. Provide loading/empty/partial/stale/error states. Human-readable labels lead; immutable identifiers remain secondary.</w:t>
      </w:r>
    </w:p>
    <w:bookmarkEnd w:id="235"/>
    <w:bookmarkStart w:id="236" w:name="tests-36"/>
    <w:p>
      <w:pPr>
        <w:pStyle w:val="Heading2"/>
      </w:pPr>
      <w:r>
        <w:t xml:space="preserve">Tests</w:t>
      </w:r>
    </w:p>
    <w:p>
      <w:pPr>
        <w:pStyle w:val="FirstParagraph"/>
      </w:pPr>
      <w:r>
        <w:t xml:space="preserve">CEO view, Event Director event-only projection, Planner relevant actions, Auditor read-only, System Administrator denial, event isolation, false-green prevention, keyboard/mobile/zoom/accessibility and navigation back to Event overview.</w:t>
      </w:r>
    </w:p>
    <w:bookmarkEnd w:id="236"/>
    <w:bookmarkStart w:id="237" w:name="milestone-c-exit-gate"/>
    <w:p>
      <w:pPr>
        <w:pStyle w:val="Heading2"/>
      </w:pPr>
      <w:r>
        <w:t xml:space="preserve">Milestone C exit gate</w:t>
      </w:r>
    </w:p>
    <w:p>
      <w:pPr>
        <w:pStyle w:val="FirstParagraph"/>
      </w:pPr>
      <w:r>
        <w:t xml:space="preserve">Run full shared-platform/Event OS tests, typecheck, programme validation, Event OS build,</w:t>
      </w:r>
      <w:r>
        <w:t xml:space="preserve"> </w:t>
      </w:r>
      <w:r>
        <w:rPr>
          <w:rStyle w:val="VerbatimChar"/>
        </w:rPr>
        <w:t xml:space="preserve">git diff --check</w:t>
      </w:r>
      <w:r>
        <w:t xml:space="preserve">, migration replay, Postgres restart persistence, role/IDOR, concurrency, AI evaluation, accessibility and representative local Playwright. Stop for AI CTO review before deployment if any zero-tolerance AI, authority, privacy, money-integrity, critical-path or false-success invariant fails.</w:t>
      </w:r>
    </w:p>
    <w:bookmarkEnd w:id="237"/>
    <w:bookmarkEnd w:id="238"/>
    <w:bookmarkStart w:id="240" w:name="eos-s05a-detailed-cursor-prompt-pack-3"/>
    <w:p>
      <w:pPr>
        <w:pStyle w:val="Heading1"/>
      </w:pPr>
      <w:r>
        <w:t xml:space="preserve">EOS-S05A — Detailed Cursor Prompt Pack</w:t>
      </w:r>
    </w:p>
    <w:bookmarkStart w:id="239" w:name="Xa8a6d1e6bc0051d6cf7413e2816254ce7656431"/>
    <w:p>
      <w:pPr>
        <w:pStyle w:val="Heading2"/>
      </w:pPr>
      <w:r>
        <w:t xml:space="preserve">Volume D — Integration, Assurance, Deployment and Handover</w:t>
      </w:r>
    </w:p>
    <w:p>
      <w:pPr>
        <w:pStyle w:val="FirstParagraph"/>
      </w:pPr>
      <w:r>
        <w:t xml:space="preserve">Status:</w:t>
      </w:r>
      <w:r>
        <w:t xml:space="preserve"> </w:t>
      </w:r>
      <w:r>
        <w:rPr>
          <w:bCs/>
          <w:b/>
        </w:rPr>
        <w:t xml:space="preserve">CEO REVIEW DRAFT — NOT IMPLEMENTATION AUTHORITY</w:t>
      </w:r>
      <w:r>
        <w:br/>
      </w:r>
      <w:r>
        <w:t xml:space="preserve">Prompts:</w:t>
      </w:r>
      <w:r>
        <w:t xml:space="preserve"> </w:t>
      </w:r>
      <w:r>
        <w:rPr>
          <w:rStyle w:val="VerbatimChar"/>
        </w:rPr>
        <w:t xml:space="preserve">EEC-41</w:t>
      </w:r>
      <w:r>
        <w:t xml:space="preserve">–</w:t>
      </w:r>
      <w:r>
        <w:rPr>
          <w:rStyle w:val="VerbatimChar"/>
        </w:rPr>
        <w:t xml:space="preserve">EEC-45</w:t>
      </w:r>
      <w:r>
        <w:br/>
      </w:r>
      <w:r>
        <w:t xml:space="preserve">Inheritance: every global law and code convention in Volume A applies.</w:t>
      </w:r>
    </w:p>
    <w:p>
      <w:r>
        <w:pict>
          <v:rect style="width:0;height:1.5pt" o:hralign="center" o:hrstd="t" o:hr="t"/>
        </w:pict>
      </w:r>
    </w:p>
    <w:bookmarkEnd w:id="239"/>
    <w:bookmarkEnd w:id="240"/>
    <w:bookmarkStart w:id="242" w:name="Xbd91f86d3909f2ae3a5ed112c1c0f96e96b6426"/>
    <w:p>
      <w:pPr>
        <w:pStyle w:val="Heading1"/>
      </w:pPr>
      <w:r>
        <w:t xml:space="preserve">EEC-41 — Accepted-domain integration and staleness adapters</w:t>
      </w:r>
    </w:p>
    <w:bookmarkStart w:id="241" w:name="objective-41"/>
    <w:p>
      <w:pPr>
        <w:pStyle w:val="Heading2"/>
      </w:pPr>
      <w:r>
        <w:t xml:space="preserve">Objective</w:t>
      </w:r>
    </w:p>
    <w:p>
      <w:pPr>
        <w:pStyle w:val="FirstParagraph"/>
      </w:pPr>
      <w:r>
        <w:t xml:space="preserve">Prove EOS-S05A uses accepted truth without owning it.</w:t>
      </w:r>
    </w:p>
    <w:p>
      <w:pPr>
        <w:pStyle w:val="BodyText"/>
      </w:pPr>
      <w:r>
        <w:t xml:space="preserve">Implement read-only adapters and explicit approved-proposal adapters for Client/Event, RSVP/invitation, forecast/provision, programme/arrival, communications, Private Atelier, language/editions and venue/layout. Each adapter declares consumed version/hash, projection permission, possible staleness output and prohibited writes.</w:t>
      </w:r>
    </w:p>
    <w:p>
      <w:pPr>
        <w:pStyle w:val="BodyText"/>
      </w:pPr>
      <w:r>
        <w:t xml:space="preserve">Do not add seating/placement. Do not sum phase counts. Do not dispatch communications. Do not alter approved editions. Map a changed source to a proposed downstream action or stale marker, never silent mutation.</w:t>
      </w:r>
    </w:p>
    <w:p>
      <w:pPr>
        <w:pStyle w:val="BodyText"/>
      </w:pPr>
      <w:r>
        <w:t xml:space="preserve">Add contract tests at each boundary and a dependency diagram in control docs.</w:t>
      </w:r>
    </w:p>
    <w:p>
      <w:r>
        <w:pict>
          <v:rect style="width:0;height:1.5pt" o:hralign="center" o:hrstd="t" o:hr="t"/>
        </w:pict>
      </w:r>
    </w:p>
    <w:bookmarkEnd w:id="241"/>
    <w:bookmarkEnd w:id="242"/>
    <w:bookmarkStart w:id="244" w:name="X5fb01503538b46d3d77088f7efb54975189df07"/>
    <w:p>
      <w:pPr>
        <w:pStyle w:val="Heading1"/>
      </w:pPr>
      <w:r>
        <w:t xml:space="preserve">EEC-42 — Security, privacy and abuse assurance</w:t>
      </w:r>
    </w:p>
    <w:bookmarkStart w:id="243" w:name="objective-42"/>
    <w:p>
      <w:pPr>
        <w:pStyle w:val="Heading2"/>
      </w:pPr>
      <w:r>
        <w:t xml:space="preserve">Objective</w:t>
      </w:r>
    </w:p>
    <w:p>
      <w:pPr>
        <w:pStyle w:val="FirstParagraph"/>
      </w:pPr>
      <w:r>
        <w:t xml:space="preserve">Attack the complete trust boundary.</w:t>
      </w:r>
    </w:p>
    <w:p>
      <w:pPr>
        <w:pStyle w:val="BodyText"/>
      </w:pPr>
      <w:r>
        <w:t xml:space="preserve">Test unauthenticated, expired session, inactive assignment, cross-org/client/event/engagement IDs, mass assignment, hidden-control bypass, direct server action/API, stale CAS, idempotency replay, approval substitution, System Administrator business action, source/export leakage, object-key leakage, prompt injection and malicious markup.</w:t>
      </w:r>
    </w:p>
    <w:p>
      <w:pPr>
        <w:pStyle w:val="BodyText"/>
      </w:pPr>
      <w:r>
        <w:t xml:space="preserve">Test sensitivity projections for family, cultural/religious, accessibility/health, security, financial and confidential surprise information. Ensure logs/action results do not contain raw sensitive transcripts or secrets.</w:t>
      </w:r>
    </w:p>
    <w:p>
      <w:pPr>
        <w:pStyle w:val="BodyText"/>
      </w:pPr>
      <w:r>
        <w:t xml:space="preserve">Test rate/size limits for transcript segments, AI jobs, rule ASTs, budget lines, dependency graphs and exports. Product failures must be action-scoped and truthful.</w:t>
      </w:r>
    </w:p>
    <w:p>
      <w:r>
        <w:pict>
          <v:rect style="width:0;height:1.5pt" o:hralign="center" o:hrstd="t" o:hr="t"/>
        </w:pict>
      </w:r>
    </w:p>
    <w:bookmarkEnd w:id="243"/>
    <w:bookmarkEnd w:id="244"/>
    <w:bookmarkStart w:id="246" w:name="X806fadf88149ce0b71b6384f49c440d290d1ba7"/>
    <w:p>
      <w:pPr>
        <w:pStyle w:val="Heading1"/>
      </w:pPr>
      <w:r>
        <w:t xml:space="preserve">EEC-43 — End-to-end functional and UX journeys</w:t>
      </w:r>
    </w:p>
    <w:bookmarkStart w:id="245" w:name="objective-43"/>
    <w:p>
      <w:pPr>
        <w:pStyle w:val="Heading2"/>
      </w:pPr>
      <w:r>
        <w:t xml:space="preserve">Objective</w:t>
      </w:r>
    </w:p>
    <w:p>
      <w:pPr>
        <w:pStyle w:val="FirstParagraph"/>
      </w:pPr>
      <w:r>
        <w:t xml:space="preserve">Prove the complete material experience before live deployment.</w:t>
      </w:r>
    </w:p>
    <w:p>
      <w:pPr>
        <w:pStyle w:val="BodyText"/>
      </w:pPr>
      <w:r>
        <w:t xml:space="preserve">Build Playwright journeys using synthetic records:</w:t>
      </w:r>
    </w:p>
    <w:p>
      <w:pPr>
        <w:numPr>
          <w:ilvl w:val="0"/>
          <w:numId w:val="1036"/>
        </w:numPr>
        <w:pStyle w:val="Compact"/>
      </w:pPr>
      <w:r>
        <w:t xml:space="preserve">staff-led interview → assertions → conflict → brief publication;</w:t>
      </w:r>
    </w:p>
    <w:p>
      <w:pPr>
        <w:numPr>
          <w:ilvl w:val="0"/>
          <w:numId w:val="1036"/>
        </w:numPr>
        <w:pStyle w:val="Compact"/>
      </w:pPr>
      <w:r>
        <w:t xml:space="preserve">client-led interview → pause/resume → correction/confirmation;</w:t>
      </w:r>
    </w:p>
    <w:p>
      <w:pPr>
        <w:numPr>
          <w:ilvl w:val="0"/>
          <w:numId w:val="1036"/>
        </w:numPr>
        <w:pStyle w:val="Compact"/>
      </w:pPr>
      <w:r>
        <w:t xml:space="preserve">engagement conversion without duplicate Event;</w:t>
      </w:r>
    </w:p>
    <w:p>
      <w:pPr>
        <w:numPr>
          <w:ilvl w:val="0"/>
          <w:numId w:val="1036"/>
        </w:numPr>
        <w:pStyle w:val="Compact"/>
      </w:pPr>
      <w:r>
        <w:t xml:space="preserve">brief → BOM → calculation → scenario → recommendation approval;</w:t>
      </w:r>
    </w:p>
    <w:p>
      <w:pPr>
        <w:numPr>
          <w:ilvl w:val="0"/>
          <w:numId w:val="1036"/>
        </w:numPr>
        <w:pStyle w:val="Compact"/>
      </w:pPr>
      <w:r>
        <w:t xml:space="preserve">lower-spend/HOLD recommendation;</w:t>
      </w:r>
    </w:p>
    <w:p>
      <w:pPr>
        <w:numPr>
          <w:ilvl w:val="0"/>
          <w:numId w:val="1036"/>
        </w:numPr>
        <w:pStyle w:val="Compact"/>
      </w:pPr>
      <w:r>
        <w:t xml:space="preserve">short-lead roadmap → decision → critical path;</w:t>
      </w:r>
    </w:p>
    <w:p>
      <w:pPr>
        <w:numPr>
          <w:ilvl w:val="0"/>
          <w:numId w:val="1036"/>
        </w:numPr>
        <w:pStyle w:val="Compact"/>
      </w:pPr>
      <w:r>
        <w:t xml:space="preserve">message-derived change → impact → governed rebaseline;</w:t>
      </w:r>
    </w:p>
    <w:p>
      <w:pPr>
        <w:numPr>
          <w:ilvl w:val="0"/>
          <w:numId w:val="1036"/>
        </w:numPr>
        <w:pStyle w:val="Compact"/>
      </w:pPr>
      <w:r>
        <w:t xml:space="preserve">CEO Executive Event Command;</w:t>
      </w:r>
    </w:p>
    <w:p>
      <w:pPr>
        <w:numPr>
          <w:ilvl w:val="0"/>
          <w:numId w:val="1036"/>
        </w:numPr>
        <w:pStyle w:val="Compact"/>
      </w:pPr>
      <w:r>
        <w:t xml:space="preserve">Planner author/no self-approval;</w:t>
      </w:r>
    </w:p>
    <w:p>
      <w:pPr>
        <w:numPr>
          <w:ilvl w:val="0"/>
          <w:numId w:val="1036"/>
        </w:numPr>
        <w:pStyle w:val="Compact"/>
      </w:pPr>
      <w:r>
        <w:t xml:space="preserve">Event Director checker;</w:t>
      </w:r>
    </w:p>
    <w:p>
      <w:pPr>
        <w:numPr>
          <w:ilvl w:val="0"/>
          <w:numId w:val="1036"/>
        </w:numPr>
        <w:pStyle w:val="Compact"/>
      </w:pPr>
      <w:r>
        <w:t xml:space="preserve">Auditor/client/System Administrator permission negatives.</w:t>
      </w:r>
    </w:p>
    <w:p>
      <w:pPr>
        <w:pStyle w:val="FirstParagraph"/>
      </w:pPr>
      <w:r>
        <w:t xml:space="preserve">For changed pages run automated accessibility plus manual-style assertions at 360px, tablet, desktop and 200% zoom. Verify pointer/not-allowed/text cursors, focus, reduced motion and no document-level horizontal scroll.</w:t>
      </w:r>
    </w:p>
    <w:p>
      <w:pPr>
        <w:pStyle w:val="BodyText"/>
      </w:pPr>
      <w:r>
        <w:t xml:space="preserve">Do not make screenshots the sole evidence of server authority or durable persistence.</w:t>
      </w:r>
    </w:p>
    <w:p>
      <w:r>
        <w:pict>
          <v:rect style="width:0;height:1.5pt" o:hralign="center" o:hrstd="t" o:hr="t"/>
        </w:pict>
      </w:r>
    </w:p>
    <w:bookmarkEnd w:id="245"/>
    <w:bookmarkEnd w:id="246"/>
    <w:bookmarkStart w:id="250" w:name="X860057977fae33a4013cb6995fc9e449a682c02"/>
    <w:p>
      <w:pPr>
        <w:pStyle w:val="Heading1"/>
      </w:pPr>
      <w:r>
        <w:t xml:space="preserve">EEC-44 — Full gates, Railway deployment and live smoke</w:t>
      </w:r>
    </w:p>
    <w:bookmarkStart w:id="247" w:name="objective-44"/>
    <w:p>
      <w:pPr>
        <w:pStyle w:val="Heading2"/>
      </w:pPr>
      <w:r>
        <w:t xml:space="preserve">Objective</w:t>
      </w:r>
    </w:p>
    <w:p>
      <w:pPr>
        <w:pStyle w:val="FirstParagraph"/>
      </w:pPr>
      <w:r>
        <w:t xml:space="preserve">Release only a clean, reproducible build.</w:t>
      </w:r>
    </w:p>
    <w:bookmarkEnd w:id="247"/>
    <w:bookmarkStart w:id="248" w:name="gates"/>
    <w:p>
      <w:pPr>
        <w:pStyle w:val="Heading2"/>
      </w:pPr>
      <w:r>
        <w:t xml:space="preserve">Gates</w:t>
      </w:r>
    </w:p>
    <w:p>
      <w:pPr>
        <w:pStyle w:val="FirstParagraph"/>
      </w:pPr>
      <w:r>
        <w:t xml:space="preserve">Run and report first attempt:</w:t>
      </w:r>
    </w:p>
    <w:p>
      <w:pPr>
        <w:pStyle w:val="SourceCode"/>
      </w:pPr>
      <w:r>
        <w:rPr>
          <w:rStyle w:val="VerbatimChar"/>
        </w:rPr>
        <w:t xml:space="preserve">pnpm typecheck</w:t>
      </w:r>
      <w:r>
        <w:br/>
      </w:r>
      <w:r>
        <w:rPr>
          <w:rStyle w:val="VerbatimChar"/>
        </w:rPr>
        <w:t xml:space="preserve">pnpm --filter @maison-doclar/shared-platform test</w:t>
      </w:r>
      <w:r>
        <w:br/>
      </w:r>
      <w:r>
        <w:rPr>
          <w:rStyle w:val="VerbatimChar"/>
        </w:rPr>
        <w:t xml:space="preserve">pnpm --filter @maison-doclar/event-os test</w:t>
      </w:r>
      <w:r>
        <w:br/>
      </w:r>
      <w:r>
        <w:rPr>
          <w:rStyle w:val="VerbatimChar"/>
        </w:rPr>
        <w:t xml:space="preserve">pnpm programme:validate</w:t>
      </w:r>
      <w:r>
        <w:br/>
      </w:r>
      <w:r>
        <w:rPr>
          <w:rStyle w:val="VerbatimChar"/>
        </w:rPr>
        <w:t xml:space="preserve">pnpm --filter @maison-doclar/event-os build</w:t>
      </w:r>
      <w:r>
        <w:br/>
      </w:r>
      <w:r>
        <w:rPr>
          <w:rStyle w:val="VerbatimChar"/>
        </w:rPr>
        <w:t xml:space="preserve">git diff --check</w:t>
      </w:r>
    </w:p>
    <w:p>
      <w:pPr>
        <w:pStyle w:val="FirstParagraph"/>
      </w:pPr>
      <w:r>
        <w:t xml:space="preserve">Also run focused property/evaluation/security/E2E suites, additive migration twice, Postgres hydration/restart and representative large BOM/roadmap performance tests.</w:t>
      </w:r>
    </w:p>
    <w:bookmarkEnd w:id="248"/>
    <w:bookmarkStart w:id="249" w:name="pushdeploy"/>
    <w:p>
      <w:pPr>
        <w:pStyle w:val="Heading2"/>
      </w:pPr>
      <w:r>
        <w:t xml:space="preserve">Push/deploy</w:t>
      </w:r>
    </w:p>
    <w:p>
      <w:pPr>
        <w:pStyle w:val="FirstParagraph"/>
      </w:pPr>
      <w:r>
        <w:t xml:space="preserve">Commit by meaningful engineering boundary, push normally, verify local HEAD = origin/main = GitHub main. Deploy Event OS only to Railway</w:t>
      </w:r>
      <w:r>
        <w:t xml:space="preserve"> </w:t>
      </w:r>
      <w:r>
        <w:rPr>
          <w:rStyle w:val="VerbatimChar"/>
        </w:rPr>
        <w:t xml:space="preserve">atelier-doclar/production/event-os</w:t>
      </w:r>
      <w:r>
        <w:t xml:space="preserve">. Do not redeploy Control Tower unless its executable code changed. Verify exact deployed SHA, alive/ready, POSTGRES, migrations APPLIED, productionAuthorised false, existing layout asset/export readiness and AI provider state explicitly inactive/fixture as designed.</w:t>
      </w:r>
    </w:p>
    <w:p>
      <w:pPr>
        <w:pStyle w:val="BodyText"/>
      </w:pPr>
      <w:r>
        <w:t xml:space="preserve">Run live synthetic smoke for interview persistence, brief publication, deterministic budget, roadmap, change impact and role denial. No real data or external side effect.</w:t>
      </w:r>
    </w:p>
    <w:p>
      <w:r>
        <w:pict>
          <v:rect style="width:0;height:1.5pt" o:hralign="center" o:hrstd="t" o:hr="t"/>
        </w:pict>
      </w:r>
    </w:p>
    <w:bookmarkEnd w:id="249"/>
    <w:bookmarkEnd w:id="250"/>
    <w:bookmarkStart w:id="252" w:name="Xb311ffce08dea47af286b8260c78fdce47a3213"/>
    <w:p>
      <w:pPr>
        <w:pStyle w:val="Heading1"/>
      </w:pPr>
      <w:r>
        <w:t xml:space="preserve">EEC-45 — Consolidated implementation evidence package</w:t>
      </w:r>
    </w:p>
    <w:bookmarkStart w:id="251" w:name="objective-45"/>
    <w:p>
      <w:pPr>
        <w:pStyle w:val="Heading2"/>
      </w:pPr>
      <w:r>
        <w:t xml:space="preserve">Objective</w:t>
      </w:r>
    </w:p>
    <w:p>
      <w:pPr>
        <w:pStyle w:val="FirstParagraph"/>
      </w:pPr>
      <w:r>
        <w:t xml:space="preserve">Return one reviewable report without self-acceptance.</w:t>
      </w:r>
    </w:p>
    <w:p>
      <w:pPr>
        <w:pStyle w:val="BodyText"/>
      </w:pPr>
      <w:r>
        <w:t xml:space="preserve">Include:</w:t>
      </w:r>
    </w:p>
    <w:p>
      <w:pPr>
        <w:numPr>
          <w:ilvl w:val="0"/>
          <w:numId w:val="1037"/>
        </w:numPr>
        <w:pStyle w:val="Compact"/>
      </w:pPr>
      <w:r>
        <w:t xml:space="preserve">starting/final SHA, commits, files and migrations;</w:t>
      </w:r>
    </w:p>
    <w:p>
      <w:pPr>
        <w:numPr>
          <w:ilvl w:val="0"/>
          <w:numId w:val="1037"/>
        </w:numPr>
        <w:pStyle w:val="Compact"/>
      </w:pPr>
      <w:r>
        <w:t xml:space="preserve">EEC-00–45 disposition;</w:t>
      </w:r>
    </w:p>
    <w:p>
      <w:pPr>
        <w:numPr>
          <w:ilvl w:val="0"/>
          <w:numId w:val="1037"/>
        </w:numPr>
        <w:pStyle w:val="Compact"/>
      </w:pPr>
      <w:r>
        <w:t xml:space="preserve">domain/ADR deviations with rationale;</w:t>
      </w:r>
    </w:p>
    <w:p>
      <w:pPr>
        <w:numPr>
          <w:ilvl w:val="0"/>
          <w:numId w:val="1037"/>
        </w:numPr>
        <w:pStyle w:val="Compact"/>
      </w:pPr>
      <w:r>
        <w:t xml:space="preserve">exact TypeScript/schema/service/projection contracts implemented;</w:t>
      </w:r>
    </w:p>
    <w:p>
      <w:pPr>
        <w:numPr>
          <w:ilvl w:val="0"/>
          <w:numId w:val="1037"/>
        </w:numPr>
        <w:pStyle w:val="Compact"/>
      </w:pPr>
      <w:r>
        <w:t xml:space="preserve">Budget Engine taxonomy, rule DSL, calculation trace and scenario evidence;</w:t>
      </w:r>
    </w:p>
    <w:p>
      <w:pPr>
        <w:numPr>
          <w:ilvl w:val="0"/>
          <w:numId w:val="1037"/>
        </w:numPr>
        <w:pStyle w:val="Compact"/>
      </w:pPr>
      <w:r>
        <w:t xml:space="preserve">deterministic replay and money/currency tests;</w:t>
      </w:r>
    </w:p>
    <w:p>
      <w:pPr>
        <w:numPr>
          <w:ilvl w:val="0"/>
          <w:numId w:val="1037"/>
        </w:numPr>
        <w:pStyle w:val="Compact"/>
      </w:pPr>
      <w:r>
        <w:t xml:space="preserve">AI provider state, evaluation metrics and zero-tolerance outcomes;</w:t>
      </w:r>
    </w:p>
    <w:p>
      <w:pPr>
        <w:numPr>
          <w:ilvl w:val="0"/>
          <w:numId w:val="1037"/>
        </w:numPr>
        <w:pStyle w:val="Compact"/>
      </w:pPr>
      <w:r>
        <w:t xml:space="preserve">role/scope/maker-checker/IDOR/concurrency/idempotency evidence;</w:t>
      </w:r>
    </w:p>
    <w:p>
      <w:pPr>
        <w:numPr>
          <w:ilvl w:val="0"/>
          <w:numId w:val="1037"/>
        </w:numPr>
        <w:pStyle w:val="Compact"/>
      </w:pPr>
      <w:r>
        <w:t xml:space="preserve">frontend responsive/keyboard/focus/reduced-motion/accessibility evidence;</w:t>
      </w:r>
    </w:p>
    <w:p>
      <w:pPr>
        <w:numPr>
          <w:ilvl w:val="0"/>
          <w:numId w:val="1037"/>
        </w:numPr>
        <w:pStyle w:val="Compact"/>
      </w:pPr>
      <w:r>
        <w:t xml:space="preserve">first-run failures, root causes and corrections;</w:t>
      </w:r>
    </w:p>
    <w:p>
      <w:pPr>
        <w:numPr>
          <w:ilvl w:val="0"/>
          <w:numId w:val="1037"/>
        </w:numPr>
        <w:pStyle w:val="Compact"/>
      </w:pPr>
      <w:r>
        <w:t xml:space="preserve">full gate results;</w:t>
      </w:r>
    </w:p>
    <w:p>
      <w:pPr>
        <w:numPr>
          <w:ilvl w:val="0"/>
          <w:numId w:val="1037"/>
        </w:numPr>
        <w:pStyle w:val="Compact"/>
      </w:pPr>
      <w:r>
        <w:t xml:space="preserve">GitHub parity;</w:t>
      </w:r>
    </w:p>
    <w:p>
      <w:pPr>
        <w:numPr>
          <w:ilvl w:val="0"/>
          <w:numId w:val="1037"/>
        </w:numPr>
        <w:pStyle w:val="Compact"/>
      </w:pPr>
      <w:r>
        <w:t xml:space="preserve">Railway deployment/readiness/live smoke;</w:t>
      </w:r>
    </w:p>
    <w:p>
      <w:pPr>
        <w:numPr>
          <w:ilvl w:val="0"/>
          <w:numId w:val="1037"/>
        </w:numPr>
        <w:pStyle w:val="Compact"/>
      </w:pPr>
      <w:r>
        <w:t xml:space="preserve">remaining debt and rollback/forward recovery.</w:t>
      </w:r>
    </w:p>
    <w:p>
      <w:pPr>
        <w:pStyle w:val="FirstParagraph"/>
      </w:pPr>
      <w:r>
        <w:t xml:space="preserve">Do not claim acceptance. Do not start EOS-S06.</w:t>
      </w:r>
    </w:p>
    <w:p>
      <w:pPr>
        <w:pStyle w:val="BodyText"/>
      </w:pPr>
      <w:r>
        <w:t xml:space="preserve">End exactly:</w:t>
      </w:r>
    </w:p>
    <w:p>
      <w:pPr>
        <w:pStyle w:val="BodyText"/>
      </w:pPr>
      <w:r>
        <w:rPr>
          <w:rStyle w:val="VerbatimChar"/>
        </w:rPr>
        <w:t xml:space="preserve">EOS-S05A IMPLEMENTATION COMPLETE — READY FOR AI CTO REVIEW AND INDEPENDENT HUMAN VERIFICATION — NOT ACCEPTED — EOS-S06 NOT STARTED.</w:t>
      </w:r>
    </w:p>
    <w:p>
      <w:r>
        <w:pict>
          <v:rect style="width:0;height:1.5pt" o:hralign="center" o:hrstd="t" o:hr="t"/>
        </w:pict>
      </w:r>
    </w:p>
    <w:bookmarkEnd w:id="251"/>
    <w:bookmarkEnd w:id="252"/>
    <w:bookmarkStart w:id="253" w:name="master-release-wrapper-md-pr-s037"/>
    <w:p>
      <w:pPr>
        <w:pStyle w:val="Heading1"/>
      </w:pPr>
      <w:r>
        <w:t xml:space="preserve">Master release wrapper — MD-PR-S037</w:t>
      </w:r>
    </w:p>
    <w:p>
      <w:pPr>
        <w:pStyle w:val="FirstParagraph"/>
      </w:pPr>
      <w:r>
        <w:t xml:space="preserve">When George approves the pack, the AI CTO will issue a wrapper containing:</w:t>
      </w:r>
    </w:p>
    <w:p>
      <w:pPr>
        <w:numPr>
          <w:ilvl w:val="0"/>
          <w:numId w:val="1038"/>
        </w:numPr>
        <w:pStyle w:val="Compact"/>
      </w:pPr>
      <w:r>
        <w:t xml:space="preserve">exact then-current baseline SHA;</w:t>
      </w:r>
    </w:p>
    <w:p>
      <w:pPr>
        <w:numPr>
          <w:ilvl w:val="0"/>
          <w:numId w:val="1038"/>
        </w:numPr>
        <w:pStyle w:val="Compact"/>
      </w:pPr>
      <w:r>
        <w:t xml:space="preserve">confirmation that documents 00–03, 02A and 05 plus Volumes A–D are controlling;</w:t>
      </w:r>
    </w:p>
    <w:p>
      <w:pPr>
        <w:numPr>
          <w:ilvl w:val="0"/>
          <w:numId w:val="1038"/>
        </w:numPr>
        <w:pStyle w:val="Compact"/>
      </w:pPr>
      <w:r>
        <w:t xml:space="preserve">the authorised prompt range/milestone batch;</w:t>
      </w:r>
    </w:p>
    <w:p>
      <w:pPr>
        <w:numPr>
          <w:ilvl w:val="0"/>
          <w:numId w:val="1038"/>
        </w:numPr>
        <w:pStyle w:val="Compact"/>
      </w:pPr>
      <w:r>
        <w:t xml:space="preserve">deploy-by-default instruction;</w:t>
      </w:r>
    </w:p>
    <w:p>
      <w:pPr>
        <w:numPr>
          <w:ilvl w:val="0"/>
          <w:numId w:val="1038"/>
        </w:numPr>
        <w:pStyle w:val="Compact"/>
      </w:pPr>
      <w:r>
        <w:t xml:space="preserve">any provider variables and whether George must supply them;</w:t>
      </w:r>
    </w:p>
    <w:p>
      <w:pPr>
        <w:numPr>
          <w:ilvl w:val="0"/>
          <w:numId w:val="1038"/>
        </w:numPr>
        <w:pStyle w:val="Compact"/>
      </w:pPr>
      <w:r>
        <w:t xml:space="preserve">the required milestone stop.</w:t>
      </w:r>
    </w:p>
    <w:p>
      <w:pPr>
        <w:pStyle w:val="FirstParagraph"/>
      </w:pPr>
      <w:r>
        <w:t xml:space="preserve">Cursor must not execute from these draft volumes until that wrapper is visible to George and explicitly approved.</w:t>
      </w:r>
    </w:p>
    <w:bookmarkEnd w:id="253"/>
    <w:sectPr w:rsidR="00FC693F" w:rsidRPr="0006063C" w:rsidSect="00034616">
      <w:headerReference r:id="rId9" w:type="default"/>
      <w:footerReference r:id="rId10" w:type="default"/>
      <w:pgSz w:h="15840" w:w="12240"/>
      <w:pgMar w:bottom="1152" w:footer="504" w:gutter="0" w:header="504"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A52"/>
        <w:sz w:val="16"/>
      </w:rPr>
      <w:t>CEO REVIEW DRAFT  •  MD-PR-S037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5F5A52"/>
        <w:sz w:val="16"/>
      </w:rPr>
      <w:t>MAISON DOCLAR  |  EXECUTIVE EVENT COMMAND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Aptos" w:hAnsi="Aptos"/>
      <w:color w:val="11100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val="11100F"/>
      <w:sz w:val="34"/>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val="8B6E38"/>
      <w:sz w:val="27"/>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w:asciiTheme="majorHAnsi" w:cstheme="majorBidi" w:eastAsiaTheme="majorEastAsia" w:hAnsi="Aptos" w:hAnsiTheme="majorHAnsi"/>
      <w:b/>
      <w:bCs/>
      <w:color w:val="11100F"/>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Aptos" w:asciiTheme="majorHAnsi" w:cstheme="majorBidi" w:eastAsiaTheme="majorEastAsia" w:hAnsi="Aptos" w:hAnsiTheme="majorHAnsi"/>
      <w:b/>
      <w:bCs/>
      <w:i/>
      <w:iCs/>
      <w:color w:val="8B6E38"/>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ptos Display" w:asciiTheme="majorHAnsi" w:cstheme="majorBidi" w:eastAsiaTheme="majorEastAsia" w:hAnsi="Aptos Display" w:hAnsiTheme="majorHAnsi"/>
      <w:b/>
      <w:color w:val="11100F"/>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20" w:before="0"/>
    </w:pPr>
    <w:rPr>
      <w:rFonts w:ascii="Aptos" w:asciiTheme="majorHAnsi" w:cstheme="majorBidi" w:eastAsiaTheme="majorEastAsia" w:hAnsi="Aptos" w:hAnsiTheme="majorHAnsi"/>
      <w:b w:val="0"/>
      <w:i/>
      <w:iCs/>
      <w:color w:val="5F5A52"/>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76" w:lineRule="auto"/>
      <w:ind w:hanging="259" w:left="461"/>
      <w:contextualSpacing/>
    </w:pPr>
    <w:rPr>
      <w:rFonts w:ascii="Aptos" w:hAnsi="Aptos"/>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76" w:lineRule="auto"/>
      <w:ind w:hanging="259" w:left="461"/>
      <w:contextualSpacing/>
    </w:pPr>
    <w:rPr>
      <w:rFonts w:ascii="Aptos" w:hAnsi="Aptos"/>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Aptos Mono" w:hAnsi="Aptos Mono"/>
      <w:color w:val="11100F"/>
      <w:sz w:val="17"/>
    </w:rPr>
  </w:style>
  <w:style w:customStyle="1" w:styleId="Table" w:type="table">
    <w:name w:val="Table"/>
    <w:rPr>
      <w:rFonts w:ascii="Aptos" w:hAnsi="Aptos"/>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2026-09-08T20:25:09Z</dcterms:created>
  <dcterms:modified xsi:type="dcterms:W3CDTF">2026-09-08T20:25:09Z</dcterms:modified>
</cp:coreProperties>
</file>

<file path=docProps/custom.xml><?xml version="1.0" encoding="utf-8"?>
<Properties xmlns="http://schemas.openxmlformats.org/officeDocument/2006/custom-properties" xmlns:vt="http://schemas.openxmlformats.org/officeDocument/2006/docPropsVTypes"/>
</file>