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b/>
          <w:color w:val="B79F85"/>
          <w:sz w:val="24"/>
        </w:rPr>
        <w:t>MAISON DOCLAR</w:t>
      </w:r>
    </w:p>
    <w:p>
      <w:pPr>
        <w:pStyle w:val="Title"/>
        <w:jc w:val="center"/>
      </w:pPr>
      <w:r>
        <w:rPr>
          <w:b/>
        </w:rPr>
        <w:t>EOS-S04A</w:t>
      </w:r>
    </w:p>
    <w:p>
      <w:pPr>
        <w:pStyle w:val="Subtitle"/>
        <w:jc w:val="center"/>
      </w:pPr>
      <w:r>
        <w:t>Guest Addressing, Relationships &amp; Party Entitlements</w:t>
      </w:r>
    </w:p>
    <w:p>
      <w:pPr>
        <w:jc w:val="center"/>
      </w:pPr>
      <w:r>
        <w:rPr>
          <w:b/>
          <w:color w:val="5A626C"/>
          <w:sz w:val="20"/>
        </w:rPr>
        <w:t>CONTROLLED SLICE PACK · VERSION 1.0 DRAFT</w:t>
      </w:r>
    </w:p>
    <w:p>
      <w:pPr>
        <w:spacing w:after="900"/>
      </w:pP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232"/>
            <w:shd w:fill="E8EEF5"/>
            <w:tcMar>
              <w:top w:w="80" w:type="dxa"/>
              <w:start w:w="120" w:type="dxa"/>
              <w:bottom w:w="80" w:type="dxa"/>
              <w:end w:w="120" w:type="dxa"/>
            </w:tcMar>
            <w:vAlign w:val="center"/>
          </w:tcPr>
          <w:p>
            <w:r>
              <w:rPr>
                <w:b/>
                <w:color w:val="0B2545"/>
                <w:sz w:val="18"/>
              </w:rPr>
              <w:t>Control</w:t>
            </w:r>
          </w:p>
        </w:tc>
        <w:tc>
          <w:tcPr>
            <w:tcW w:type="dxa" w:w="7128"/>
            <w:shd w:fill="E8EEF5"/>
            <w:tcMar>
              <w:top w:w="80" w:type="dxa"/>
              <w:start w:w="120" w:type="dxa"/>
              <w:bottom w:w="80" w:type="dxa"/>
              <w:end w:w="120" w:type="dxa"/>
            </w:tcMar>
            <w:vAlign w:val="center"/>
          </w:tcPr>
          <w:p>
            <w:r>
              <w:rPr>
                <w:b/>
                <w:color w:val="0B2545"/>
                <w:sz w:val="18"/>
              </w:rPr>
              <w:t>Value</w:t>
            </w:r>
          </w:p>
        </w:tc>
      </w:tr>
      <w:tr>
        <w:trPr>
          <w:cantSplit/>
        </w:trPr>
        <w:tc>
          <w:tcPr>
            <w:tcW w:type="dxa" w:w="2232"/>
            <w:tcMar>
              <w:top w:w="80" w:type="dxa"/>
              <w:start w:w="120" w:type="dxa"/>
              <w:bottom w:w="80" w:type="dxa"/>
              <w:end w:w="120" w:type="dxa"/>
            </w:tcMar>
            <w:vAlign w:val="top"/>
          </w:tcPr>
          <w:p>
            <w:pPr>
              <w:spacing w:after="0"/>
            </w:pPr>
            <w:r>
              <w:rPr>
                <w:sz w:val="17"/>
              </w:rPr>
              <w:t>Product</w:t>
            </w:r>
          </w:p>
        </w:tc>
        <w:tc>
          <w:tcPr>
            <w:tcW w:type="dxa" w:w="7128"/>
            <w:tcMar>
              <w:top w:w="80" w:type="dxa"/>
              <w:start w:w="120" w:type="dxa"/>
              <w:bottom w:w="80" w:type="dxa"/>
              <w:end w:w="120" w:type="dxa"/>
            </w:tcMar>
            <w:vAlign w:val="top"/>
          </w:tcPr>
          <w:p>
            <w:pPr>
              <w:spacing w:after="0"/>
            </w:pPr>
            <w:r>
              <w:rPr>
                <w:sz w:val="17"/>
              </w:rPr>
              <w:t>Maison Doclar Event OS</w:t>
            </w:r>
          </w:p>
        </w:tc>
      </w:tr>
      <w:tr>
        <w:trPr>
          <w:cantSplit/>
        </w:trPr>
        <w:tc>
          <w:tcPr>
            <w:tcW w:type="dxa" w:w="2232"/>
            <w:tcMar>
              <w:top w:w="80" w:type="dxa"/>
              <w:start w:w="120" w:type="dxa"/>
              <w:bottom w:w="80" w:type="dxa"/>
              <w:end w:w="120" w:type="dxa"/>
            </w:tcMar>
            <w:vAlign w:val="top"/>
          </w:tcPr>
          <w:p>
            <w:pPr>
              <w:spacing w:after="0"/>
            </w:pPr>
            <w:r>
              <w:rPr>
                <w:sz w:val="17"/>
              </w:rPr>
              <w:t>Proposed slice</w:t>
            </w:r>
          </w:p>
        </w:tc>
        <w:tc>
          <w:tcPr>
            <w:tcW w:type="dxa" w:w="7128"/>
            <w:tcMar>
              <w:top w:w="80" w:type="dxa"/>
              <w:start w:w="120" w:type="dxa"/>
              <w:bottom w:w="80" w:type="dxa"/>
              <w:end w:w="120" w:type="dxa"/>
            </w:tcMar>
            <w:vAlign w:val="top"/>
          </w:tcPr>
          <w:p>
            <w:pPr>
              <w:spacing w:after="0"/>
            </w:pPr>
            <w:r>
              <w:rPr>
                <w:sz w:val="17"/>
              </w:rPr>
              <w:t>EOS-S04A — inserted after EOS-S04 and before EOS-S05</w:t>
            </w:r>
          </w:p>
        </w:tc>
      </w:tr>
      <w:tr>
        <w:trPr>
          <w:cantSplit/>
        </w:trPr>
        <w:tc>
          <w:tcPr>
            <w:tcW w:type="dxa" w:w="2232"/>
            <w:tcMar>
              <w:top w:w="80" w:type="dxa"/>
              <w:start w:w="120" w:type="dxa"/>
              <w:bottom w:w="80" w:type="dxa"/>
              <w:end w:w="120" w:type="dxa"/>
            </w:tcMar>
            <w:vAlign w:val="top"/>
          </w:tcPr>
          <w:p>
            <w:pPr>
              <w:spacing w:after="0"/>
            </w:pPr>
            <w:r>
              <w:rPr>
                <w:sz w:val="17"/>
              </w:rPr>
              <w:t>Status</w:t>
            </w:r>
          </w:p>
        </w:tc>
        <w:tc>
          <w:tcPr>
            <w:tcW w:type="dxa" w:w="7128"/>
            <w:tcMar>
              <w:top w:w="80" w:type="dxa"/>
              <w:start w:w="120" w:type="dxa"/>
              <w:bottom w:w="80" w:type="dxa"/>
              <w:end w:w="120" w:type="dxa"/>
            </w:tcMar>
            <w:vAlign w:val="top"/>
          </w:tcPr>
          <w:p>
            <w:pPr>
              <w:spacing w:after="0"/>
            </w:pPr>
            <w:r>
              <w:rPr>
                <w:sz w:val="17"/>
              </w:rPr>
              <w:t>DRAFT FOR CEO RATIFICATION — implementation not authorised</w:t>
            </w:r>
          </w:p>
        </w:tc>
      </w:tr>
      <w:tr>
        <w:trPr>
          <w:cantSplit/>
        </w:trPr>
        <w:tc>
          <w:tcPr>
            <w:tcW w:type="dxa" w:w="2232"/>
            <w:tcMar>
              <w:top w:w="80" w:type="dxa"/>
              <w:start w:w="120" w:type="dxa"/>
              <w:bottom w:w="80" w:type="dxa"/>
              <w:end w:w="120" w:type="dxa"/>
            </w:tcMar>
            <w:vAlign w:val="top"/>
          </w:tcPr>
          <w:p>
            <w:pPr>
              <w:spacing w:after="0"/>
            </w:pPr>
            <w:r>
              <w:rPr>
                <w:sz w:val="17"/>
              </w:rPr>
              <w:t>Repository boundary</w:t>
            </w:r>
          </w:p>
        </w:tc>
        <w:tc>
          <w:tcPr>
            <w:tcW w:type="dxa" w:w="7128"/>
            <w:tcMar>
              <w:top w:w="80" w:type="dxa"/>
              <w:start w:w="120" w:type="dxa"/>
              <w:bottom w:w="80" w:type="dxa"/>
              <w:end w:w="120" w:type="dxa"/>
            </w:tcMar>
            <w:vAlign w:val="top"/>
          </w:tcPr>
          <w:p>
            <w:pPr>
              <w:spacing w:after="0"/>
            </w:pPr>
            <w:r>
              <w:rPr>
                <w:sz w:val="17"/>
              </w:rPr>
              <w:t>kglaw-Oluseyi/atelier-doclar only</w:t>
            </w:r>
          </w:p>
        </w:tc>
      </w:tr>
      <w:tr>
        <w:trPr>
          <w:cantSplit/>
        </w:trPr>
        <w:tc>
          <w:tcPr>
            <w:tcW w:type="dxa" w:w="2232"/>
            <w:tcMar>
              <w:top w:w="80" w:type="dxa"/>
              <w:start w:w="120" w:type="dxa"/>
              <w:bottom w:w="80" w:type="dxa"/>
              <w:end w:w="120" w:type="dxa"/>
            </w:tcMar>
            <w:vAlign w:val="top"/>
          </w:tcPr>
          <w:p>
            <w:pPr>
              <w:spacing w:after="0"/>
            </w:pPr>
            <w:r>
              <w:rPr>
                <w:sz w:val="17"/>
              </w:rPr>
              <w:t>Production</w:t>
            </w:r>
          </w:p>
        </w:tc>
        <w:tc>
          <w:tcPr>
            <w:tcW w:type="dxa" w:w="7128"/>
            <w:tcMar>
              <w:top w:w="80" w:type="dxa"/>
              <w:start w:w="120" w:type="dxa"/>
              <w:bottom w:w="80" w:type="dxa"/>
              <w:end w:w="120" w:type="dxa"/>
            </w:tcMar>
            <w:vAlign w:val="top"/>
          </w:tcPr>
          <w:p>
            <w:pPr>
              <w:spacing w:after="0"/>
            </w:pPr>
            <w:r>
              <w:rPr>
                <w:sz w:val="17"/>
              </w:rPr>
              <w:t>Unauthorised; all protected gates remain unsigned</w:t>
            </w:r>
          </w:p>
        </w:tc>
      </w:tr>
      <w:tr>
        <w:trPr>
          <w:cantSplit/>
        </w:trPr>
        <w:tc>
          <w:tcPr>
            <w:tcW w:type="dxa" w:w="2232"/>
            <w:tcMar>
              <w:top w:w="80" w:type="dxa"/>
              <w:start w:w="120" w:type="dxa"/>
              <w:bottom w:w="80" w:type="dxa"/>
              <w:end w:w="120" w:type="dxa"/>
            </w:tcMar>
            <w:vAlign w:val="top"/>
          </w:tcPr>
          <w:p>
            <w:pPr>
              <w:spacing w:after="0"/>
            </w:pPr>
            <w:r>
              <w:rPr>
                <w:sz w:val="17"/>
              </w:rPr>
              <w:t>Prepared</w:t>
            </w:r>
          </w:p>
        </w:tc>
        <w:tc>
          <w:tcPr>
            <w:tcW w:type="dxa" w:w="7128"/>
            <w:tcMar>
              <w:top w:w="80" w:type="dxa"/>
              <w:start w:w="120" w:type="dxa"/>
              <w:bottom w:w="80" w:type="dxa"/>
              <w:end w:w="120" w:type="dxa"/>
            </w:tcMar>
            <w:vAlign w:val="top"/>
          </w:tcPr>
          <w:p>
            <w:pPr>
              <w:spacing w:after="0"/>
            </w:pPr>
            <w:r>
              <w:rPr>
                <w:sz w:val="17"/>
              </w:rPr>
              <w:t>6 September 2026</w:t>
            </w:r>
          </w:p>
        </w:tc>
      </w:tr>
    </w:tbl>
    <w:p>
      <w:pPr>
        <w:spacing w:after="20"/>
      </w:pPr>
    </w:p>
    <w:tbl>
      <w:tblPr>
        <w:tblW w:type="dxa" w:w="9360"/>
        <w:jc w:val="left"/>
        <w:tblLayout w:type="fixed"/>
        <w:tblLook w:firstColumn="1" w:firstRow="1" w:lastColumn="0" w:lastRow="0" w:noHBand="0" w:noVBand="1" w:val="04A0"/>
      </w:tblPr>
      <w:tblGrid>
        <w:gridCol w:w="9360"/>
      </w:tblGrid>
      <w:tr>
        <w:trPr>
          <w:cantSplit/>
        </w:trPr>
        <w:tc>
          <w:tcPr>
            <w:tcW w:type="dxa" w:w="9360"/>
            <w:shd w:fill="E8EEF5"/>
            <w:tcMar>
              <w:top w:w="130" w:type="dxa"/>
              <w:start w:w="180" w:type="dxa"/>
              <w:bottom w:w="130" w:type="dxa"/>
              <w:end w:w="180" w:type="dxa"/>
            </w:tcMar>
          </w:tcPr>
          <w:p>
            <w:pPr>
              <w:spacing w:after="0"/>
            </w:pPr>
            <w:r>
              <w:rPr>
                <w:b/>
                <w:color w:val="0B2545"/>
              </w:rPr>
              <w:t xml:space="preserve">CEO DIRECTION  </w:t>
            </w:r>
            <w:r>
              <w:t>Every actual person associated with an event receives an independent guestId when represented as a guest. Every event occurrence receives an independent eventId. Households, parties, entitlements and event series link records; they never replace individual identity.</w:t>
            </w:r>
          </w:p>
        </w:tc>
      </w:tr>
    </w:tbl>
    <w:p>
      <w:pPr>
        <w:spacing w:after="20"/>
      </w:pPr>
    </w:p>
    <w:p>
      <w:r>
        <w:br w:type="page"/>
      </w:r>
    </w:p>
    <w:p>
      <w:pPr>
        <w:pStyle w:val="Heading1"/>
      </w:pPr>
      <w:r>
        <w:t>1. Executive decision and reconciliation</w:t>
      </w:r>
    </w:p>
    <w:p>
      <w:r>
        <w:t>EOS-S04A is a new controlled foundation slice. It does not reopen or reinterpret accepted EOS-S01–EOS-S04. It closes a newly identified domain gap before EOS-S05: the platform currently lacks a complete, governed representation of formal address, relationships, households, named and unnamed companions, children and operational party membership.</w:t>
      </w:r>
    </w:p>
    <w:tbl>
      <w:tblPr>
        <w:tblW w:type="dxa" w:w="9360"/>
        <w:jc w:val="left"/>
        <w:tblLayout w:type="fixed"/>
        <w:tblLook w:firstColumn="1" w:firstRow="1" w:lastColumn="0" w:lastRow="0" w:noHBand="0" w:noVBand="1" w:val="04A0"/>
      </w:tblPr>
      <w:tblGrid>
        <w:gridCol w:w="9360"/>
      </w:tblGrid>
      <w:tr>
        <w:trPr>
          <w:cantSplit/>
        </w:trPr>
        <w:tc>
          <w:tcPr>
            <w:tcW w:type="dxa" w:w="9360"/>
            <w:shd w:fill="F2F4F7"/>
            <w:tcMar>
              <w:top w:w="130" w:type="dxa"/>
              <w:start w:w="180" w:type="dxa"/>
              <w:bottom w:w="130" w:type="dxa"/>
              <w:end w:w="180" w:type="dxa"/>
            </w:tcMar>
          </w:tcPr>
          <w:p>
            <w:pPr>
              <w:spacing w:after="0"/>
            </w:pPr>
            <w:r>
              <w:rPr>
                <w:b/>
                <w:color w:val="0B2545"/>
              </w:rPr>
              <w:t xml:space="preserve">RECOMMENDATION  </w:t>
            </w:r>
            <w:r>
              <w:t>Insert EOS-S04A after EOS-S04. Make EOS-S05 progression dependent on EOS-S04A acceptance. Preserve EOS-S03 as the sole authority for invitation and RSVP entitlements; EOS-S04A models and administers those entitlements but cannot invent them.</w:t>
            </w:r>
          </w:p>
        </w:tc>
      </w:tr>
    </w:tbl>
    <w:p>
      <w:pPr>
        <w:spacing w:after="20"/>
      </w:pPr>
    </w:p>
    <w:p>
      <w:pPr>
        <w:pStyle w:val="Heading2"/>
      </w:pPr>
      <w:r>
        <w:t>1.1 Dependency ruling</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088"/>
            <w:shd w:fill="E8EEF5"/>
            <w:tcMar>
              <w:top w:w="80" w:type="dxa"/>
              <w:start w:w="120" w:type="dxa"/>
              <w:bottom w:w="80" w:type="dxa"/>
              <w:end w:w="120" w:type="dxa"/>
            </w:tcMar>
            <w:vAlign w:val="center"/>
          </w:tcPr>
          <w:p>
            <w:r>
              <w:rPr>
                <w:b/>
                <w:color w:val="0B2545"/>
                <w:sz w:val="18"/>
              </w:rPr>
              <w:t>Relationship</w:t>
            </w:r>
          </w:p>
        </w:tc>
        <w:tc>
          <w:tcPr>
            <w:tcW w:type="dxa" w:w="7272"/>
            <w:shd w:fill="E8EEF5"/>
            <w:tcMar>
              <w:top w:w="80" w:type="dxa"/>
              <w:start w:w="120" w:type="dxa"/>
              <w:bottom w:w="80" w:type="dxa"/>
              <w:end w:w="120" w:type="dxa"/>
            </w:tcMar>
            <w:vAlign w:val="center"/>
          </w:tcPr>
          <w:p>
            <w:r>
              <w:rPr>
                <w:b/>
                <w:color w:val="0B2545"/>
                <w:sz w:val="18"/>
              </w:rPr>
              <w:t>Ruling</w:t>
            </w:r>
          </w:p>
        </w:tc>
      </w:tr>
      <w:tr>
        <w:trPr>
          <w:cantSplit/>
        </w:trPr>
        <w:tc>
          <w:tcPr>
            <w:tcW w:type="dxa" w:w="2088"/>
            <w:tcMar>
              <w:top w:w="80" w:type="dxa"/>
              <w:start w:w="120" w:type="dxa"/>
              <w:bottom w:w="80" w:type="dxa"/>
              <w:end w:w="120" w:type="dxa"/>
            </w:tcMar>
            <w:vAlign w:val="top"/>
          </w:tcPr>
          <w:p>
            <w:pPr>
              <w:spacing w:after="0"/>
            </w:pPr>
            <w:r>
              <w:rPr>
                <w:sz w:val="17"/>
              </w:rPr>
              <w:t>EOS-S01</w:t>
            </w:r>
          </w:p>
        </w:tc>
        <w:tc>
          <w:tcPr>
            <w:tcW w:type="dxa" w:w="7272"/>
            <w:tcMar>
              <w:top w:w="80" w:type="dxa"/>
              <w:start w:w="120" w:type="dxa"/>
              <w:bottom w:w="80" w:type="dxa"/>
              <w:end w:w="120" w:type="dxa"/>
            </w:tcMar>
            <w:vAlign w:val="top"/>
          </w:tcPr>
          <w:p>
            <w:pPr>
              <w:spacing w:after="0"/>
            </w:pPr>
            <w:r>
              <w:rPr>
                <w:sz w:val="17"/>
              </w:rPr>
              <w:t>Reuses organisation, identity, role, event and audit foundations.</w:t>
            </w:r>
          </w:p>
        </w:tc>
      </w:tr>
      <w:tr>
        <w:trPr>
          <w:cantSplit/>
        </w:trPr>
        <w:tc>
          <w:tcPr>
            <w:tcW w:type="dxa" w:w="2088"/>
            <w:tcMar>
              <w:top w:w="80" w:type="dxa"/>
              <w:start w:w="120" w:type="dxa"/>
              <w:bottom w:w="80" w:type="dxa"/>
              <w:end w:w="120" w:type="dxa"/>
            </w:tcMar>
            <w:vAlign w:val="top"/>
          </w:tcPr>
          <w:p>
            <w:pPr>
              <w:spacing w:after="0"/>
            </w:pPr>
            <w:r>
              <w:rPr>
                <w:sz w:val="17"/>
              </w:rPr>
              <w:t>EOS-S02</w:t>
            </w:r>
          </w:p>
        </w:tc>
        <w:tc>
          <w:tcPr>
            <w:tcW w:type="dxa" w:w="7272"/>
            <w:tcMar>
              <w:top w:w="80" w:type="dxa"/>
              <w:start w:w="120" w:type="dxa"/>
              <w:bottom w:w="80" w:type="dxa"/>
              <w:end w:w="120" w:type="dxa"/>
            </w:tcMar>
            <w:vAlign w:val="top"/>
          </w:tcPr>
          <w:p>
            <w:pPr>
              <w:spacing w:after="0"/>
            </w:pPr>
            <w:r>
              <w:rPr>
                <w:sz w:val="17"/>
              </w:rPr>
              <w:t>Extends guest intake and directory without replacing guest identity.</w:t>
            </w:r>
          </w:p>
        </w:tc>
      </w:tr>
      <w:tr>
        <w:trPr>
          <w:cantSplit/>
        </w:trPr>
        <w:tc>
          <w:tcPr>
            <w:tcW w:type="dxa" w:w="2088"/>
            <w:tcMar>
              <w:top w:w="80" w:type="dxa"/>
              <w:start w:w="120" w:type="dxa"/>
              <w:bottom w:w="80" w:type="dxa"/>
              <w:end w:w="120" w:type="dxa"/>
            </w:tcMar>
            <w:vAlign w:val="top"/>
          </w:tcPr>
          <w:p>
            <w:pPr>
              <w:spacing w:after="0"/>
            </w:pPr>
            <w:r>
              <w:rPr>
                <w:sz w:val="17"/>
              </w:rPr>
              <w:t>EOS-S03</w:t>
            </w:r>
          </w:p>
        </w:tc>
        <w:tc>
          <w:tcPr>
            <w:tcW w:type="dxa" w:w="7272"/>
            <w:tcMar>
              <w:top w:w="80" w:type="dxa"/>
              <w:start w:w="120" w:type="dxa"/>
              <w:bottom w:w="80" w:type="dxa"/>
              <w:end w:w="120" w:type="dxa"/>
            </w:tcMar>
            <w:vAlign w:val="top"/>
          </w:tcPr>
          <w:p>
            <w:pPr>
              <w:spacing w:after="0"/>
            </w:pPr>
            <w:r>
              <w:rPr>
                <w:sz w:val="17"/>
              </w:rPr>
              <w:t>Consumes governed invitation/companion entitlement authority; no new invitation authority.</w:t>
            </w:r>
          </w:p>
        </w:tc>
      </w:tr>
      <w:tr>
        <w:trPr>
          <w:cantSplit/>
        </w:trPr>
        <w:tc>
          <w:tcPr>
            <w:tcW w:type="dxa" w:w="2088"/>
            <w:tcMar>
              <w:top w:w="80" w:type="dxa"/>
              <w:start w:w="120" w:type="dxa"/>
              <w:bottom w:w="80" w:type="dxa"/>
              <w:end w:w="120" w:type="dxa"/>
            </w:tcMar>
            <w:vAlign w:val="top"/>
          </w:tcPr>
          <w:p>
            <w:pPr>
              <w:spacing w:after="0"/>
            </w:pPr>
            <w:r>
              <w:rPr>
                <w:sz w:val="17"/>
              </w:rPr>
              <w:t>EOS-S04</w:t>
            </w:r>
          </w:p>
        </w:tc>
        <w:tc>
          <w:tcPr>
            <w:tcW w:type="dxa" w:w="7272"/>
            <w:tcMar>
              <w:top w:w="80" w:type="dxa"/>
              <w:start w:w="120" w:type="dxa"/>
              <w:bottom w:w="80" w:type="dxa"/>
              <w:end w:w="120" w:type="dxa"/>
            </w:tcMar>
            <w:vAlign w:val="top"/>
          </w:tcPr>
          <w:p>
            <w:pPr>
              <w:spacing w:after="0"/>
            </w:pPr>
            <w:r>
              <w:rPr>
                <w:sz w:val="17"/>
              </w:rPr>
              <w:t>Extends safe addressing, audiences, inbox and correction flows.</w:t>
            </w:r>
          </w:p>
        </w:tc>
      </w:tr>
      <w:tr>
        <w:trPr>
          <w:cantSplit/>
        </w:trPr>
        <w:tc>
          <w:tcPr>
            <w:tcW w:type="dxa" w:w="2088"/>
            <w:tcMar>
              <w:top w:w="80" w:type="dxa"/>
              <w:start w:w="120" w:type="dxa"/>
              <w:bottom w:w="80" w:type="dxa"/>
              <w:end w:w="120" w:type="dxa"/>
            </w:tcMar>
            <w:vAlign w:val="top"/>
          </w:tcPr>
          <w:p>
            <w:pPr>
              <w:spacing w:after="0"/>
            </w:pPr>
            <w:r>
              <w:rPr>
                <w:sz w:val="17"/>
              </w:rPr>
              <w:t>EOS-S05</w:t>
            </w:r>
          </w:p>
        </w:tc>
        <w:tc>
          <w:tcPr>
            <w:tcW w:type="dxa" w:w="7272"/>
            <w:tcMar>
              <w:top w:w="80" w:type="dxa"/>
              <w:start w:w="120" w:type="dxa"/>
              <w:bottom w:w="80" w:type="dxa"/>
              <w:end w:w="120" w:type="dxa"/>
            </w:tcMar>
            <w:vAlign w:val="top"/>
          </w:tcPr>
          <w:p>
            <w:pPr>
              <w:spacing w:after="0"/>
            </w:pPr>
            <w:r>
              <w:rPr>
                <w:sz w:val="17"/>
              </w:rPr>
              <w:t>Must not begin until EOS-S04A is accepted and its contracts are available.</w:t>
            </w:r>
          </w:p>
        </w:tc>
      </w:tr>
      <w:tr>
        <w:trPr>
          <w:cantSplit/>
        </w:trPr>
        <w:tc>
          <w:tcPr>
            <w:tcW w:type="dxa" w:w="2088"/>
            <w:tcMar>
              <w:top w:w="80" w:type="dxa"/>
              <w:start w:w="120" w:type="dxa"/>
              <w:bottom w:w="80" w:type="dxa"/>
              <w:end w:w="120" w:type="dxa"/>
            </w:tcMar>
            <w:vAlign w:val="top"/>
          </w:tcPr>
          <w:p>
            <w:pPr>
              <w:spacing w:after="0"/>
            </w:pPr>
            <w:r>
              <w:rPr>
                <w:sz w:val="17"/>
              </w:rPr>
              <w:t>Future gate/access slice</w:t>
            </w:r>
          </w:p>
        </w:tc>
        <w:tc>
          <w:tcPr>
            <w:tcW w:type="dxa" w:w="7272"/>
            <w:tcMar>
              <w:top w:w="80" w:type="dxa"/>
              <w:start w:w="120" w:type="dxa"/>
              <w:bottom w:w="80" w:type="dxa"/>
              <w:end w:w="120" w:type="dxa"/>
            </w:tcMar>
            <w:vAlign w:val="top"/>
          </w:tcPr>
          <w:p>
            <w:pPr>
              <w:spacing w:after="0"/>
            </w:pPr>
            <w:r>
              <w:rPr>
                <w:sz w:val="17"/>
              </w:rPr>
              <w:t>Consumes party and member projections; credentials remain out of S04A.</w:t>
            </w:r>
          </w:p>
        </w:tc>
      </w:tr>
      <w:tr>
        <w:trPr>
          <w:cantSplit/>
        </w:trPr>
        <w:tc>
          <w:tcPr>
            <w:tcW w:type="dxa" w:w="2088"/>
            <w:tcMar>
              <w:top w:w="80" w:type="dxa"/>
              <w:start w:w="120" w:type="dxa"/>
              <w:bottom w:w="80" w:type="dxa"/>
              <w:end w:w="120" w:type="dxa"/>
            </w:tcMar>
            <w:vAlign w:val="top"/>
          </w:tcPr>
          <w:p>
            <w:pPr>
              <w:spacing w:after="0"/>
            </w:pPr>
            <w:r>
              <w:rPr>
                <w:sz w:val="17"/>
              </w:rPr>
              <w:t>Future merchandise slice</w:t>
            </w:r>
          </w:p>
        </w:tc>
        <w:tc>
          <w:tcPr>
            <w:tcW w:type="dxa" w:w="7272"/>
            <w:tcMar>
              <w:top w:w="80" w:type="dxa"/>
              <w:start w:w="120" w:type="dxa"/>
              <w:bottom w:w="80" w:type="dxa"/>
              <w:end w:w="120" w:type="dxa"/>
            </w:tcMar>
            <w:vAlign w:val="top"/>
          </w:tcPr>
          <w:p>
            <w:pPr>
              <w:spacing w:after="0"/>
            </w:pPr>
            <w:r>
              <w:rPr>
                <w:sz w:val="17"/>
              </w:rPr>
              <w:t>Consumes person, household and eligibility projections; payments remain external.</w:t>
            </w:r>
          </w:p>
        </w:tc>
      </w:tr>
    </w:tbl>
    <w:p>
      <w:pPr>
        <w:spacing w:after="20"/>
      </w:pPr>
    </w:p>
    <w:p>
      <w:pPr>
        <w:pStyle w:val="Heading2"/>
      </w:pPr>
      <w:r>
        <w:t>1.2 Outcome</w:t>
      </w:r>
    </w:p>
    <w:p>
      <w:r>
        <w:t>A staff member can correctly capture, address and relate every event guest—including children, named companions and operational entourage—without merging identities, guessing titles, creating invitation authority, or exposing sensitive household information. Downstream modules receive stable person, party and entitlement projections.</w:t>
      </w:r>
    </w:p>
    <w:p>
      <w:pPr>
        <w:pStyle w:val="Heading2"/>
      </w:pPr>
      <w:r>
        <w:t>1.3 Entry and exit criteria</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1728"/>
            <w:shd w:fill="E8EEF5"/>
            <w:tcMar>
              <w:top w:w="80" w:type="dxa"/>
              <w:start w:w="120" w:type="dxa"/>
              <w:bottom w:w="80" w:type="dxa"/>
              <w:end w:w="120" w:type="dxa"/>
            </w:tcMar>
            <w:vAlign w:val="center"/>
          </w:tcPr>
          <w:p>
            <w:r>
              <w:rPr>
                <w:b/>
                <w:color w:val="0B2545"/>
                <w:sz w:val="18"/>
              </w:rPr>
              <w:t>Gate</w:t>
            </w:r>
          </w:p>
        </w:tc>
        <w:tc>
          <w:tcPr>
            <w:tcW w:type="dxa" w:w="7632"/>
            <w:shd w:fill="E8EEF5"/>
            <w:tcMar>
              <w:top w:w="80" w:type="dxa"/>
              <w:start w:w="120" w:type="dxa"/>
              <w:bottom w:w="80" w:type="dxa"/>
              <w:end w:w="120" w:type="dxa"/>
            </w:tcMar>
            <w:vAlign w:val="center"/>
          </w:tcPr>
          <w:p>
            <w:r>
              <w:rPr>
                <w:b/>
                <w:color w:val="0B2545"/>
                <w:sz w:val="18"/>
              </w:rPr>
              <w:t>Criteria</w:t>
            </w:r>
          </w:p>
        </w:tc>
      </w:tr>
      <w:tr>
        <w:trPr>
          <w:cantSplit/>
        </w:trPr>
        <w:tc>
          <w:tcPr>
            <w:tcW w:type="dxa" w:w="1728"/>
            <w:tcMar>
              <w:top w:w="80" w:type="dxa"/>
              <w:start w:w="120" w:type="dxa"/>
              <w:bottom w:w="80" w:type="dxa"/>
              <w:end w:w="120" w:type="dxa"/>
            </w:tcMar>
            <w:vAlign w:val="top"/>
          </w:tcPr>
          <w:p>
            <w:pPr>
              <w:spacing w:after="0"/>
            </w:pPr>
            <w:r>
              <w:rPr>
                <w:sz w:val="17"/>
              </w:rPr>
              <w:t>Entry</w:t>
            </w:r>
          </w:p>
        </w:tc>
        <w:tc>
          <w:tcPr>
            <w:tcW w:type="dxa" w:w="7632"/>
            <w:tcMar>
              <w:top w:w="80" w:type="dxa"/>
              <w:start w:w="120" w:type="dxa"/>
              <w:bottom w:w="80" w:type="dxa"/>
              <w:end w:w="120" w:type="dxa"/>
            </w:tcMar>
            <w:vAlign w:val="top"/>
          </w:tcPr>
          <w:p>
            <w:pPr>
              <w:spacing w:after="0"/>
            </w:pPr>
            <w:r>
              <w:rPr>
                <w:sz w:val="17"/>
              </w:rPr>
              <w:t>EOS-S04 and its controlled remediation accepted or otherwise formally cleared; clean authorised main; production unauthorised.</w:t>
            </w:r>
          </w:p>
        </w:tc>
      </w:tr>
      <w:tr>
        <w:trPr>
          <w:cantSplit/>
        </w:trPr>
        <w:tc>
          <w:tcPr>
            <w:tcW w:type="dxa" w:w="1728"/>
            <w:tcMar>
              <w:top w:w="80" w:type="dxa"/>
              <w:start w:w="120" w:type="dxa"/>
              <w:bottom w:w="80" w:type="dxa"/>
              <w:end w:w="120" w:type="dxa"/>
            </w:tcMar>
            <w:vAlign w:val="top"/>
          </w:tcPr>
          <w:p>
            <w:pPr>
              <w:spacing w:after="0"/>
            </w:pPr>
            <w:r>
              <w:rPr>
                <w:sz w:val="17"/>
              </w:rPr>
              <w:t>Exit</w:t>
            </w:r>
          </w:p>
        </w:tc>
        <w:tc>
          <w:tcPr>
            <w:tcW w:type="dxa" w:w="7632"/>
            <w:tcMar>
              <w:top w:w="80" w:type="dxa"/>
              <w:start w:w="120" w:type="dxa"/>
              <w:bottom w:w="80" w:type="dxa"/>
              <w:end w:w="120" w:type="dxa"/>
            </w:tcMar>
            <w:vAlign w:val="top"/>
          </w:tcPr>
          <w:p>
            <w:pPr>
              <w:spacing w:after="0"/>
            </w:pPr>
            <w:r>
              <w:rPr>
                <w:sz w:val="17"/>
              </w:rPr>
              <w:t>Domain, persistence, APIs, UI, migrations, tests, Academy delta and human verification pass; acceptance recorded separately; EOS-S05 not started.</w:t>
            </w:r>
          </w:p>
        </w:tc>
      </w:tr>
    </w:tbl>
    <w:p>
      <w:pPr>
        <w:spacing w:after="20"/>
      </w:pPr>
    </w:p>
    <w:p>
      <w:pPr>
        <w:pStyle w:val="Heading1"/>
      </w:pPr>
      <w:r>
        <w:t>2. Scope and non-scope</w:t>
      </w:r>
    </w:p>
    <w:p>
      <w:pPr>
        <w:pStyle w:val="Heading2"/>
      </w:pPr>
      <w:r>
        <w:t>2.1 In scope</w:t>
      </w:r>
    </w:p>
    <w:p>
      <w:pPr>
        <w:pStyle w:val="ListBullet"/>
        <w:spacing w:after="80"/>
      </w:pPr>
      <w:r>
        <w:t>Separate, governed title and salutation fields system-wide.</w:t>
      </w:r>
    </w:p>
    <w:p>
      <w:pPr>
        <w:pStyle w:val="ListBullet"/>
        <w:spacing w:after="80"/>
      </w:pPr>
      <w:r>
        <w:t>Independent guestId for every represented guest, including each child and additional guest.</w:t>
      </w:r>
    </w:p>
    <w:p>
      <w:pPr>
        <w:pStyle w:val="ListBullet"/>
        <w:spacing w:after="80"/>
      </w:pPr>
      <w:r>
        <w:t>Households and arrival/social parties as link structures, not merged identities.</w:t>
      </w:r>
    </w:p>
    <w:p>
      <w:pPr>
        <w:pStyle w:val="ListBullet"/>
        <w:spacing w:after="80"/>
      </w:pPr>
      <w:r>
        <w:t>Named companions and unnamed plus-one entitlements.</w:t>
      </w:r>
    </w:p>
    <w:p>
      <w:pPr>
        <w:pStyle w:val="ListBullet"/>
        <w:spacing w:after="80"/>
      </w:pPr>
      <w:r>
        <w:t>Relationship provenance, consent, visibility and audit.</w:t>
      </w:r>
    </w:p>
    <w:p>
      <w:pPr>
        <w:pStyle w:val="ListBullet"/>
        <w:spacing w:after="80"/>
      </w:pPr>
      <w:r>
        <w:t>Child age bands, responsible-adult links and communication safeguards.</w:t>
      </w:r>
    </w:p>
    <w:p>
      <w:pPr>
        <w:pStyle w:val="ListBullet"/>
        <w:spacing w:after="80"/>
      </w:pPr>
      <w:r>
        <w:t>Operational party members: aide, carer, driver, protection officer and protocol representative.</w:t>
      </w:r>
    </w:p>
    <w:p>
      <w:pPr>
        <w:pStyle w:val="ListBullet"/>
        <w:spacing w:after="80"/>
      </w:pPr>
      <w:r>
        <w:t>Guest intake, directory, RSVP, communications, imports/exports, APIs and projections.</w:t>
      </w:r>
    </w:p>
    <w:p>
      <w:pPr>
        <w:pStyle w:val="ListBullet"/>
        <w:spacing w:after="80"/>
      </w:pPr>
      <w:r>
        <w:t>Duplicate prevention, replacement, withdrawal, late nomination and exception handling.</w:t>
      </w:r>
    </w:p>
    <w:p>
      <w:pPr>
        <w:pStyle w:val="ListBullet"/>
        <w:spacing w:after="80"/>
      </w:pPr>
      <w:r>
        <w:t>Role-specific Academy training delta and human-verification plan.</w:t>
      </w:r>
    </w:p>
    <w:p>
      <w:pPr>
        <w:pStyle w:val="Heading2"/>
      </w:pPr>
      <w:r>
        <w:t>2.2 Explicitly excluded</w:t>
      </w:r>
    </w:p>
    <w:p>
      <w:pPr>
        <w:pStyle w:val="ListBullet"/>
        <w:spacing w:after="80"/>
      </w:pPr>
      <w:r>
        <w:t>Estate or venue gate credentials, QR codes and vehicle admission.</w:t>
      </w:r>
    </w:p>
    <w:p>
      <w:pPr>
        <w:pStyle w:val="ListBullet"/>
        <w:spacing w:after="80"/>
      </w:pPr>
      <w:r>
        <w:t>Offline gate hardware or checkpoint execution.</w:t>
      </w:r>
    </w:p>
    <w:p>
      <w:pPr>
        <w:pStyle w:val="ListBullet"/>
        <w:spacing w:after="80"/>
      </w:pPr>
      <w:r>
        <w:t>Seating allocation or table plans.</w:t>
      </w:r>
    </w:p>
    <w:p>
      <w:pPr>
        <w:pStyle w:val="ListBullet"/>
        <w:spacing w:after="80"/>
      </w:pPr>
      <w:r>
        <w:t>Aso-ebi, merchandise, tailoring, fulfilment or payments.</w:t>
      </w:r>
    </w:p>
    <w:p>
      <w:pPr>
        <w:pStyle w:val="ListBullet"/>
        <w:spacing w:after="80"/>
      </w:pPr>
      <w:r>
        <w:t>Biometrics, FaceGate or first-admission automation.</w:t>
      </w:r>
    </w:p>
    <w:p>
      <w:pPr>
        <w:pStyle w:val="ListBullet"/>
        <w:spacing w:after="80"/>
      </w:pPr>
      <w:r>
        <w:t>Provider activation or real-recipient messaging.</w:t>
      </w:r>
    </w:p>
    <w:p>
      <w:pPr>
        <w:pStyle w:val="ListBullet"/>
        <w:spacing w:after="80"/>
      </w:pPr>
      <w:r>
        <w:t>Production authorisation, protected gate signatures or EOS-S05 implementation.</w:t>
      </w:r>
    </w:p>
    <w:p>
      <w:pPr>
        <w:pStyle w:val="Heading1"/>
      </w:pPr>
      <w:r>
        <w:t>3. Identity invariants</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1944"/>
            <w:shd w:fill="E8EEF5"/>
            <w:tcMar>
              <w:top w:w="80" w:type="dxa"/>
              <w:start w:w="120" w:type="dxa"/>
              <w:bottom w:w="80" w:type="dxa"/>
              <w:end w:w="120" w:type="dxa"/>
            </w:tcMar>
            <w:vAlign w:val="center"/>
          </w:tcPr>
          <w:p>
            <w:r>
              <w:rPr>
                <w:b/>
                <w:color w:val="0B2545"/>
                <w:sz w:val="18"/>
              </w:rPr>
              <w:t>Invariant</w:t>
            </w:r>
          </w:p>
        </w:tc>
        <w:tc>
          <w:tcPr>
            <w:tcW w:type="dxa" w:w="7416"/>
            <w:shd w:fill="E8EEF5"/>
            <w:tcMar>
              <w:top w:w="80" w:type="dxa"/>
              <w:start w:w="120" w:type="dxa"/>
              <w:bottom w:w="80" w:type="dxa"/>
              <w:end w:w="120" w:type="dxa"/>
            </w:tcMar>
            <w:vAlign w:val="center"/>
          </w:tcPr>
          <w:p>
            <w:r>
              <w:rPr>
                <w:b/>
                <w:color w:val="0B2545"/>
                <w:sz w:val="18"/>
              </w:rPr>
              <w:t>Required behaviour</w:t>
            </w:r>
          </w:p>
        </w:tc>
      </w:tr>
      <w:tr>
        <w:trPr>
          <w:cantSplit/>
        </w:trPr>
        <w:tc>
          <w:tcPr>
            <w:tcW w:type="dxa" w:w="1944"/>
            <w:tcMar>
              <w:top w:w="80" w:type="dxa"/>
              <w:start w:w="120" w:type="dxa"/>
              <w:bottom w:w="80" w:type="dxa"/>
              <w:end w:w="120" w:type="dxa"/>
            </w:tcMar>
            <w:vAlign w:val="top"/>
          </w:tcPr>
          <w:p>
            <w:pPr>
              <w:spacing w:after="0"/>
            </w:pPr>
            <w:r>
              <w:rPr>
                <w:sz w:val="17"/>
              </w:rPr>
              <w:t>Guest identity</w:t>
            </w:r>
          </w:p>
        </w:tc>
        <w:tc>
          <w:tcPr>
            <w:tcW w:type="dxa" w:w="7416"/>
            <w:tcMar>
              <w:top w:w="80" w:type="dxa"/>
              <w:start w:w="120" w:type="dxa"/>
              <w:bottom w:w="80" w:type="dxa"/>
              <w:end w:w="120" w:type="dxa"/>
            </w:tcMar>
            <w:vAlign w:val="top"/>
          </w:tcPr>
          <w:p>
            <w:pPr>
              <w:spacing w:after="0"/>
            </w:pPr>
            <w:r>
              <w:rPr>
                <w:sz w:val="17"/>
              </w:rPr>
              <w:t>Every actual person represented as an event guest has one event-scoped guestId. No two people share it.</w:t>
            </w:r>
          </w:p>
        </w:tc>
      </w:tr>
      <w:tr>
        <w:trPr>
          <w:cantSplit/>
        </w:trPr>
        <w:tc>
          <w:tcPr>
            <w:tcW w:type="dxa" w:w="1944"/>
            <w:tcMar>
              <w:top w:w="80" w:type="dxa"/>
              <w:start w:w="120" w:type="dxa"/>
              <w:bottom w:w="80" w:type="dxa"/>
              <w:end w:w="120" w:type="dxa"/>
            </w:tcMar>
            <w:vAlign w:val="top"/>
          </w:tcPr>
          <w:p>
            <w:pPr>
              <w:spacing w:after="0"/>
            </w:pPr>
            <w:r>
              <w:rPr>
                <w:sz w:val="17"/>
              </w:rPr>
              <w:t>Person resolution</w:t>
            </w:r>
          </w:p>
        </w:tc>
        <w:tc>
          <w:tcPr>
            <w:tcW w:type="dxa" w:w="7416"/>
            <w:tcMar>
              <w:top w:w="80" w:type="dxa"/>
              <w:start w:w="120" w:type="dxa"/>
              <w:bottom w:w="80" w:type="dxa"/>
              <w:end w:w="120" w:type="dxa"/>
            </w:tcMar>
            <w:vAlign w:val="top"/>
          </w:tcPr>
          <w:p>
            <w:pPr>
              <w:spacing w:after="0"/>
            </w:pPr>
            <w:r>
              <w:rPr>
                <w:sz w:val="17"/>
              </w:rPr>
              <w:t>A guest may link to a cross-event personId only through governed matching; guestId remains event-scoped.</w:t>
            </w:r>
          </w:p>
        </w:tc>
      </w:tr>
      <w:tr>
        <w:trPr>
          <w:cantSplit/>
        </w:trPr>
        <w:tc>
          <w:tcPr>
            <w:tcW w:type="dxa" w:w="1944"/>
            <w:tcMar>
              <w:top w:w="80" w:type="dxa"/>
              <w:start w:w="120" w:type="dxa"/>
              <w:bottom w:w="80" w:type="dxa"/>
              <w:end w:w="120" w:type="dxa"/>
            </w:tcMar>
            <w:vAlign w:val="top"/>
          </w:tcPr>
          <w:p>
            <w:pPr>
              <w:spacing w:after="0"/>
            </w:pPr>
            <w:r>
              <w:rPr>
                <w:sz w:val="17"/>
              </w:rPr>
              <w:t>Unnamed allowance</w:t>
            </w:r>
          </w:p>
        </w:tc>
        <w:tc>
          <w:tcPr>
            <w:tcW w:type="dxa" w:w="7416"/>
            <w:tcMar>
              <w:top w:w="80" w:type="dxa"/>
              <w:start w:w="120" w:type="dxa"/>
              <w:bottom w:w="80" w:type="dxa"/>
              <w:end w:w="120" w:type="dxa"/>
            </w:tcMar>
            <w:vAlign w:val="top"/>
          </w:tcPr>
          <w:p>
            <w:pPr>
              <w:spacing w:after="0"/>
            </w:pPr>
            <w:r>
              <w:rPr>
                <w:sz w:val="17"/>
              </w:rPr>
              <w:t>Has entitlementId only. No fabricated guestId until a real person is nominated/registered.</w:t>
            </w:r>
          </w:p>
        </w:tc>
      </w:tr>
      <w:tr>
        <w:trPr>
          <w:cantSplit/>
        </w:trPr>
        <w:tc>
          <w:tcPr>
            <w:tcW w:type="dxa" w:w="1944"/>
            <w:tcMar>
              <w:top w:w="80" w:type="dxa"/>
              <w:start w:w="120" w:type="dxa"/>
              <w:bottom w:w="80" w:type="dxa"/>
              <w:end w:w="120" w:type="dxa"/>
            </w:tcMar>
            <w:vAlign w:val="top"/>
          </w:tcPr>
          <w:p>
            <w:pPr>
              <w:spacing w:after="0"/>
            </w:pPr>
            <w:r>
              <w:rPr>
                <w:sz w:val="17"/>
              </w:rPr>
              <w:t>Children</w:t>
            </w:r>
          </w:p>
        </w:tc>
        <w:tc>
          <w:tcPr>
            <w:tcW w:type="dxa" w:w="7416"/>
            <w:tcMar>
              <w:top w:w="80" w:type="dxa"/>
              <w:start w:w="120" w:type="dxa"/>
              <w:bottom w:w="80" w:type="dxa"/>
              <w:end w:w="120" w:type="dxa"/>
            </w:tcMar>
            <w:vAlign w:val="top"/>
          </w:tcPr>
          <w:p>
            <w:pPr>
              <w:spacing w:after="0"/>
            </w:pPr>
            <w:r>
              <w:rPr>
                <w:sz w:val="17"/>
              </w:rPr>
              <w:t>Each attending child has a guestId and responsible-adult relationship.</w:t>
            </w:r>
          </w:p>
        </w:tc>
      </w:tr>
      <w:tr>
        <w:trPr>
          <w:cantSplit/>
        </w:trPr>
        <w:tc>
          <w:tcPr>
            <w:tcW w:type="dxa" w:w="1944"/>
            <w:tcMar>
              <w:top w:w="80" w:type="dxa"/>
              <w:start w:w="120" w:type="dxa"/>
              <w:bottom w:w="80" w:type="dxa"/>
              <w:end w:w="120" w:type="dxa"/>
            </w:tcMar>
            <w:vAlign w:val="top"/>
          </w:tcPr>
          <w:p>
            <w:pPr>
              <w:spacing w:after="0"/>
            </w:pPr>
            <w:r>
              <w:rPr>
                <w:sz w:val="17"/>
              </w:rPr>
              <w:t>Party</w:t>
            </w:r>
          </w:p>
        </w:tc>
        <w:tc>
          <w:tcPr>
            <w:tcW w:type="dxa" w:w="7416"/>
            <w:tcMar>
              <w:top w:w="80" w:type="dxa"/>
              <w:start w:w="120" w:type="dxa"/>
              <w:bottom w:w="80" w:type="dxa"/>
              <w:end w:w="120" w:type="dxa"/>
            </w:tcMar>
            <w:vAlign w:val="top"/>
          </w:tcPr>
          <w:p>
            <w:pPr>
              <w:spacing w:after="0"/>
            </w:pPr>
            <w:r>
              <w:rPr>
                <w:sz w:val="17"/>
              </w:rPr>
              <w:t>partyId groups members; it never substitutes for guestId.</w:t>
            </w:r>
          </w:p>
        </w:tc>
      </w:tr>
      <w:tr>
        <w:trPr>
          <w:cantSplit/>
        </w:trPr>
        <w:tc>
          <w:tcPr>
            <w:tcW w:type="dxa" w:w="1944"/>
            <w:tcMar>
              <w:top w:w="80" w:type="dxa"/>
              <w:start w:w="120" w:type="dxa"/>
              <w:bottom w:w="80" w:type="dxa"/>
              <w:end w:w="120" w:type="dxa"/>
            </w:tcMar>
            <w:vAlign w:val="top"/>
          </w:tcPr>
          <w:p>
            <w:pPr>
              <w:spacing w:after="0"/>
            </w:pPr>
            <w:r>
              <w:rPr>
                <w:sz w:val="17"/>
              </w:rPr>
              <w:t>Event</w:t>
            </w:r>
          </w:p>
        </w:tc>
        <w:tc>
          <w:tcPr>
            <w:tcW w:type="dxa" w:w="7416"/>
            <w:tcMar>
              <w:top w:w="80" w:type="dxa"/>
              <w:start w:w="120" w:type="dxa"/>
              <w:bottom w:w="80" w:type="dxa"/>
              <w:end w:w="120" w:type="dxa"/>
            </w:tcMar>
            <w:vAlign w:val="top"/>
          </w:tcPr>
          <w:p>
            <w:pPr>
              <w:spacing w:after="0"/>
            </w:pPr>
            <w:r>
              <w:rPr>
                <w:sz w:val="17"/>
              </w:rPr>
              <w:t>Every operational occurrence has an eventId.</w:t>
            </w:r>
          </w:p>
        </w:tc>
      </w:tr>
      <w:tr>
        <w:trPr>
          <w:cantSplit/>
        </w:trPr>
        <w:tc>
          <w:tcPr>
            <w:tcW w:type="dxa" w:w="1944"/>
            <w:tcMar>
              <w:top w:w="80" w:type="dxa"/>
              <w:start w:w="120" w:type="dxa"/>
              <w:bottom w:w="80" w:type="dxa"/>
              <w:end w:w="120" w:type="dxa"/>
            </w:tcMar>
            <w:vAlign w:val="top"/>
          </w:tcPr>
          <w:p>
            <w:pPr>
              <w:spacing w:after="0"/>
            </w:pPr>
            <w:r>
              <w:rPr>
                <w:sz w:val="17"/>
              </w:rPr>
              <w:t>Event series</w:t>
            </w:r>
          </w:p>
        </w:tc>
        <w:tc>
          <w:tcPr>
            <w:tcW w:type="dxa" w:w="7416"/>
            <w:tcMar>
              <w:top w:w="80" w:type="dxa"/>
              <w:start w:w="120" w:type="dxa"/>
              <w:bottom w:w="80" w:type="dxa"/>
              <w:end w:w="120" w:type="dxa"/>
            </w:tcMar>
            <w:vAlign w:val="top"/>
          </w:tcPr>
          <w:p>
            <w:pPr>
              <w:spacing w:after="0"/>
            </w:pPr>
            <w:r>
              <w:rPr>
                <w:sz w:val="17"/>
              </w:rPr>
              <w:t>eventSeriesId groups related occurrences; it never substitutes for eventId.</w:t>
            </w:r>
          </w:p>
        </w:tc>
      </w:tr>
      <w:tr>
        <w:trPr>
          <w:cantSplit/>
        </w:trPr>
        <w:tc>
          <w:tcPr>
            <w:tcW w:type="dxa" w:w="1944"/>
            <w:tcMar>
              <w:top w:w="80" w:type="dxa"/>
              <w:start w:w="120" w:type="dxa"/>
              <w:bottom w:w="80" w:type="dxa"/>
              <w:end w:w="120" w:type="dxa"/>
            </w:tcMar>
            <w:vAlign w:val="top"/>
          </w:tcPr>
          <w:p>
            <w:pPr>
              <w:spacing w:after="0"/>
            </w:pPr>
            <w:r>
              <w:rPr>
                <w:sz w:val="17"/>
              </w:rPr>
              <w:t>Credential future</w:t>
            </w:r>
          </w:p>
        </w:tc>
        <w:tc>
          <w:tcPr>
            <w:tcW w:type="dxa" w:w="7416"/>
            <w:tcMar>
              <w:top w:w="80" w:type="dxa"/>
              <w:start w:w="120" w:type="dxa"/>
              <w:bottom w:w="80" w:type="dxa"/>
              <w:end w:w="120" w:type="dxa"/>
            </w:tcMar>
            <w:vAlign w:val="top"/>
          </w:tcPr>
          <w:p>
            <w:pPr>
              <w:spacing w:after="0"/>
            </w:pPr>
            <w:r>
              <w:rPr>
                <w:sz w:val="17"/>
              </w:rPr>
              <w:t>A later credentialId may point to a guest or party but never replaces either.</w:t>
            </w:r>
          </w:p>
        </w:tc>
      </w:tr>
    </w:tbl>
    <w:p>
      <w:pPr>
        <w:spacing w:after="20"/>
      </w:pPr>
    </w:p>
    <w:p>
      <w:pPr>
        <w:pStyle w:val="Heading1"/>
      </w:pPr>
      <w:r>
        <w:t>4. Canonical data model</w:t>
      </w:r>
    </w:p>
    <w:p>
      <w:pPr>
        <w:pStyle w:val="Heading2"/>
      </w:pPr>
      <w:r>
        <w:t>4.1 Guest addressing fields</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520"/>
            <w:shd w:fill="E8EEF5"/>
            <w:tcMar>
              <w:top w:w="80" w:type="dxa"/>
              <w:start w:w="120" w:type="dxa"/>
              <w:bottom w:w="80" w:type="dxa"/>
              <w:end w:w="120" w:type="dxa"/>
            </w:tcMar>
            <w:vAlign w:val="center"/>
          </w:tcPr>
          <w:p>
            <w:r>
              <w:rPr>
                <w:b/>
                <w:color w:val="0B2545"/>
                <w:sz w:val="18"/>
              </w:rPr>
              <w:t>Field</w:t>
            </w:r>
          </w:p>
        </w:tc>
        <w:tc>
          <w:tcPr>
            <w:tcW w:type="dxa" w:w="6840"/>
            <w:shd w:fill="E8EEF5"/>
            <w:tcMar>
              <w:top w:w="80" w:type="dxa"/>
              <w:start w:w="120" w:type="dxa"/>
              <w:bottom w:w="80" w:type="dxa"/>
              <w:end w:w="120" w:type="dxa"/>
            </w:tcMar>
            <w:vAlign w:val="center"/>
          </w:tcPr>
          <w:p>
            <w:r>
              <w:rPr>
                <w:b/>
                <w:color w:val="0B2545"/>
                <w:sz w:val="18"/>
              </w:rPr>
              <w:t>Rule</w:t>
            </w:r>
          </w:p>
        </w:tc>
      </w:tr>
      <w:tr>
        <w:trPr>
          <w:cantSplit/>
        </w:trPr>
        <w:tc>
          <w:tcPr>
            <w:tcW w:type="dxa" w:w="2520"/>
            <w:tcMar>
              <w:top w:w="80" w:type="dxa"/>
              <w:start w:w="120" w:type="dxa"/>
              <w:bottom w:w="80" w:type="dxa"/>
              <w:end w:w="120" w:type="dxa"/>
            </w:tcMar>
            <w:vAlign w:val="top"/>
          </w:tcPr>
          <w:p>
            <w:pPr>
              <w:spacing w:after="0"/>
            </w:pPr>
            <w:r>
              <w:rPr>
                <w:sz w:val="17"/>
              </w:rPr>
              <w:t>honorific</w:t>
            </w:r>
          </w:p>
        </w:tc>
        <w:tc>
          <w:tcPr>
            <w:tcW w:type="dxa" w:w="6840"/>
            <w:tcMar>
              <w:top w:w="80" w:type="dxa"/>
              <w:start w:w="120" w:type="dxa"/>
              <w:bottom w:w="80" w:type="dxa"/>
              <w:end w:w="120" w:type="dxa"/>
            </w:tcMar>
            <w:vAlign w:val="top"/>
          </w:tcPr>
          <w:p>
            <w:pPr>
              <w:spacing w:after="0"/>
            </w:pPr>
            <w:r>
              <w:rPr>
                <w:sz w:val="17"/>
              </w:rPr>
              <w:t>Optional controlled value: Mr, Mrs, Ms, Dr, Professor, etc.; never inferred.</w:t>
            </w:r>
          </w:p>
        </w:tc>
      </w:tr>
      <w:tr>
        <w:trPr>
          <w:cantSplit/>
        </w:trPr>
        <w:tc>
          <w:tcPr>
            <w:tcW w:type="dxa" w:w="2520"/>
            <w:tcMar>
              <w:top w:w="80" w:type="dxa"/>
              <w:start w:w="120" w:type="dxa"/>
              <w:bottom w:w="80" w:type="dxa"/>
              <w:end w:w="120" w:type="dxa"/>
            </w:tcMar>
            <w:vAlign w:val="top"/>
          </w:tcPr>
          <w:p>
            <w:pPr>
              <w:spacing w:after="0"/>
            </w:pPr>
            <w:r>
              <w:rPr>
                <w:sz w:val="17"/>
              </w:rPr>
              <w:t>professionalTitle</w:t>
            </w:r>
          </w:p>
        </w:tc>
        <w:tc>
          <w:tcPr>
            <w:tcW w:type="dxa" w:w="6840"/>
            <w:tcMar>
              <w:top w:w="80" w:type="dxa"/>
              <w:start w:w="120" w:type="dxa"/>
              <w:bottom w:w="80" w:type="dxa"/>
              <w:end w:w="120" w:type="dxa"/>
            </w:tcMar>
            <w:vAlign w:val="top"/>
          </w:tcPr>
          <w:p>
            <w:pPr>
              <w:spacing w:after="0"/>
            </w:pPr>
            <w:r>
              <w:rPr>
                <w:sz w:val="17"/>
              </w:rPr>
              <w:t>Optional professional/public office title; source required when protocol-sensitive.</w:t>
            </w:r>
          </w:p>
        </w:tc>
      </w:tr>
      <w:tr>
        <w:trPr>
          <w:cantSplit/>
        </w:trPr>
        <w:tc>
          <w:tcPr>
            <w:tcW w:type="dxa" w:w="2520"/>
            <w:tcMar>
              <w:top w:w="80" w:type="dxa"/>
              <w:start w:w="120" w:type="dxa"/>
              <w:bottom w:w="80" w:type="dxa"/>
              <w:end w:w="120" w:type="dxa"/>
            </w:tcMar>
            <w:vAlign w:val="top"/>
          </w:tcPr>
          <w:p>
            <w:pPr>
              <w:spacing w:after="0"/>
            </w:pPr>
            <w:r>
              <w:rPr>
                <w:sz w:val="17"/>
              </w:rPr>
              <w:t>traditionalTitle</w:t>
            </w:r>
          </w:p>
        </w:tc>
        <w:tc>
          <w:tcPr>
            <w:tcW w:type="dxa" w:w="6840"/>
            <w:tcMar>
              <w:top w:w="80" w:type="dxa"/>
              <w:start w:w="120" w:type="dxa"/>
              <w:bottom w:w="80" w:type="dxa"/>
              <w:end w:w="120" w:type="dxa"/>
            </w:tcMar>
            <w:vAlign w:val="top"/>
          </w:tcPr>
          <w:p>
            <w:pPr>
              <w:spacing w:after="0"/>
            </w:pPr>
            <w:r>
              <w:rPr>
                <w:sz w:val="17"/>
              </w:rPr>
              <w:t>Optional traditional/cultural title with Unicode and diacritics preserved.</w:t>
            </w:r>
          </w:p>
        </w:tc>
      </w:tr>
      <w:tr>
        <w:trPr>
          <w:cantSplit/>
        </w:trPr>
        <w:tc>
          <w:tcPr>
            <w:tcW w:type="dxa" w:w="2520"/>
            <w:tcMar>
              <w:top w:w="80" w:type="dxa"/>
              <w:start w:w="120" w:type="dxa"/>
              <w:bottom w:w="80" w:type="dxa"/>
              <w:end w:w="120" w:type="dxa"/>
            </w:tcMar>
            <w:vAlign w:val="top"/>
          </w:tcPr>
          <w:p>
            <w:pPr>
              <w:spacing w:after="0"/>
            </w:pPr>
            <w:r>
              <w:rPr>
                <w:sz w:val="17"/>
              </w:rPr>
              <w:t>givenName</w:t>
            </w:r>
          </w:p>
        </w:tc>
        <w:tc>
          <w:tcPr>
            <w:tcW w:type="dxa" w:w="6840"/>
            <w:tcMar>
              <w:top w:w="80" w:type="dxa"/>
              <w:start w:w="120" w:type="dxa"/>
              <w:bottom w:w="80" w:type="dxa"/>
              <w:end w:w="120" w:type="dxa"/>
            </w:tcMar>
            <w:vAlign w:val="top"/>
          </w:tcPr>
          <w:p>
            <w:pPr>
              <w:spacing w:after="0"/>
            </w:pPr>
            <w:r>
              <w:rPr>
                <w:sz w:val="17"/>
              </w:rPr>
              <w:t>Required when known; separate from titles.</w:t>
            </w:r>
          </w:p>
        </w:tc>
      </w:tr>
      <w:tr>
        <w:trPr>
          <w:cantSplit/>
        </w:trPr>
        <w:tc>
          <w:tcPr>
            <w:tcW w:type="dxa" w:w="2520"/>
            <w:tcMar>
              <w:top w:w="80" w:type="dxa"/>
              <w:start w:w="120" w:type="dxa"/>
              <w:bottom w:w="80" w:type="dxa"/>
              <w:end w:w="120" w:type="dxa"/>
            </w:tcMar>
            <w:vAlign w:val="top"/>
          </w:tcPr>
          <w:p>
            <w:pPr>
              <w:spacing w:after="0"/>
            </w:pPr>
            <w:r>
              <w:rPr>
                <w:sz w:val="17"/>
              </w:rPr>
              <w:t>middleNames</w:t>
            </w:r>
          </w:p>
        </w:tc>
        <w:tc>
          <w:tcPr>
            <w:tcW w:type="dxa" w:w="6840"/>
            <w:tcMar>
              <w:top w:w="80" w:type="dxa"/>
              <w:start w:w="120" w:type="dxa"/>
              <w:bottom w:w="80" w:type="dxa"/>
              <w:end w:w="120" w:type="dxa"/>
            </w:tcMar>
            <w:vAlign w:val="top"/>
          </w:tcPr>
          <w:p>
            <w:pPr>
              <w:spacing w:after="0"/>
            </w:pPr>
            <w:r>
              <w:rPr>
                <w:sz w:val="17"/>
              </w:rPr>
              <w:t>Optional; preserve exact spelling and order.</w:t>
            </w:r>
          </w:p>
        </w:tc>
      </w:tr>
      <w:tr>
        <w:trPr>
          <w:cantSplit/>
        </w:trPr>
        <w:tc>
          <w:tcPr>
            <w:tcW w:type="dxa" w:w="2520"/>
            <w:tcMar>
              <w:top w:w="80" w:type="dxa"/>
              <w:start w:w="120" w:type="dxa"/>
              <w:bottom w:w="80" w:type="dxa"/>
              <w:end w:w="120" w:type="dxa"/>
            </w:tcMar>
            <w:vAlign w:val="top"/>
          </w:tcPr>
          <w:p>
            <w:pPr>
              <w:spacing w:after="0"/>
            </w:pPr>
            <w:r>
              <w:rPr>
                <w:sz w:val="17"/>
              </w:rPr>
              <w:t>familyName</w:t>
            </w:r>
          </w:p>
        </w:tc>
        <w:tc>
          <w:tcPr>
            <w:tcW w:type="dxa" w:w="6840"/>
            <w:tcMar>
              <w:top w:w="80" w:type="dxa"/>
              <w:start w:w="120" w:type="dxa"/>
              <w:bottom w:w="80" w:type="dxa"/>
              <w:end w:w="120" w:type="dxa"/>
            </w:tcMar>
            <w:vAlign w:val="top"/>
          </w:tcPr>
          <w:p>
            <w:pPr>
              <w:spacing w:after="0"/>
            </w:pPr>
            <w:r>
              <w:rPr>
                <w:sz w:val="17"/>
              </w:rPr>
              <w:t>Required when known; separate from titles.</w:t>
            </w:r>
          </w:p>
        </w:tc>
      </w:tr>
      <w:tr>
        <w:trPr>
          <w:cantSplit/>
        </w:trPr>
        <w:tc>
          <w:tcPr>
            <w:tcW w:type="dxa" w:w="2520"/>
            <w:tcMar>
              <w:top w:w="80" w:type="dxa"/>
              <w:start w:w="120" w:type="dxa"/>
              <w:bottom w:w="80" w:type="dxa"/>
              <w:end w:w="120" w:type="dxa"/>
            </w:tcMar>
            <w:vAlign w:val="top"/>
          </w:tcPr>
          <w:p>
            <w:pPr>
              <w:spacing w:after="0"/>
            </w:pPr>
            <w:r>
              <w:rPr>
                <w:sz w:val="17"/>
              </w:rPr>
              <w:t>postNominals</w:t>
            </w:r>
          </w:p>
        </w:tc>
        <w:tc>
          <w:tcPr>
            <w:tcW w:type="dxa" w:w="6840"/>
            <w:tcMar>
              <w:top w:w="80" w:type="dxa"/>
              <w:start w:w="120" w:type="dxa"/>
              <w:bottom w:w="80" w:type="dxa"/>
              <w:end w:w="120" w:type="dxa"/>
            </w:tcMar>
            <w:vAlign w:val="top"/>
          </w:tcPr>
          <w:p>
            <w:pPr>
              <w:spacing w:after="0"/>
            </w:pPr>
            <w:r>
              <w:rPr>
                <w:sz w:val="17"/>
              </w:rPr>
              <w:t>Optional ordered values; do not silently normalise.</w:t>
            </w:r>
          </w:p>
        </w:tc>
      </w:tr>
      <w:tr>
        <w:trPr>
          <w:cantSplit/>
        </w:trPr>
        <w:tc>
          <w:tcPr>
            <w:tcW w:type="dxa" w:w="2520"/>
            <w:tcMar>
              <w:top w:w="80" w:type="dxa"/>
              <w:start w:w="120" w:type="dxa"/>
              <w:bottom w:w="80" w:type="dxa"/>
              <w:end w:w="120" w:type="dxa"/>
            </w:tcMar>
            <w:vAlign w:val="top"/>
          </w:tcPr>
          <w:p>
            <w:pPr>
              <w:spacing w:after="0"/>
            </w:pPr>
            <w:r>
              <w:rPr>
                <w:sz w:val="17"/>
              </w:rPr>
              <w:t>preferredDisplayName</w:t>
            </w:r>
          </w:p>
        </w:tc>
        <w:tc>
          <w:tcPr>
            <w:tcW w:type="dxa" w:w="6840"/>
            <w:tcMar>
              <w:top w:w="80" w:type="dxa"/>
              <w:start w:w="120" w:type="dxa"/>
              <w:bottom w:w="80" w:type="dxa"/>
              <w:end w:w="120" w:type="dxa"/>
            </w:tcMar>
            <w:vAlign w:val="top"/>
          </w:tcPr>
          <w:p>
            <w:pPr>
              <w:spacing w:after="0"/>
            </w:pPr>
            <w:r>
              <w:rPr>
                <w:sz w:val="17"/>
              </w:rPr>
              <w:t>Operational display override, audited.</w:t>
            </w:r>
          </w:p>
        </w:tc>
      </w:tr>
      <w:tr>
        <w:trPr>
          <w:cantSplit/>
        </w:trPr>
        <w:tc>
          <w:tcPr>
            <w:tcW w:type="dxa" w:w="2520"/>
            <w:tcMar>
              <w:top w:w="80" w:type="dxa"/>
              <w:start w:w="120" w:type="dxa"/>
              <w:bottom w:w="80" w:type="dxa"/>
              <w:end w:w="120" w:type="dxa"/>
            </w:tcMar>
            <w:vAlign w:val="top"/>
          </w:tcPr>
          <w:p>
            <w:pPr>
              <w:spacing w:after="0"/>
            </w:pPr>
            <w:r>
              <w:rPr>
                <w:sz w:val="17"/>
              </w:rPr>
              <w:t>preferredFormalSalutation</w:t>
            </w:r>
          </w:p>
        </w:tc>
        <w:tc>
          <w:tcPr>
            <w:tcW w:type="dxa" w:w="6840"/>
            <w:tcMar>
              <w:top w:w="80" w:type="dxa"/>
              <w:start w:w="120" w:type="dxa"/>
              <w:bottom w:w="80" w:type="dxa"/>
              <w:end w:w="120" w:type="dxa"/>
            </w:tcMar>
            <w:vAlign w:val="top"/>
          </w:tcPr>
          <w:p>
            <w:pPr>
              <w:spacing w:after="0"/>
            </w:pPr>
            <w:r>
              <w:rPr>
                <w:sz w:val="17"/>
              </w:rPr>
              <w:t>Exact approved salutation for formal communication.</w:t>
            </w:r>
          </w:p>
        </w:tc>
      </w:tr>
      <w:tr>
        <w:trPr>
          <w:cantSplit/>
        </w:trPr>
        <w:tc>
          <w:tcPr>
            <w:tcW w:type="dxa" w:w="2520"/>
            <w:tcMar>
              <w:top w:w="80" w:type="dxa"/>
              <w:start w:w="120" w:type="dxa"/>
              <w:bottom w:w="80" w:type="dxa"/>
              <w:end w:w="120" w:type="dxa"/>
            </w:tcMar>
            <w:vAlign w:val="top"/>
          </w:tcPr>
          <w:p>
            <w:pPr>
              <w:spacing w:after="0"/>
            </w:pPr>
            <w:r>
              <w:rPr>
                <w:sz w:val="17"/>
              </w:rPr>
              <w:t>jointAddressForm</w:t>
            </w:r>
          </w:p>
        </w:tc>
        <w:tc>
          <w:tcPr>
            <w:tcW w:type="dxa" w:w="6840"/>
            <w:tcMar>
              <w:top w:w="80" w:type="dxa"/>
              <w:start w:w="120" w:type="dxa"/>
              <w:bottom w:w="80" w:type="dxa"/>
              <w:end w:w="120" w:type="dxa"/>
            </w:tcMar>
            <w:vAlign w:val="top"/>
          </w:tcPr>
          <w:p>
            <w:pPr>
              <w:spacing w:after="0"/>
            </w:pPr>
            <w:r>
              <w:rPr>
                <w:sz w:val="17"/>
              </w:rPr>
              <w:t>Household/couple address only; does not merge identities.</w:t>
            </w:r>
          </w:p>
        </w:tc>
      </w:tr>
      <w:tr>
        <w:trPr>
          <w:cantSplit/>
        </w:trPr>
        <w:tc>
          <w:tcPr>
            <w:tcW w:type="dxa" w:w="2520"/>
            <w:tcMar>
              <w:top w:w="80" w:type="dxa"/>
              <w:start w:w="120" w:type="dxa"/>
              <w:bottom w:w="80" w:type="dxa"/>
              <w:end w:w="120" w:type="dxa"/>
            </w:tcMar>
            <w:vAlign w:val="top"/>
          </w:tcPr>
          <w:p>
            <w:pPr>
              <w:spacing w:after="0"/>
            </w:pPr>
            <w:r>
              <w:rPr>
                <w:sz w:val="17"/>
              </w:rPr>
              <w:t>pronunciationNote</w:t>
            </w:r>
          </w:p>
        </w:tc>
        <w:tc>
          <w:tcPr>
            <w:tcW w:type="dxa" w:w="6840"/>
            <w:tcMar>
              <w:top w:w="80" w:type="dxa"/>
              <w:start w:w="120" w:type="dxa"/>
              <w:bottom w:w="80" w:type="dxa"/>
              <w:end w:w="120" w:type="dxa"/>
            </w:tcMar>
            <w:vAlign w:val="top"/>
          </w:tcPr>
          <w:p>
            <w:pPr>
              <w:spacing w:after="0"/>
            </w:pPr>
            <w:r>
              <w:rPr>
                <w:sz w:val="17"/>
              </w:rPr>
              <w:t>Restricted operational note; minimum necessary.</w:t>
            </w:r>
          </w:p>
        </w:tc>
      </w:tr>
      <w:tr>
        <w:trPr>
          <w:cantSplit/>
        </w:trPr>
        <w:tc>
          <w:tcPr>
            <w:tcW w:type="dxa" w:w="2520"/>
            <w:tcMar>
              <w:top w:w="80" w:type="dxa"/>
              <w:start w:w="120" w:type="dxa"/>
              <w:bottom w:w="80" w:type="dxa"/>
              <w:end w:w="120" w:type="dxa"/>
            </w:tcMar>
            <w:vAlign w:val="top"/>
          </w:tcPr>
          <w:p>
            <w:pPr>
              <w:spacing w:after="0"/>
            </w:pPr>
            <w:r>
              <w:rPr>
                <w:sz w:val="17"/>
              </w:rPr>
              <w:t>addressingStatus</w:t>
            </w:r>
          </w:p>
        </w:tc>
        <w:tc>
          <w:tcPr>
            <w:tcW w:type="dxa" w:w="6840"/>
            <w:tcMar>
              <w:top w:w="80" w:type="dxa"/>
              <w:start w:w="120" w:type="dxa"/>
              <w:bottom w:w="80" w:type="dxa"/>
              <w:end w:w="120" w:type="dxa"/>
            </w:tcMar>
            <w:vAlign w:val="top"/>
          </w:tcPr>
          <w:p>
            <w:pPr>
              <w:spacing w:after="0"/>
            </w:pPr>
            <w:r>
              <w:rPr>
                <w:sz w:val="17"/>
              </w:rPr>
              <w:t>UNVERIFIED, GUEST_CONFIRMED, HOST_CONFIRMED, PROTOCOL_CONFIRMED.</w:t>
            </w:r>
          </w:p>
        </w:tc>
      </w:tr>
      <w:tr>
        <w:trPr>
          <w:cantSplit/>
        </w:trPr>
        <w:tc>
          <w:tcPr>
            <w:tcW w:type="dxa" w:w="2520"/>
            <w:tcMar>
              <w:top w:w="80" w:type="dxa"/>
              <w:start w:w="120" w:type="dxa"/>
              <w:bottom w:w="80" w:type="dxa"/>
              <w:end w:w="120" w:type="dxa"/>
            </w:tcMar>
            <w:vAlign w:val="top"/>
          </w:tcPr>
          <w:p>
            <w:pPr>
              <w:spacing w:after="0"/>
            </w:pPr>
            <w:r>
              <w:rPr>
                <w:sz w:val="17"/>
              </w:rPr>
              <w:t>addressingSource</w:t>
            </w:r>
          </w:p>
        </w:tc>
        <w:tc>
          <w:tcPr>
            <w:tcW w:type="dxa" w:w="6840"/>
            <w:tcMar>
              <w:top w:w="80" w:type="dxa"/>
              <w:start w:w="120" w:type="dxa"/>
              <w:bottom w:w="80" w:type="dxa"/>
              <w:end w:w="120" w:type="dxa"/>
            </w:tcMar>
            <w:vAlign w:val="top"/>
          </w:tcPr>
          <w:p>
            <w:pPr>
              <w:spacing w:after="0"/>
            </w:pPr>
            <w:r>
              <w:rPr>
                <w:sz w:val="17"/>
              </w:rPr>
              <w:t>Guest, host, authorised import, protocol team or staff with reason.</w:t>
            </w:r>
          </w:p>
        </w:tc>
      </w:tr>
    </w:tbl>
    <w:p>
      <w:pPr>
        <w:spacing w:after="20"/>
      </w:pPr>
    </w:p>
    <w:p>
      <w:pPr>
        <w:pStyle w:val="Heading2"/>
      </w:pPr>
      <w:r>
        <w:t>4.2 Core records</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520"/>
            <w:shd w:fill="E8EEF5"/>
            <w:tcMar>
              <w:top w:w="80" w:type="dxa"/>
              <w:start w:w="120" w:type="dxa"/>
              <w:bottom w:w="80" w:type="dxa"/>
              <w:end w:w="120" w:type="dxa"/>
            </w:tcMar>
            <w:vAlign w:val="center"/>
          </w:tcPr>
          <w:p>
            <w:r>
              <w:rPr>
                <w:b/>
                <w:color w:val="0B2545"/>
                <w:sz w:val="18"/>
              </w:rPr>
              <w:t>Record</w:t>
            </w:r>
          </w:p>
        </w:tc>
        <w:tc>
          <w:tcPr>
            <w:tcW w:type="dxa" w:w="6840"/>
            <w:shd w:fill="E8EEF5"/>
            <w:tcMar>
              <w:top w:w="80" w:type="dxa"/>
              <w:start w:w="120" w:type="dxa"/>
              <w:bottom w:w="80" w:type="dxa"/>
              <w:end w:w="120" w:type="dxa"/>
            </w:tcMar>
            <w:vAlign w:val="center"/>
          </w:tcPr>
          <w:p>
            <w:r>
              <w:rPr>
                <w:b/>
                <w:color w:val="0B2545"/>
                <w:sz w:val="18"/>
              </w:rPr>
              <w:t>Essential fields</w:t>
            </w:r>
          </w:p>
        </w:tc>
      </w:tr>
      <w:tr>
        <w:trPr>
          <w:cantSplit/>
        </w:trPr>
        <w:tc>
          <w:tcPr>
            <w:tcW w:type="dxa" w:w="2520"/>
            <w:tcMar>
              <w:top w:w="80" w:type="dxa"/>
              <w:start w:w="120" w:type="dxa"/>
              <w:bottom w:w="80" w:type="dxa"/>
              <w:end w:w="120" w:type="dxa"/>
            </w:tcMar>
            <w:vAlign w:val="top"/>
          </w:tcPr>
          <w:p>
            <w:pPr>
              <w:spacing w:after="0"/>
            </w:pPr>
            <w:r>
              <w:rPr>
                <w:sz w:val="17"/>
              </w:rPr>
              <w:t>Guest</w:t>
            </w:r>
          </w:p>
        </w:tc>
        <w:tc>
          <w:tcPr>
            <w:tcW w:type="dxa" w:w="6840"/>
            <w:tcMar>
              <w:top w:w="80" w:type="dxa"/>
              <w:start w:w="120" w:type="dxa"/>
              <w:bottom w:w="80" w:type="dxa"/>
              <w:end w:w="120" w:type="dxa"/>
            </w:tcMar>
            <w:vAlign w:val="top"/>
          </w:tcPr>
          <w:p>
            <w:pPr>
              <w:spacing w:after="0"/>
            </w:pPr>
            <w:r>
              <w:rPr>
                <w:sz w:val="17"/>
              </w:rPr>
              <w:t>guestId, eventId, personId?, addressing, ageBand?, status, version, provenance.</w:t>
            </w:r>
          </w:p>
        </w:tc>
      </w:tr>
      <w:tr>
        <w:trPr>
          <w:cantSplit/>
        </w:trPr>
        <w:tc>
          <w:tcPr>
            <w:tcW w:type="dxa" w:w="2520"/>
            <w:tcMar>
              <w:top w:w="80" w:type="dxa"/>
              <w:start w:w="120" w:type="dxa"/>
              <w:bottom w:w="80" w:type="dxa"/>
              <w:end w:w="120" w:type="dxa"/>
            </w:tcMar>
            <w:vAlign w:val="top"/>
          </w:tcPr>
          <w:p>
            <w:pPr>
              <w:spacing w:after="0"/>
            </w:pPr>
            <w:r>
              <w:rPr>
                <w:sz w:val="17"/>
              </w:rPr>
              <w:t>GuestParty</w:t>
            </w:r>
          </w:p>
        </w:tc>
        <w:tc>
          <w:tcPr>
            <w:tcW w:type="dxa" w:w="6840"/>
            <w:tcMar>
              <w:top w:w="80" w:type="dxa"/>
              <w:start w:w="120" w:type="dxa"/>
              <w:bottom w:w="80" w:type="dxa"/>
              <w:end w:w="120" w:type="dxa"/>
            </w:tcMar>
            <w:vAlign w:val="top"/>
          </w:tcPr>
          <w:p>
            <w:pPr>
              <w:spacing w:after="0"/>
            </w:pPr>
            <w:r>
              <w:rPr>
                <w:sz w:val="17"/>
              </w:rPr>
              <w:t>partyId, eventId, type, principalGuestId?, display label, status.</w:t>
            </w:r>
          </w:p>
        </w:tc>
      </w:tr>
      <w:tr>
        <w:trPr>
          <w:cantSplit/>
        </w:trPr>
        <w:tc>
          <w:tcPr>
            <w:tcW w:type="dxa" w:w="2520"/>
            <w:tcMar>
              <w:top w:w="80" w:type="dxa"/>
              <w:start w:w="120" w:type="dxa"/>
              <w:bottom w:w="80" w:type="dxa"/>
              <w:end w:w="120" w:type="dxa"/>
            </w:tcMar>
            <w:vAlign w:val="top"/>
          </w:tcPr>
          <w:p>
            <w:pPr>
              <w:spacing w:after="0"/>
            </w:pPr>
            <w:r>
              <w:rPr>
                <w:sz w:val="17"/>
              </w:rPr>
              <w:t>GuestPartyMember</w:t>
            </w:r>
          </w:p>
        </w:tc>
        <w:tc>
          <w:tcPr>
            <w:tcW w:type="dxa" w:w="6840"/>
            <w:tcMar>
              <w:top w:w="80" w:type="dxa"/>
              <w:start w:w="120" w:type="dxa"/>
              <w:bottom w:w="80" w:type="dxa"/>
              <w:end w:w="120" w:type="dxa"/>
            </w:tcMar>
            <w:vAlign w:val="top"/>
          </w:tcPr>
          <w:p>
            <w:pPr>
              <w:spacing w:after="0"/>
            </w:pPr>
            <w:r>
              <w:rPr>
                <w:sz w:val="17"/>
              </w:rPr>
              <w:t>partyMemberId, partyId, guestId, role, join/leave dates, status.</w:t>
            </w:r>
          </w:p>
        </w:tc>
      </w:tr>
      <w:tr>
        <w:trPr>
          <w:cantSplit/>
        </w:trPr>
        <w:tc>
          <w:tcPr>
            <w:tcW w:type="dxa" w:w="2520"/>
            <w:tcMar>
              <w:top w:w="80" w:type="dxa"/>
              <w:start w:w="120" w:type="dxa"/>
              <w:bottom w:w="80" w:type="dxa"/>
              <w:end w:w="120" w:type="dxa"/>
            </w:tcMar>
            <w:vAlign w:val="top"/>
          </w:tcPr>
          <w:p>
            <w:pPr>
              <w:spacing w:after="0"/>
            </w:pPr>
            <w:r>
              <w:rPr>
                <w:sz w:val="17"/>
              </w:rPr>
              <w:t>GuestRelationship</w:t>
            </w:r>
          </w:p>
        </w:tc>
        <w:tc>
          <w:tcPr>
            <w:tcW w:type="dxa" w:w="6840"/>
            <w:tcMar>
              <w:top w:w="80" w:type="dxa"/>
              <w:start w:w="120" w:type="dxa"/>
              <w:bottom w:w="80" w:type="dxa"/>
              <w:end w:w="120" w:type="dxa"/>
            </w:tcMar>
            <w:vAlign w:val="top"/>
          </w:tcPr>
          <w:p>
            <w:pPr>
              <w:spacing w:after="0"/>
            </w:pPr>
            <w:r>
              <w:rPr>
                <w:sz w:val="17"/>
              </w:rPr>
              <w:t>relationshipId, eventId, fromGuestId, toGuestId, type, direction, source, status.</w:t>
            </w:r>
          </w:p>
        </w:tc>
      </w:tr>
      <w:tr>
        <w:trPr>
          <w:cantSplit/>
        </w:trPr>
        <w:tc>
          <w:tcPr>
            <w:tcW w:type="dxa" w:w="2520"/>
            <w:tcMar>
              <w:top w:w="80" w:type="dxa"/>
              <w:start w:w="120" w:type="dxa"/>
              <w:bottom w:w="80" w:type="dxa"/>
              <w:end w:w="120" w:type="dxa"/>
            </w:tcMar>
            <w:vAlign w:val="top"/>
          </w:tcPr>
          <w:p>
            <w:pPr>
              <w:spacing w:after="0"/>
            </w:pPr>
            <w:r>
              <w:rPr>
                <w:sz w:val="17"/>
              </w:rPr>
              <w:t>CompanionEntitlement</w:t>
            </w:r>
          </w:p>
        </w:tc>
        <w:tc>
          <w:tcPr>
            <w:tcW w:type="dxa" w:w="6840"/>
            <w:tcMar>
              <w:top w:w="80" w:type="dxa"/>
              <w:start w:w="120" w:type="dxa"/>
              <w:bottom w:w="80" w:type="dxa"/>
              <w:end w:w="120" w:type="dxa"/>
            </w:tcMar>
            <w:vAlign w:val="top"/>
          </w:tcPr>
          <w:p>
            <w:pPr>
              <w:spacing w:after="0"/>
            </w:pPr>
            <w:r>
              <w:rPr>
                <w:sz w:val="17"/>
              </w:rPr>
              <w:t>entitlementId, invitationId, principalGuestId, allowance, rules, status.</w:t>
            </w:r>
          </w:p>
        </w:tc>
      </w:tr>
      <w:tr>
        <w:trPr>
          <w:cantSplit/>
        </w:trPr>
        <w:tc>
          <w:tcPr>
            <w:tcW w:type="dxa" w:w="2520"/>
            <w:tcMar>
              <w:top w:w="80" w:type="dxa"/>
              <w:start w:w="120" w:type="dxa"/>
              <w:bottom w:w="80" w:type="dxa"/>
              <w:end w:w="120" w:type="dxa"/>
            </w:tcMar>
            <w:vAlign w:val="top"/>
          </w:tcPr>
          <w:p>
            <w:pPr>
              <w:spacing w:after="0"/>
            </w:pPr>
            <w:r>
              <w:rPr>
                <w:sz w:val="17"/>
              </w:rPr>
              <w:t>CompanionNomination</w:t>
            </w:r>
          </w:p>
        </w:tc>
        <w:tc>
          <w:tcPr>
            <w:tcW w:type="dxa" w:w="6840"/>
            <w:tcMar>
              <w:top w:w="80" w:type="dxa"/>
              <w:start w:w="120" w:type="dxa"/>
              <w:bottom w:w="80" w:type="dxa"/>
              <w:end w:w="120" w:type="dxa"/>
            </w:tcMar>
            <w:vAlign w:val="top"/>
          </w:tcPr>
          <w:p>
            <w:pPr>
              <w:spacing w:after="0"/>
            </w:pPr>
            <w:r>
              <w:rPr>
                <w:sz w:val="17"/>
              </w:rPr>
              <w:t>nominationId, entitlementId, guestId?, supplied name/contact, state, provenance.</w:t>
            </w:r>
          </w:p>
        </w:tc>
      </w:tr>
      <w:tr>
        <w:trPr>
          <w:cantSplit/>
        </w:trPr>
        <w:tc>
          <w:tcPr>
            <w:tcW w:type="dxa" w:w="2520"/>
            <w:tcMar>
              <w:top w:w="80" w:type="dxa"/>
              <w:start w:w="120" w:type="dxa"/>
              <w:bottom w:w="80" w:type="dxa"/>
              <w:end w:w="120" w:type="dxa"/>
            </w:tcMar>
            <w:vAlign w:val="top"/>
          </w:tcPr>
          <w:p>
            <w:pPr>
              <w:spacing w:after="0"/>
            </w:pPr>
            <w:r>
              <w:rPr>
                <w:sz w:val="17"/>
              </w:rPr>
              <w:t>ResponsibleAdultLink</w:t>
            </w:r>
          </w:p>
        </w:tc>
        <w:tc>
          <w:tcPr>
            <w:tcW w:type="dxa" w:w="6840"/>
            <w:tcMar>
              <w:top w:w="80" w:type="dxa"/>
              <w:start w:w="120" w:type="dxa"/>
              <w:bottom w:w="80" w:type="dxa"/>
              <w:end w:w="120" w:type="dxa"/>
            </w:tcMar>
            <w:vAlign w:val="top"/>
          </w:tcPr>
          <w:p>
            <w:pPr>
              <w:spacing w:after="0"/>
            </w:pPr>
            <w:r>
              <w:rPr>
                <w:sz w:val="17"/>
              </w:rPr>
              <w:t>linkId, childGuestId, responsibleAdultGuestId, scope, status.</w:t>
            </w:r>
          </w:p>
        </w:tc>
      </w:tr>
      <w:tr>
        <w:trPr>
          <w:cantSplit/>
        </w:trPr>
        <w:tc>
          <w:tcPr>
            <w:tcW w:type="dxa" w:w="2520"/>
            <w:tcMar>
              <w:top w:w="80" w:type="dxa"/>
              <w:start w:w="120" w:type="dxa"/>
              <w:bottom w:w="80" w:type="dxa"/>
              <w:end w:w="120" w:type="dxa"/>
            </w:tcMar>
            <w:vAlign w:val="top"/>
          </w:tcPr>
          <w:p>
            <w:pPr>
              <w:spacing w:after="0"/>
            </w:pPr>
            <w:r>
              <w:rPr>
                <w:sz w:val="17"/>
              </w:rPr>
              <w:t>EventSeries</w:t>
            </w:r>
          </w:p>
        </w:tc>
        <w:tc>
          <w:tcPr>
            <w:tcW w:type="dxa" w:w="6840"/>
            <w:tcMar>
              <w:top w:w="80" w:type="dxa"/>
              <w:start w:w="120" w:type="dxa"/>
              <w:bottom w:w="80" w:type="dxa"/>
              <w:end w:w="120" w:type="dxa"/>
            </w:tcMar>
            <w:vAlign w:val="top"/>
          </w:tcPr>
          <w:p>
            <w:pPr>
              <w:spacing w:after="0"/>
            </w:pPr>
            <w:r>
              <w:rPr>
                <w:sz w:val="17"/>
              </w:rPr>
              <w:t>eventSeriesId, organisationId, name, status.</w:t>
            </w:r>
          </w:p>
        </w:tc>
      </w:tr>
      <w:tr>
        <w:trPr>
          <w:cantSplit/>
        </w:trPr>
        <w:tc>
          <w:tcPr>
            <w:tcW w:type="dxa" w:w="2520"/>
            <w:tcMar>
              <w:top w:w="80" w:type="dxa"/>
              <w:start w:w="120" w:type="dxa"/>
              <w:bottom w:w="80" w:type="dxa"/>
              <w:end w:w="120" w:type="dxa"/>
            </w:tcMar>
            <w:vAlign w:val="top"/>
          </w:tcPr>
          <w:p>
            <w:pPr>
              <w:spacing w:after="0"/>
            </w:pPr>
            <w:r>
              <w:rPr>
                <w:sz w:val="17"/>
              </w:rPr>
              <w:t>EventSeriesMember</w:t>
            </w:r>
          </w:p>
        </w:tc>
        <w:tc>
          <w:tcPr>
            <w:tcW w:type="dxa" w:w="6840"/>
            <w:tcMar>
              <w:top w:w="80" w:type="dxa"/>
              <w:start w:w="120" w:type="dxa"/>
              <w:bottom w:w="80" w:type="dxa"/>
              <w:end w:w="120" w:type="dxa"/>
            </w:tcMar>
            <w:vAlign w:val="top"/>
          </w:tcPr>
          <w:p>
            <w:pPr>
              <w:spacing w:after="0"/>
            </w:pPr>
            <w:r>
              <w:rPr>
                <w:sz w:val="17"/>
              </w:rPr>
              <w:t>eventSeriesId, eventId, occurrence type/order.</w:t>
            </w:r>
          </w:p>
        </w:tc>
      </w:tr>
    </w:tbl>
    <w:p>
      <w:pPr>
        <w:spacing w:after="20"/>
      </w:pPr>
    </w:p>
    <w:p>
      <w:pPr>
        <w:pStyle w:val="Heading1"/>
      </w:pPr>
      <w:r>
        <w:t>5. Titles, names and salutations</w:t>
      </w:r>
    </w:p>
    <w:p>
      <w:pPr>
        <w:pStyle w:val="Heading2"/>
      </w:pPr>
      <w:r>
        <w:t>5.1 Composition rules</w:t>
      </w:r>
    </w:p>
    <w:p>
      <w:pPr>
        <w:pStyle w:val="ListBullet"/>
        <w:spacing w:after="80"/>
      </w:pPr>
      <w:r>
        <w:t>Store source components; generate display strings through a deterministic formatter.</w:t>
      </w:r>
    </w:p>
    <w:p>
      <w:pPr>
        <w:pStyle w:val="ListBullet"/>
        <w:spacing w:after="80"/>
      </w:pPr>
      <w:r>
        <w:t>Preserve Unicode, Yoruba tonal marks, apostrophes, hyphens and spacing.</w:t>
      </w:r>
    </w:p>
    <w:p>
      <w:pPr>
        <w:pStyle w:val="ListBullet"/>
        <w:spacing w:after="80"/>
      </w:pPr>
      <w:r>
        <w:t>Never infer honorific, gender, marital status, relationship or traditional title.</w:t>
      </w:r>
    </w:p>
    <w:p>
      <w:pPr>
        <w:pStyle w:val="ListBullet"/>
        <w:spacing w:after="80"/>
      </w:pPr>
      <w:r>
        <w:t>Do not overwrite a guest-confirmed form with an imported or staff-generated form without governed amendment.</w:t>
      </w:r>
    </w:p>
    <w:p>
      <w:pPr>
        <w:pStyle w:val="ListBullet"/>
        <w:spacing w:after="80"/>
      </w:pPr>
      <w:r>
        <w:t>A communication template uses preferredFormalSalutation when confirmed; otherwise it uses a safe configured fallback, not a guessed title.</w:t>
      </w:r>
    </w:p>
    <w:p>
      <w:pPr>
        <w:pStyle w:val="ListBullet"/>
        <w:spacing w:after="80"/>
      </w:pPr>
      <w:r>
        <w:t>Search indexes component and preferred names while displaying only authorised fields.</w:t>
      </w:r>
    </w:p>
    <w:p>
      <w:pPr>
        <w:pStyle w:val="Heading2"/>
      </w:pPr>
      <w:r>
        <w:t>5.2 Illustrative rendering</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3816"/>
            <w:shd w:fill="E8EEF5"/>
            <w:tcMar>
              <w:top w:w="80" w:type="dxa"/>
              <w:start w:w="120" w:type="dxa"/>
              <w:bottom w:w="80" w:type="dxa"/>
              <w:end w:w="120" w:type="dxa"/>
            </w:tcMar>
            <w:vAlign w:val="center"/>
          </w:tcPr>
          <w:p>
            <w:r>
              <w:rPr>
                <w:b/>
                <w:color w:val="0B2545"/>
                <w:sz w:val="18"/>
              </w:rPr>
              <w:t>Stored components</w:t>
            </w:r>
          </w:p>
        </w:tc>
        <w:tc>
          <w:tcPr>
            <w:tcW w:type="dxa" w:w="5544"/>
            <w:shd w:fill="E8EEF5"/>
            <w:tcMar>
              <w:top w:w="80" w:type="dxa"/>
              <w:start w:w="120" w:type="dxa"/>
              <w:bottom w:w="80" w:type="dxa"/>
              <w:end w:w="120" w:type="dxa"/>
            </w:tcMar>
            <w:vAlign w:val="center"/>
          </w:tcPr>
          <w:p>
            <w:r>
              <w:rPr>
                <w:b/>
                <w:color w:val="0B2545"/>
                <w:sz w:val="18"/>
              </w:rPr>
              <w:t>Permitted rendering</w:t>
            </w:r>
          </w:p>
        </w:tc>
      </w:tr>
      <w:tr>
        <w:trPr>
          <w:cantSplit/>
        </w:trPr>
        <w:tc>
          <w:tcPr>
            <w:tcW w:type="dxa" w:w="3816"/>
            <w:tcMar>
              <w:top w:w="80" w:type="dxa"/>
              <w:start w:w="120" w:type="dxa"/>
              <w:bottom w:w="80" w:type="dxa"/>
              <w:end w:w="120" w:type="dxa"/>
            </w:tcMar>
            <w:vAlign w:val="top"/>
          </w:tcPr>
          <w:p>
            <w:pPr>
              <w:spacing w:after="0"/>
            </w:pPr>
            <w:r>
              <w:rPr>
                <w:sz w:val="17"/>
              </w:rPr>
              <w:t>honorific=Dr (Mrs); given=Ẹ̀bùnolúwa; family=Alákíjà</w:t>
            </w:r>
          </w:p>
        </w:tc>
        <w:tc>
          <w:tcPr>
            <w:tcW w:type="dxa" w:w="5544"/>
            <w:tcMar>
              <w:top w:w="80" w:type="dxa"/>
              <w:start w:w="120" w:type="dxa"/>
              <w:bottom w:w="80" w:type="dxa"/>
              <w:end w:w="120" w:type="dxa"/>
            </w:tcMar>
            <w:vAlign w:val="top"/>
          </w:tcPr>
          <w:p>
            <w:pPr>
              <w:spacing w:after="0"/>
            </w:pPr>
            <w:r>
              <w:rPr>
                <w:sz w:val="17"/>
              </w:rPr>
              <w:t>Dr (Mrs) Ẹ̀bùnolúwa Alákíjà</w:t>
            </w:r>
          </w:p>
        </w:tc>
      </w:tr>
      <w:tr>
        <w:trPr>
          <w:cantSplit/>
        </w:trPr>
        <w:tc>
          <w:tcPr>
            <w:tcW w:type="dxa" w:w="3816"/>
            <w:tcMar>
              <w:top w:w="80" w:type="dxa"/>
              <w:start w:w="120" w:type="dxa"/>
              <w:bottom w:w="80" w:type="dxa"/>
              <w:end w:w="120" w:type="dxa"/>
            </w:tcMar>
            <w:vAlign w:val="top"/>
          </w:tcPr>
          <w:p>
            <w:pPr>
              <w:spacing w:after="0"/>
            </w:pPr>
            <w:r>
              <w:rPr>
                <w:sz w:val="17"/>
              </w:rPr>
              <w:t>traditionalTitle=Otunba; given=Olúfẹ́mi; family=Alákíjà</w:t>
            </w:r>
          </w:p>
        </w:tc>
        <w:tc>
          <w:tcPr>
            <w:tcW w:type="dxa" w:w="5544"/>
            <w:tcMar>
              <w:top w:w="80" w:type="dxa"/>
              <w:start w:w="120" w:type="dxa"/>
              <w:bottom w:w="80" w:type="dxa"/>
              <w:end w:w="120" w:type="dxa"/>
            </w:tcMar>
            <w:vAlign w:val="top"/>
          </w:tcPr>
          <w:p>
            <w:pPr>
              <w:spacing w:after="0"/>
            </w:pPr>
            <w:r>
              <w:rPr>
                <w:sz w:val="17"/>
              </w:rPr>
              <w:t>Otunba Olúfẹ́mi Alákíjà</w:t>
            </w:r>
          </w:p>
        </w:tc>
      </w:tr>
      <w:tr>
        <w:trPr>
          <w:cantSplit/>
        </w:trPr>
        <w:tc>
          <w:tcPr>
            <w:tcW w:type="dxa" w:w="3816"/>
            <w:tcMar>
              <w:top w:w="80" w:type="dxa"/>
              <w:start w:w="120" w:type="dxa"/>
              <w:bottom w:w="80" w:type="dxa"/>
              <w:end w:w="120" w:type="dxa"/>
            </w:tcMar>
            <w:vAlign w:val="top"/>
          </w:tcPr>
          <w:p>
            <w:pPr>
              <w:spacing w:after="0"/>
            </w:pPr>
            <w:r>
              <w:rPr>
                <w:sz w:val="17"/>
              </w:rPr>
              <w:t>jointAddressForm explicitly confirmed</w:t>
            </w:r>
          </w:p>
        </w:tc>
        <w:tc>
          <w:tcPr>
            <w:tcW w:type="dxa" w:w="5544"/>
            <w:tcMar>
              <w:top w:w="80" w:type="dxa"/>
              <w:start w:w="120" w:type="dxa"/>
              <w:bottom w:w="80" w:type="dxa"/>
              <w:end w:w="120" w:type="dxa"/>
            </w:tcMar>
            <w:vAlign w:val="top"/>
          </w:tcPr>
          <w:p>
            <w:pPr>
              <w:spacing w:after="0"/>
            </w:pPr>
            <w:r>
              <w:rPr>
                <w:sz w:val="17"/>
              </w:rPr>
              <w:t>Use exact confirmed joint form; retain both independent guestIds.</w:t>
            </w:r>
          </w:p>
        </w:tc>
      </w:tr>
    </w:tbl>
    <w:p>
      <w:pPr>
        <w:spacing w:after="20"/>
      </w:pPr>
    </w:p>
    <w:p>
      <w:pPr>
        <w:pStyle w:val="Heading2"/>
      </w:pPr>
      <w:r>
        <w:t>5.3 Corrections</w:t>
      </w:r>
    </w:p>
    <w:p>
      <w:r>
        <w:t>Title and salutation corrections follow the same governed proposal/review pattern as contact corrections where sensitivity warrants it. Every change records actor, reason, source, previous value, new value and timestamp. A rejected proposal does not change canonical guest truth.</w:t>
      </w:r>
    </w:p>
    <w:p>
      <w:pPr>
        <w:pStyle w:val="Heading1"/>
      </w:pPr>
      <w:r>
        <w:t>6. Children and age bands</w:t>
      </w:r>
    </w:p>
    <w:tbl>
      <w:tblPr>
        <w:tblW w:type="dxa" w:w="9360"/>
        <w:jc w:val="left"/>
        <w:tblLayout w:type="fixed"/>
        <w:tblLook w:firstColumn="1" w:firstRow="1" w:lastColumn="0" w:lastRow="0" w:noHBand="0" w:noVBand="1" w:val="04A0"/>
      </w:tblPr>
      <w:tblGrid>
        <w:gridCol w:w="9360"/>
      </w:tblGrid>
      <w:tr>
        <w:trPr>
          <w:cantSplit/>
        </w:trPr>
        <w:tc>
          <w:tcPr>
            <w:tcW w:type="dxa" w:w="9360"/>
            <w:shd w:fill="F2F4F7"/>
            <w:tcMar>
              <w:top w:w="130" w:type="dxa"/>
              <w:start w:w="180" w:type="dxa"/>
              <w:bottom w:w="130" w:type="dxa"/>
              <w:end w:w="180" w:type="dxa"/>
            </w:tcMar>
          </w:tcPr>
          <w:p>
            <w:pPr>
              <w:spacing w:after="0"/>
            </w:pPr>
            <w:r>
              <w:rPr>
                <w:b/>
                <w:color w:val="0B2545"/>
              </w:rPr>
              <w:t xml:space="preserve">DEFAULT PRIVACY RULE  </w:t>
            </w:r>
            <w:r>
              <w:t>Capture age band, not date of birth, unless a separately justified operational or legal requirement explicitly requires a date. Age bands support childhood stages while minimising personal data.</w:t>
            </w:r>
          </w:p>
        </w:tc>
      </w:tr>
    </w:tbl>
    <w:p>
      <w:pPr>
        <w:spacing w:after="20"/>
      </w:pP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448"/>
            <w:shd w:fill="E8EEF5"/>
            <w:tcMar>
              <w:top w:w="80" w:type="dxa"/>
              <w:start w:w="120" w:type="dxa"/>
              <w:bottom w:w="80" w:type="dxa"/>
              <w:end w:w="120" w:type="dxa"/>
            </w:tcMar>
            <w:vAlign w:val="center"/>
          </w:tcPr>
          <w:p>
            <w:r>
              <w:rPr>
                <w:b/>
                <w:color w:val="0B2545"/>
                <w:sz w:val="18"/>
              </w:rPr>
              <w:t>Age band</w:t>
            </w:r>
          </w:p>
        </w:tc>
        <w:tc>
          <w:tcPr>
            <w:tcW w:type="dxa" w:w="6912"/>
            <w:shd w:fill="E8EEF5"/>
            <w:tcMar>
              <w:top w:w="80" w:type="dxa"/>
              <w:start w:w="120" w:type="dxa"/>
              <w:bottom w:w="80" w:type="dxa"/>
              <w:end w:w="120" w:type="dxa"/>
            </w:tcMar>
            <w:vAlign w:val="center"/>
          </w:tcPr>
          <w:p>
            <w:r>
              <w:rPr>
                <w:b/>
                <w:color w:val="0B2545"/>
                <w:sz w:val="18"/>
              </w:rPr>
              <w:t>Operational interpretation</w:t>
            </w:r>
          </w:p>
        </w:tc>
      </w:tr>
      <w:tr>
        <w:trPr>
          <w:cantSplit/>
        </w:trPr>
        <w:tc>
          <w:tcPr>
            <w:tcW w:type="dxa" w:w="2448"/>
            <w:tcMar>
              <w:top w:w="80" w:type="dxa"/>
              <w:start w:w="120" w:type="dxa"/>
              <w:bottom w:w="80" w:type="dxa"/>
              <w:end w:w="120" w:type="dxa"/>
            </w:tcMar>
            <w:vAlign w:val="top"/>
          </w:tcPr>
          <w:p>
            <w:pPr>
              <w:spacing w:after="0"/>
            </w:pPr>
            <w:r>
              <w:rPr>
                <w:sz w:val="17"/>
              </w:rPr>
              <w:t>INFANT</w:t>
            </w:r>
          </w:p>
        </w:tc>
        <w:tc>
          <w:tcPr>
            <w:tcW w:type="dxa" w:w="6912"/>
            <w:tcMar>
              <w:top w:w="80" w:type="dxa"/>
              <w:start w:w="120" w:type="dxa"/>
              <w:bottom w:w="80" w:type="dxa"/>
              <w:end w:w="120" w:type="dxa"/>
            </w:tcMar>
            <w:vAlign w:val="top"/>
          </w:tcPr>
          <w:p>
            <w:pPr>
              <w:spacing w:after="0"/>
            </w:pPr>
            <w:r>
              <w:rPr>
                <w:sz w:val="17"/>
              </w:rPr>
              <w:t>Under 2</w:t>
            </w:r>
          </w:p>
        </w:tc>
      </w:tr>
      <w:tr>
        <w:trPr>
          <w:cantSplit/>
        </w:trPr>
        <w:tc>
          <w:tcPr>
            <w:tcW w:type="dxa" w:w="2448"/>
            <w:tcMar>
              <w:top w:w="80" w:type="dxa"/>
              <w:start w:w="120" w:type="dxa"/>
              <w:bottom w:w="80" w:type="dxa"/>
              <w:end w:w="120" w:type="dxa"/>
            </w:tcMar>
            <w:vAlign w:val="top"/>
          </w:tcPr>
          <w:p>
            <w:pPr>
              <w:spacing w:after="0"/>
            </w:pPr>
            <w:r>
              <w:rPr>
                <w:sz w:val="17"/>
              </w:rPr>
              <w:t>EARLY_CHILDHOOD</w:t>
            </w:r>
          </w:p>
        </w:tc>
        <w:tc>
          <w:tcPr>
            <w:tcW w:type="dxa" w:w="6912"/>
            <w:tcMar>
              <w:top w:w="80" w:type="dxa"/>
              <w:start w:w="120" w:type="dxa"/>
              <w:bottom w:w="80" w:type="dxa"/>
              <w:end w:w="120" w:type="dxa"/>
            </w:tcMar>
            <w:vAlign w:val="top"/>
          </w:tcPr>
          <w:p>
            <w:pPr>
              <w:spacing w:after="0"/>
            </w:pPr>
            <w:r>
              <w:rPr>
                <w:sz w:val="17"/>
              </w:rPr>
              <w:t>2–4</w:t>
            </w:r>
          </w:p>
        </w:tc>
      </w:tr>
      <w:tr>
        <w:trPr>
          <w:cantSplit/>
        </w:trPr>
        <w:tc>
          <w:tcPr>
            <w:tcW w:type="dxa" w:w="2448"/>
            <w:tcMar>
              <w:top w:w="80" w:type="dxa"/>
              <w:start w:w="120" w:type="dxa"/>
              <w:bottom w:w="80" w:type="dxa"/>
              <w:end w:w="120" w:type="dxa"/>
            </w:tcMar>
            <w:vAlign w:val="top"/>
          </w:tcPr>
          <w:p>
            <w:pPr>
              <w:spacing w:after="0"/>
            </w:pPr>
            <w:r>
              <w:rPr>
                <w:sz w:val="17"/>
              </w:rPr>
              <w:t>CHILD</w:t>
            </w:r>
          </w:p>
        </w:tc>
        <w:tc>
          <w:tcPr>
            <w:tcW w:type="dxa" w:w="6912"/>
            <w:tcMar>
              <w:top w:w="80" w:type="dxa"/>
              <w:start w:w="120" w:type="dxa"/>
              <w:bottom w:w="80" w:type="dxa"/>
              <w:end w:w="120" w:type="dxa"/>
            </w:tcMar>
            <w:vAlign w:val="top"/>
          </w:tcPr>
          <w:p>
            <w:pPr>
              <w:spacing w:after="0"/>
            </w:pPr>
            <w:r>
              <w:rPr>
                <w:sz w:val="17"/>
              </w:rPr>
              <w:t>5–9</w:t>
            </w:r>
          </w:p>
        </w:tc>
      </w:tr>
      <w:tr>
        <w:trPr>
          <w:cantSplit/>
        </w:trPr>
        <w:tc>
          <w:tcPr>
            <w:tcW w:type="dxa" w:w="2448"/>
            <w:tcMar>
              <w:top w:w="80" w:type="dxa"/>
              <w:start w:w="120" w:type="dxa"/>
              <w:bottom w:w="80" w:type="dxa"/>
              <w:end w:w="120" w:type="dxa"/>
            </w:tcMar>
            <w:vAlign w:val="top"/>
          </w:tcPr>
          <w:p>
            <w:pPr>
              <w:spacing w:after="0"/>
            </w:pPr>
            <w:r>
              <w:rPr>
                <w:sz w:val="17"/>
              </w:rPr>
              <w:t>PRE_TEEN</w:t>
            </w:r>
          </w:p>
        </w:tc>
        <w:tc>
          <w:tcPr>
            <w:tcW w:type="dxa" w:w="6912"/>
            <w:tcMar>
              <w:top w:w="80" w:type="dxa"/>
              <w:start w:w="120" w:type="dxa"/>
              <w:bottom w:w="80" w:type="dxa"/>
              <w:end w:w="120" w:type="dxa"/>
            </w:tcMar>
            <w:vAlign w:val="top"/>
          </w:tcPr>
          <w:p>
            <w:pPr>
              <w:spacing w:after="0"/>
            </w:pPr>
            <w:r>
              <w:rPr>
                <w:sz w:val="17"/>
              </w:rPr>
              <w:t>10–12</w:t>
            </w:r>
          </w:p>
        </w:tc>
      </w:tr>
      <w:tr>
        <w:trPr>
          <w:cantSplit/>
        </w:trPr>
        <w:tc>
          <w:tcPr>
            <w:tcW w:type="dxa" w:w="2448"/>
            <w:tcMar>
              <w:top w:w="80" w:type="dxa"/>
              <w:start w:w="120" w:type="dxa"/>
              <w:bottom w:w="80" w:type="dxa"/>
              <w:end w:w="120" w:type="dxa"/>
            </w:tcMar>
            <w:vAlign w:val="top"/>
          </w:tcPr>
          <w:p>
            <w:pPr>
              <w:spacing w:after="0"/>
            </w:pPr>
            <w:r>
              <w:rPr>
                <w:sz w:val="17"/>
              </w:rPr>
              <w:t>TEEN</w:t>
            </w:r>
          </w:p>
        </w:tc>
        <w:tc>
          <w:tcPr>
            <w:tcW w:type="dxa" w:w="6912"/>
            <w:tcMar>
              <w:top w:w="80" w:type="dxa"/>
              <w:start w:w="120" w:type="dxa"/>
              <w:bottom w:w="80" w:type="dxa"/>
              <w:end w:w="120" w:type="dxa"/>
            </w:tcMar>
            <w:vAlign w:val="top"/>
          </w:tcPr>
          <w:p>
            <w:pPr>
              <w:spacing w:after="0"/>
            </w:pPr>
            <w:r>
              <w:rPr>
                <w:sz w:val="17"/>
              </w:rPr>
              <w:t>13–17</w:t>
            </w:r>
          </w:p>
        </w:tc>
      </w:tr>
      <w:tr>
        <w:trPr>
          <w:cantSplit/>
        </w:trPr>
        <w:tc>
          <w:tcPr>
            <w:tcW w:type="dxa" w:w="2448"/>
            <w:tcMar>
              <w:top w:w="80" w:type="dxa"/>
              <w:start w:w="120" w:type="dxa"/>
              <w:bottom w:w="80" w:type="dxa"/>
              <w:end w:w="120" w:type="dxa"/>
            </w:tcMar>
            <w:vAlign w:val="top"/>
          </w:tcPr>
          <w:p>
            <w:pPr>
              <w:spacing w:after="0"/>
            </w:pPr>
            <w:r>
              <w:rPr>
                <w:sz w:val="17"/>
              </w:rPr>
              <w:t>ADULT</w:t>
            </w:r>
          </w:p>
        </w:tc>
        <w:tc>
          <w:tcPr>
            <w:tcW w:type="dxa" w:w="6912"/>
            <w:tcMar>
              <w:top w:w="80" w:type="dxa"/>
              <w:start w:w="120" w:type="dxa"/>
              <w:bottom w:w="80" w:type="dxa"/>
              <w:end w:w="120" w:type="dxa"/>
            </w:tcMar>
            <w:vAlign w:val="top"/>
          </w:tcPr>
          <w:p>
            <w:pPr>
              <w:spacing w:after="0"/>
            </w:pPr>
            <w:r>
              <w:rPr>
                <w:sz w:val="17"/>
              </w:rPr>
              <w:t>18+ or treated as adult guest</w:t>
            </w:r>
          </w:p>
        </w:tc>
      </w:tr>
      <w:tr>
        <w:trPr>
          <w:cantSplit/>
        </w:trPr>
        <w:tc>
          <w:tcPr>
            <w:tcW w:type="dxa" w:w="2448"/>
            <w:tcMar>
              <w:top w:w="80" w:type="dxa"/>
              <w:start w:w="120" w:type="dxa"/>
              <w:bottom w:w="80" w:type="dxa"/>
              <w:end w:w="120" w:type="dxa"/>
            </w:tcMar>
            <w:vAlign w:val="top"/>
          </w:tcPr>
          <w:p>
            <w:pPr>
              <w:spacing w:after="0"/>
            </w:pPr>
            <w:r>
              <w:rPr>
                <w:sz w:val="17"/>
              </w:rPr>
              <w:t>UNKNOWN</w:t>
            </w:r>
          </w:p>
        </w:tc>
        <w:tc>
          <w:tcPr>
            <w:tcW w:type="dxa" w:w="6912"/>
            <w:tcMar>
              <w:top w:w="80" w:type="dxa"/>
              <w:start w:w="120" w:type="dxa"/>
              <w:bottom w:w="80" w:type="dxa"/>
              <w:end w:w="120" w:type="dxa"/>
            </w:tcMar>
            <w:vAlign w:val="top"/>
          </w:tcPr>
          <w:p>
            <w:pPr>
              <w:spacing w:after="0"/>
            </w:pPr>
            <w:r>
              <w:rPr>
                <w:sz w:val="17"/>
              </w:rPr>
              <w:t>Not supplied; never guessed</w:t>
            </w:r>
          </w:p>
        </w:tc>
      </w:tr>
    </w:tbl>
    <w:p>
      <w:pPr>
        <w:spacing w:after="20"/>
      </w:pPr>
    </w:p>
    <w:p>
      <w:pPr>
        <w:pStyle w:val="Heading2"/>
      </w:pPr>
      <w:r>
        <w:t>6.1 Child safeguards</w:t>
      </w:r>
    </w:p>
    <w:p>
      <w:pPr>
        <w:pStyle w:val="ListBullet"/>
        <w:spacing w:after="80"/>
      </w:pPr>
      <w:r>
        <w:t>Every attending child has an independent guestId.</w:t>
      </w:r>
    </w:p>
    <w:p>
      <w:pPr>
        <w:pStyle w:val="ListBullet"/>
        <w:spacing w:after="80"/>
      </w:pPr>
      <w:r>
        <w:t>A responsible adult link is required before READY_FOR_EVENT status.</w:t>
      </w:r>
    </w:p>
    <w:p>
      <w:pPr>
        <w:pStyle w:val="ListBullet"/>
        <w:spacing w:after="80"/>
      </w:pPr>
      <w:r>
        <w:t>No independent direct communication to a child by default.</w:t>
      </w:r>
    </w:p>
    <w:p>
      <w:pPr>
        <w:pStyle w:val="ListBullet"/>
        <w:spacing w:after="80"/>
      </w:pPr>
      <w:r>
        <w:t>Contact details ordinarily belong to the responsible adult and are not copied as the child’s identity.</w:t>
      </w:r>
    </w:p>
    <w:p>
      <w:pPr>
        <w:pStyle w:val="ListBullet"/>
        <w:spacing w:after="80"/>
      </w:pPr>
      <w:r>
        <w:t>Dietary, accessibility, safeguarding and seating data remain separately scoped and permissioned.</w:t>
      </w:r>
    </w:p>
    <w:p>
      <w:pPr>
        <w:pStyle w:val="ListBullet"/>
        <w:spacing w:after="80"/>
      </w:pPr>
      <w:r>
        <w:t>Age-band transition does not occur automatically from an unknown birth date.</w:t>
      </w:r>
    </w:p>
    <w:p>
      <w:pPr>
        <w:pStyle w:val="ListBullet"/>
        <w:spacing w:after="80"/>
      </w:pPr>
      <w:r>
        <w:t>Exports to gate, seating or catering contexts disclose only the minimum necessary.</w:t>
      </w:r>
    </w:p>
    <w:p>
      <w:pPr>
        <w:pStyle w:val="Heading1"/>
      </w:pPr>
      <w:r>
        <w:t>7. Parties, households and relationships</w:t>
      </w:r>
    </w:p>
    <w:p>
      <w:pPr>
        <w:pStyle w:val="Heading2"/>
      </w:pPr>
      <w:r>
        <w:t>7.1 Party types</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376"/>
            <w:shd w:fill="E8EEF5"/>
            <w:tcMar>
              <w:top w:w="80" w:type="dxa"/>
              <w:start w:w="120" w:type="dxa"/>
              <w:bottom w:w="80" w:type="dxa"/>
              <w:end w:w="120" w:type="dxa"/>
            </w:tcMar>
            <w:vAlign w:val="center"/>
          </w:tcPr>
          <w:p>
            <w:r>
              <w:rPr>
                <w:b/>
                <w:color w:val="0B2545"/>
                <w:sz w:val="18"/>
              </w:rPr>
              <w:t>Party type</w:t>
            </w:r>
          </w:p>
        </w:tc>
        <w:tc>
          <w:tcPr>
            <w:tcW w:type="dxa" w:w="6984"/>
            <w:shd w:fill="E8EEF5"/>
            <w:tcMar>
              <w:top w:w="80" w:type="dxa"/>
              <w:start w:w="120" w:type="dxa"/>
              <w:bottom w:w="80" w:type="dxa"/>
              <w:end w:w="120" w:type="dxa"/>
            </w:tcMar>
            <w:vAlign w:val="center"/>
          </w:tcPr>
          <w:p>
            <w:r>
              <w:rPr>
                <w:b/>
                <w:color w:val="0B2545"/>
                <w:sz w:val="18"/>
              </w:rPr>
              <w:t>Purpose</w:t>
            </w:r>
          </w:p>
        </w:tc>
      </w:tr>
      <w:tr>
        <w:trPr>
          <w:cantSplit/>
        </w:trPr>
        <w:tc>
          <w:tcPr>
            <w:tcW w:type="dxa" w:w="2376"/>
            <w:tcMar>
              <w:top w:w="80" w:type="dxa"/>
              <w:start w:w="120" w:type="dxa"/>
              <w:bottom w:w="80" w:type="dxa"/>
              <w:end w:w="120" w:type="dxa"/>
            </w:tcMar>
            <w:vAlign w:val="top"/>
          </w:tcPr>
          <w:p>
            <w:pPr>
              <w:spacing w:after="0"/>
            </w:pPr>
            <w:r>
              <w:rPr>
                <w:sz w:val="17"/>
              </w:rPr>
              <w:t>HOUSEHOLD</w:t>
            </w:r>
          </w:p>
        </w:tc>
        <w:tc>
          <w:tcPr>
            <w:tcW w:type="dxa" w:w="6984"/>
            <w:tcMar>
              <w:top w:w="80" w:type="dxa"/>
              <w:start w:w="120" w:type="dxa"/>
              <w:bottom w:w="80" w:type="dxa"/>
              <w:end w:w="120" w:type="dxa"/>
            </w:tcMar>
            <w:vAlign w:val="top"/>
          </w:tcPr>
          <w:p>
            <w:pPr>
              <w:spacing w:after="0"/>
            </w:pPr>
            <w:r>
              <w:rPr>
                <w:sz w:val="17"/>
              </w:rPr>
              <w:t>Persistent social/household grouping for this event.</w:t>
            </w:r>
          </w:p>
        </w:tc>
      </w:tr>
      <w:tr>
        <w:trPr>
          <w:cantSplit/>
        </w:trPr>
        <w:tc>
          <w:tcPr>
            <w:tcW w:type="dxa" w:w="2376"/>
            <w:tcMar>
              <w:top w:w="80" w:type="dxa"/>
              <w:start w:w="120" w:type="dxa"/>
              <w:bottom w:w="80" w:type="dxa"/>
              <w:end w:w="120" w:type="dxa"/>
            </w:tcMar>
            <w:vAlign w:val="top"/>
          </w:tcPr>
          <w:p>
            <w:pPr>
              <w:spacing w:after="0"/>
            </w:pPr>
            <w:r>
              <w:rPr>
                <w:sz w:val="17"/>
              </w:rPr>
              <w:t>INVITATION_PARTY</w:t>
            </w:r>
          </w:p>
        </w:tc>
        <w:tc>
          <w:tcPr>
            <w:tcW w:type="dxa" w:w="6984"/>
            <w:tcMar>
              <w:top w:w="80" w:type="dxa"/>
              <w:start w:w="120" w:type="dxa"/>
              <w:bottom w:w="80" w:type="dxa"/>
              <w:end w:w="120" w:type="dxa"/>
            </w:tcMar>
            <w:vAlign w:val="top"/>
          </w:tcPr>
          <w:p>
            <w:pPr>
              <w:spacing w:after="0"/>
            </w:pPr>
            <w:r>
              <w:rPr>
                <w:sz w:val="17"/>
              </w:rPr>
              <w:t>People covered by an invitation or RSVP response.</w:t>
            </w:r>
          </w:p>
        </w:tc>
      </w:tr>
      <w:tr>
        <w:trPr>
          <w:cantSplit/>
        </w:trPr>
        <w:tc>
          <w:tcPr>
            <w:tcW w:type="dxa" w:w="2376"/>
            <w:tcMar>
              <w:top w:w="80" w:type="dxa"/>
              <w:start w:w="120" w:type="dxa"/>
              <w:bottom w:w="80" w:type="dxa"/>
              <w:end w:w="120" w:type="dxa"/>
            </w:tcMar>
            <w:vAlign w:val="top"/>
          </w:tcPr>
          <w:p>
            <w:pPr>
              <w:spacing w:after="0"/>
            </w:pPr>
            <w:r>
              <w:rPr>
                <w:sz w:val="17"/>
              </w:rPr>
              <w:t>ARRIVAL_PARTY</w:t>
            </w:r>
          </w:p>
        </w:tc>
        <w:tc>
          <w:tcPr>
            <w:tcW w:type="dxa" w:w="6984"/>
            <w:tcMar>
              <w:top w:w="80" w:type="dxa"/>
              <w:start w:w="120" w:type="dxa"/>
              <w:bottom w:w="80" w:type="dxa"/>
              <w:end w:w="120" w:type="dxa"/>
            </w:tcMar>
            <w:vAlign w:val="top"/>
          </w:tcPr>
          <w:p>
            <w:pPr>
              <w:spacing w:after="0"/>
            </w:pPr>
            <w:r>
              <w:rPr>
                <w:sz w:val="17"/>
              </w:rPr>
              <w:t>People expected to arrive together; may change operationally.</w:t>
            </w:r>
          </w:p>
        </w:tc>
      </w:tr>
      <w:tr>
        <w:trPr>
          <w:cantSplit/>
        </w:trPr>
        <w:tc>
          <w:tcPr>
            <w:tcW w:type="dxa" w:w="2376"/>
            <w:tcMar>
              <w:top w:w="80" w:type="dxa"/>
              <w:start w:w="120" w:type="dxa"/>
              <w:bottom w:w="80" w:type="dxa"/>
              <w:end w:w="120" w:type="dxa"/>
            </w:tcMar>
            <w:vAlign w:val="top"/>
          </w:tcPr>
          <w:p>
            <w:pPr>
              <w:spacing w:after="0"/>
            </w:pPr>
            <w:r>
              <w:rPr>
                <w:sz w:val="17"/>
              </w:rPr>
              <w:t>PROTOCOL_PARTY</w:t>
            </w:r>
          </w:p>
        </w:tc>
        <w:tc>
          <w:tcPr>
            <w:tcW w:type="dxa" w:w="6984"/>
            <w:tcMar>
              <w:top w:w="80" w:type="dxa"/>
              <w:start w:w="120" w:type="dxa"/>
              <w:bottom w:w="80" w:type="dxa"/>
              <w:end w:w="120" w:type="dxa"/>
            </w:tcMar>
            <w:vAlign w:val="top"/>
          </w:tcPr>
          <w:p>
            <w:pPr>
              <w:spacing w:after="0"/>
            </w:pPr>
            <w:r>
              <w:rPr>
                <w:sz w:val="17"/>
              </w:rPr>
              <w:t>Principal, aides and protocol representatives.</w:t>
            </w:r>
          </w:p>
        </w:tc>
      </w:tr>
      <w:tr>
        <w:trPr>
          <w:cantSplit/>
        </w:trPr>
        <w:tc>
          <w:tcPr>
            <w:tcW w:type="dxa" w:w="2376"/>
            <w:tcMar>
              <w:top w:w="80" w:type="dxa"/>
              <w:start w:w="120" w:type="dxa"/>
              <w:bottom w:w="80" w:type="dxa"/>
              <w:end w:w="120" w:type="dxa"/>
            </w:tcMar>
            <w:vAlign w:val="top"/>
          </w:tcPr>
          <w:p>
            <w:pPr>
              <w:spacing w:after="0"/>
            </w:pPr>
            <w:r>
              <w:rPr>
                <w:sz w:val="17"/>
              </w:rPr>
              <w:t>PROTECTION_PARTY</w:t>
            </w:r>
          </w:p>
        </w:tc>
        <w:tc>
          <w:tcPr>
            <w:tcW w:type="dxa" w:w="6984"/>
            <w:tcMar>
              <w:top w:w="80" w:type="dxa"/>
              <w:start w:w="120" w:type="dxa"/>
              <w:bottom w:w="80" w:type="dxa"/>
              <w:end w:w="120" w:type="dxa"/>
            </w:tcMar>
            <w:vAlign w:val="top"/>
          </w:tcPr>
          <w:p>
            <w:pPr>
              <w:spacing w:after="0"/>
            </w:pPr>
            <w:r>
              <w:rPr>
                <w:sz w:val="17"/>
              </w:rPr>
              <w:t>Principal and authorised security detail; restricted visibility.</w:t>
            </w:r>
          </w:p>
        </w:tc>
      </w:tr>
      <w:tr>
        <w:trPr>
          <w:cantSplit/>
        </w:trPr>
        <w:tc>
          <w:tcPr>
            <w:tcW w:type="dxa" w:w="2376"/>
            <w:tcMar>
              <w:top w:w="80" w:type="dxa"/>
              <w:start w:w="120" w:type="dxa"/>
              <w:bottom w:w="80" w:type="dxa"/>
              <w:end w:w="120" w:type="dxa"/>
            </w:tcMar>
            <w:vAlign w:val="top"/>
          </w:tcPr>
          <w:p>
            <w:pPr>
              <w:spacing w:after="0"/>
            </w:pPr>
            <w:r>
              <w:rPr>
                <w:sz w:val="17"/>
              </w:rPr>
              <w:t>CARE_PARTY</w:t>
            </w:r>
          </w:p>
        </w:tc>
        <w:tc>
          <w:tcPr>
            <w:tcW w:type="dxa" w:w="6984"/>
            <w:tcMar>
              <w:top w:w="80" w:type="dxa"/>
              <w:start w:w="120" w:type="dxa"/>
              <w:bottom w:w="80" w:type="dxa"/>
              <w:end w:w="120" w:type="dxa"/>
            </w:tcMar>
            <w:vAlign w:val="top"/>
          </w:tcPr>
          <w:p>
            <w:pPr>
              <w:spacing w:after="0"/>
            </w:pPr>
            <w:r>
              <w:rPr>
                <w:sz w:val="17"/>
              </w:rPr>
              <w:t>Guest and carer/accessibility companion.</w:t>
            </w:r>
          </w:p>
        </w:tc>
      </w:tr>
      <w:tr>
        <w:trPr>
          <w:cantSplit/>
        </w:trPr>
        <w:tc>
          <w:tcPr>
            <w:tcW w:type="dxa" w:w="2376"/>
            <w:tcMar>
              <w:top w:w="80" w:type="dxa"/>
              <w:start w:w="120" w:type="dxa"/>
              <w:bottom w:w="80" w:type="dxa"/>
              <w:end w:w="120" w:type="dxa"/>
            </w:tcMar>
            <w:vAlign w:val="top"/>
          </w:tcPr>
          <w:p>
            <w:pPr>
              <w:spacing w:after="0"/>
            </w:pPr>
            <w:r>
              <w:rPr>
                <w:sz w:val="17"/>
              </w:rPr>
              <w:t>FAMILY_UNIT</w:t>
            </w:r>
          </w:p>
        </w:tc>
        <w:tc>
          <w:tcPr>
            <w:tcW w:type="dxa" w:w="6984"/>
            <w:tcMar>
              <w:top w:w="80" w:type="dxa"/>
              <w:start w:w="120" w:type="dxa"/>
              <w:bottom w:w="80" w:type="dxa"/>
              <w:end w:w="120" w:type="dxa"/>
            </w:tcMar>
            <w:vAlign w:val="top"/>
          </w:tcPr>
          <w:p>
            <w:pPr>
              <w:spacing w:after="0"/>
            </w:pPr>
            <w:r>
              <w:rPr>
                <w:sz w:val="17"/>
              </w:rPr>
              <w:t>Parent/responsible adult and children.</w:t>
            </w:r>
          </w:p>
        </w:tc>
      </w:tr>
    </w:tbl>
    <w:p>
      <w:pPr>
        <w:spacing w:after="20"/>
      </w:pPr>
    </w:p>
    <w:p>
      <w:pPr>
        <w:pStyle w:val="Heading2"/>
      </w:pPr>
      <w:r>
        <w:t>7.2 Relationship types</w:t>
      </w:r>
    </w:p>
    <w:p>
      <w:r>
        <w:t>Supported relationships include SPOUSE_PARTNER, PARENT_CHILD, RESPONSIBLE_ADULT, CARER_FOR, COMPANION_OF, AIDE_TO, DRIVER_FOR, PROTECTION_FOR, PROTOCOL_FOR and OTHER_DECLARED. Direction, source and visibility are explicit. Relationship labels are never inferred from shared surname, contact details or address.</w:t>
      </w:r>
    </w:p>
    <w:p>
      <w:pPr>
        <w:pStyle w:val="Heading2"/>
      </w:pPr>
      <w:r>
        <w:t>7.3 Multiple memberships</w:t>
      </w:r>
    </w:p>
    <w:p>
      <w:r>
        <w:t>A guest may belong to several parties—for example, a household, an invitation party and an arrival party. Membership records carry their own lifecycle. Removing a person from an arrival party does not delete the guest or household relationship.</w:t>
      </w:r>
    </w:p>
    <w:p>
      <w:pPr>
        <w:pStyle w:val="Heading1"/>
      </w:pPr>
      <w:r>
        <w:t>8. Plus-one and companion entitlements</w:t>
      </w:r>
    </w:p>
    <w:p>
      <w:pPr>
        <w:pStyle w:val="Heading2"/>
      </w:pPr>
      <w:r>
        <w:t>8.1 Lifecycle</w:t>
      </w:r>
    </w:p>
    <w:p>
      <w:r>
        <w:t>AVAILABLE → NOMINATED → CONFIRMED, with DECLINED, WITHDRAWN, EXPIRED, REVOKED and EXCEPTION_REVIEW states. State transitions are reasoned, audited and constrained by EOS-S03 invitation authority.</w:t>
      </w:r>
    </w:p>
    <w:p>
      <w:pPr>
        <w:pStyle w:val="Heading2"/>
      </w:pPr>
      <w:r>
        <w:t>8.2 Rules</w:t>
      </w:r>
    </w:p>
    <w:p>
      <w:pPr>
        <w:pStyle w:val="ListBullet"/>
        <w:spacing w:after="80"/>
      </w:pPr>
      <w:r>
        <w:t>An unnamed allowance has entitlementId but no guestId.</w:t>
      </w:r>
    </w:p>
    <w:p>
      <w:pPr>
        <w:pStyle w:val="ListBullet"/>
        <w:spacing w:after="80"/>
      </w:pPr>
      <w:r>
        <w:t>Nomination creates or resolves a real guest only after minimum identity is supplied.</w:t>
      </w:r>
    </w:p>
    <w:p>
      <w:pPr>
        <w:pStyle w:val="ListBullet"/>
        <w:spacing w:after="80"/>
      </w:pPr>
      <w:r>
        <w:t>One entitlement cannot silently create multiple guests.</w:t>
      </w:r>
    </w:p>
    <w:p>
      <w:pPr>
        <w:pStyle w:val="ListBullet"/>
        <w:spacing w:after="80"/>
      </w:pPr>
      <w:r>
        <w:t>Replacement preserves the original nomination history.</w:t>
      </w:r>
    </w:p>
    <w:p>
      <w:pPr>
        <w:pStyle w:val="ListBullet"/>
        <w:spacing w:after="80"/>
      </w:pPr>
      <w:r>
        <w:t>A companion’s RSVP remains independent from the principal’s response.</w:t>
      </w:r>
    </w:p>
    <w:p>
      <w:pPr>
        <w:pStyle w:val="ListBullet"/>
        <w:spacing w:after="80"/>
      </w:pPr>
      <w:r>
        <w:t>Attendance without the principal is governed by the invitation policy, not assumed.</w:t>
      </w:r>
    </w:p>
    <w:p>
      <w:pPr>
        <w:pStyle w:val="ListBullet"/>
        <w:spacing w:after="80"/>
      </w:pPr>
      <w:r>
        <w:t>Entitlement count cannot be increased by Communications, imports or party editing.</w:t>
      </w:r>
    </w:p>
    <w:p>
      <w:pPr>
        <w:pStyle w:val="ListBullet"/>
        <w:spacing w:after="80"/>
      </w:pPr>
      <w:r>
        <w:t>A carer may be policy-exempt from social plus-one limits but still requires explicit authority and identity.</w:t>
      </w:r>
    </w:p>
    <w:p>
      <w:pPr>
        <w:pStyle w:val="Heading1"/>
      </w:pPr>
      <w:r>
        <w:t>9. Roles and permissions</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3096"/>
            <w:shd w:fill="E8EEF5"/>
            <w:tcMar>
              <w:top w:w="80" w:type="dxa"/>
              <w:start w:w="120" w:type="dxa"/>
              <w:bottom w:w="80" w:type="dxa"/>
              <w:end w:w="120" w:type="dxa"/>
            </w:tcMar>
            <w:vAlign w:val="center"/>
          </w:tcPr>
          <w:p>
            <w:r>
              <w:rPr>
                <w:b/>
                <w:color w:val="0B2545"/>
                <w:sz w:val="18"/>
              </w:rPr>
              <w:t>Permission</w:t>
            </w:r>
          </w:p>
        </w:tc>
        <w:tc>
          <w:tcPr>
            <w:tcW w:type="dxa" w:w="6264"/>
            <w:shd w:fill="E8EEF5"/>
            <w:tcMar>
              <w:top w:w="80" w:type="dxa"/>
              <w:start w:w="120" w:type="dxa"/>
              <w:bottom w:w="80" w:type="dxa"/>
              <w:end w:w="120" w:type="dxa"/>
            </w:tcMar>
            <w:vAlign w:val="center"/>
          </w:tcPr>
          <w:p>
            <w:r>
              <w:rPr>
                <w:b/>
                <w:color w:val="0B2545"/>
                <w:sz w:val="18"/>
              </w:rPr>
              <w:t>Purpose</w:t>
            </w:r>
          </w:p>
        </w:tc>
      </w:tr>
      <w:tr>
        <w:trPr>
          <w:cantSplit/>
        </w:trPr>
        <w:tc>
          <w:tcPr>
            <w:tcW w:type="dxa" w:w="3096"/>
            <w:tcMar>
              <w:top w:w="80" w:type="dxa"/>
              <w:start w:w="120" w:type="dxa"/>
              <w:bottom w:w="80" w:type="dxa"/>
              <w:end w:w="120" w:type="dxa"/>
            </w:tcMar>
            <w:vAlign w:val="top"/>
          </w:tcPr>
          <w:p>
            <w:pPr>
              <w:spacing w:after="0"/>
            </w:pPr>
            <w:r>
              <w:rPr>
                <w:sz w:val="17"/>
              </w:rPr>
              <w:t>guest.addressing.view</w:t>
            </w:r>
          </w:p>
        </w:tc>
        <w:tc>
          <w:tcPr>
            <w:tcW w:type="dxa" w:w="6264"/>
            <w:tcMar>
              <w:top w:w="80" w:type="dxa"/>
              <w:start w:w="120" w:type="dxa"/>
              <w:bottom w:w="80" w:type="dxa"/>
              <w:end w:w="120" w:type="dxa"/>
            </w:tcMar>
            <w:vAlign w:val="top"/>
          </w:tcPr>
          <w:p>
            <w:pPr>
              <w:spacing w:after="0"/>
            </w:pPr>
            <w:r>
              <w:rPr>
                <w:sz w:val="17"/>
              </w:rPr>
              <w:t>View permitted titles and salutations.</w:t>
            </w:r>
          </w:p>
        </w:tc>
      </w:tr>
      <w:tr>
        <w:trPr>
          <w:cantSplit/>
        </w:trPr>
        <w:tc>
          <w:tcPr>
            <w:tcW w:type="dxa" w:w="3096"/>
            <w:tcMar>
              <w:top w:w="80" w:type="dxa"/>
              <w:start w:w="120" w:type="dxa"/>
              <w:bottom w:w="80" w:type="dxa"/>
              <w:end w:w="120" w:type="dxa"/>
            </w:tcMar>
            <w:vAlign w:val="top"/>
          </w:tcPr>
          <w:p>
            <w:pPr>
              <w:spacing w:after="0"/>
            </w:pPr>
            <w:r>
              <w:rPr>
                <w:sz w:val="17"/>
              </w:rPr>
              <w:t>guest.addressing.manage</w:t>
            </w:r>
          </w:p>
        </w:tc>
        <w:tc>
          <w:tcPr>
            <w:tcW w:type="dxa" w:w="6264"/>
            <w:tcMar>
              <w:top w:w="80" w:type="dxa"/>
              <w:start w:w="120" w:type="dxa"/>
              <w:bottom w:w="80" w:type="dxa"/>
              <w:end w:w="120" w:type="dxa"/>
            </w:tcMar>
            <w:vAlign w:val="top"/>
          </w:tcPr>
          <w:p>
            <w:pPr>
              <w:spacing w:after="0"/>
            </w:pPr>
            <w:r>
              <w:rPr>
                <w:sz w:val="17"/>
              </w:rPr>
              <w:t>Create/amend ordinary addressing fields.</w:t>
            </w:r>
          </w:p>
        </w:tc>
      </w:tr>
      <w:tr>
        <w:trPr>
          <w:cantSplit/>
        </w:trPr>
        <w:tc>
          <w:tcPr>
            <w:tcW w:type="dxa" w:w="3096"/>
            <w:tcMar>
              <w:top w:w="80" w:type="dxa"/>
              <w:start w:w="120" w:type="dxa"/>
              <w:bottom w:w="80" w:type="dxa"/>
              <w:end w:w="120" w:type="dxa"/>
            </w:tcMar>
            <w:vAlign w:val="top"/>
          </w:tcPr>
          <w:p>
            <w:pPr>
              <w:spacing w:after="0"/>
            </w:pPr>
            <w:r>
              <w:rPr>
                <w:sz w:val="17"/>
              </w:rPr>
              <w:t>guest.addressing.confirm</w:t>
            </w:r>
          </w:p>
        </w:tc>
        <w:tc>
          <w:tcPr>
            <w:tcW w:type="dxa" w:w="6264"/>
            <w:tcMar>
              <w:top w:w="80" w:type="dxa"/>
              <w:start w:w="120" w:type="dxa"/>
              <w:bottom w:w="80" w:type="dxa"/>
              <w:end w:w="120" w:type="dxa"/>
            </w:tcMar>
            <w:vAlign w:val="top"/>
          </w:tcPr>
          <w:p>
            <w:pPr>
              <w:spacing w:after="0"/>
            </w:pPr>
            <w:r>
              <w:rPr>
                <w:sz w:val="17"/>
              </w:rPr>
              <w:t>Confirm host/protocol-sensitive addressing.</w:t>
            </w:r>
          </w:p>
        </w:tc>
      </w:tr>
      <w:tr>
        <w:trPr>
          <w:cantSplit/>
        </w:trPr>
        <w:tc>
          <w:tcPr>
            <w:tcW w:type="dxa" w:w="3096"/>
            <w:tcMar>
              <w:top w:w="80" w:type="dxa"/>
              <w:start w:w="120" w:type="dxa"/>
              <w:bottom w:w="80" w:type="dxa"/>
              <w:end w:w="120" w:type="dxa"/>
            </w:tcMar>
            <w:vAlign w:val="top"/>
          </w:tcPr>
          <w:p>
            <w:pPr>
              <w:spacing w:after="0"/>
            </w:pPr>
            <w:r>
              <w:rPr>
                <w:sz w:val="17"/>
              </w:rPr>
              <w:t>guest.relationship.view</w:t>
            </w:r>
          </w:p>
        </w:tc>
        <w:tc>
          <w:tcPr>
            <w:tcW w:type="dxa" w:w="6264"/>
            <w:tcMar>
              <w:top w:w="80" w:type="dxa"/>
              <w:start w:w="120" w:type="dxa"/>
              <w:bottom w:w="80" w:type="dxa"/>
              <w:end w:w="120" w:type="dxa"/>
            </w:tcMar>
            <w:vAlign w:val="top"/>
          </w:tcPr>
          <w:p>
            <w:pPr>
              <w:spacing w:after="0"/>
            </w:pPr>
            <w:r>
              <w:rPr>
                <w:sz w:val="17"/>
              </w:rPr>
              <w:t>View permitted relationships and parties.</w:t>
            </w:r>
          </w:p>
        </w:tc>
      </w:tr>
      <w:tr>
        <w:trPr>
          <w:cantSplit/>
        </w:trPr>
        <w:tc>
          <w:tcPr>
            <w:tcW w:type="dxa" w:w="3096"/>
            <w:tcMar>
              <w:top w:w="80" w:type="dxa"/>
              <w:start w:w="120" w:type="dxa"/>
              <w:bottom w:w="80" w:type="dxa"/>
              <w:end w:w="120" w:type="dxa"/>
            </w:tcMar>
            <w:vAlign w:val="top"/>
          </w:tcPr>
          <w:p>
            <w:pPr>
              <w:spacing w:after="0"/>
            </w:pPr>
            <w:r>
              <w:rPr>
                <w:sz w:val="17"/>
              </w:rPr>
              <w:t>guest.relationship.manage</w:t>
            </w:r>
          </w:p>
        </w:tc>
        <w:tc>
          <w:tcPr>
            <w:tcW w:type="dxa" w:w="6264"/>
            <w:tcMar>
              <w:top w:w="80" w:type="dxa"/>
              <w:start w:w="120" w:type="dxa"/>
              <w:bottom w:w="80" w:type="dxa"/>
              <w:end w:w="120" w:type="dxa"/>
            </w:tcMar>
            <w:vAlign w:val="top"/>
          </w:tcPr>
          <w:p>
            <w:pPr>
              <w:spacing w:after="0"/>
            </w:pPr>
            <w:r>
              <w:rPr>
                <w:sz w:val="17"/>
              </w:rPr>
              <w:t>Create/amend relationships and membership.</w:t>
            </w:r>
          </w:p>
        </w:tc>
      </w:tr>
      <w:tr>
        <w:trPr>
          <w:cantSplit/>
        </w:trPr>
        <w:tc>
          <w:tcPr>
            <w:tcW w:type="dxa" w:w="3096"/>
            <w:tcMar>
              <w:top w:w="80" w:type="dxa"/>
              <w:start w:w="120" w:type="dxa"/>
              <w:bottom w:w="80" w:type="dxa"/>
              <w:end w:w="120" w:type="dxa"/>
            </w:tcMar>
            <w:vAlign w:val="top"/>
          </w:tcPr>
          <w:p>
            <w:pPr>
              <w:spacing w:after="0"/>
            </w:pPr>
            <w:r>
              <w:rPr>
                <w:sz w:val="17"/>
              </w:rPr>
              <w:t>guest.entitlement.view</w:t>
            </w:r>
          </w:p>
        </w:tc>
        <w:tc>
          <w:tcPr>
            <w:tcW w:type="dxa" w:w="6264"/>
            <w:tcMar>
              <w:top w:w="80" w:type="dxa"/>
              <w:start w:w="120" w:type="dxa"/>
              <w:bottom w:w="80" w:type="dxa"/>
              <w:end w:w="120" w:type="dxa"/>
            </w:tcMar>
            <w:vAlign w:val="top"/>
          </w:tcPr>
          <w:p>
            <w:pPr>
              <w:spacing w:after="0"/>
            </w:pPr>
            <w:r>
              <w:rPr>
                <w:sz w:val="17"/>
              </w:rPr>
              <w:t>View companion allowances and nominations.</w:t>
            </w:r>
          </w:p>
        </w:tc>
      </w:tr>
      <w:tr>
        <w:trPr>
          <w:cantSplit/>
        </w:trPr>
        <w:tc>
          <w:tcPr>
            <w:tcW w:type="dxa" w:w="3096"/>
            <w:tcMar>
              <w:top w:w="80" w:type="dxa"/>
              <w:start w:w="120" w:type="dxa"/>
              <w:bottom w:w="80" w:type="dxa"/>
              <w:end w:w="120" w:type="dxa"/>
            </w:tcMar>
            <w:vAlign w:val="top"/>
          </w:tcPr>
          <w:p>
            <w:pPr>
              <w:spacing w:after="0"/>
            </w:pPr>
            <w:r>
              <w:rPr>
                <w:sz w:val="17"/>
              </w:rPr>
              <w:t>guest.entitlement.manage</w:t>
            </w:r>
          </w:p>
        </w:tc>
        <w:tc>
          <w:tcPr>
            <w:tcW w:type="dxa" w:w="6264"/>
            <w:tcMar>
              <w:top w:w="80" w:type="dxa"/>
              <w:start w:w="120" w:type="dxa"/>
              <w:bottom w:w="80" w:type="dxa"/>
              <w:end w:w="120" w:type="dxa"/>
            </w:tcMar>
            <w:vAlign w:val="top"/>
          </w:tcPr>
          <w:p>
            <w:pPr>
              <w:spacing w:after="0"/>
            </w:pPr>
            <w:r>
              <w:rPr>
                <w:sz w:val="17"/>
              </w:rPr>
              <w:t>Administer within existing invitation authority.</w:t>
            </w:r>
          </w:p>
        </w:tc>
      </w:tr>
      <w:tr>
        <w:trPr>
          <w:cantSplit/>
        </w:trPr>
        <w:tc>
          <w:tcPr>
            <w:tcW w:type="dxa" w:w="3096"/>
            <w:tcMar>
              <w:top w:w="80" w:type="dxa"/>
              <w:start w:w="120" w:type="dxa"/>
              <w:bottom w:w="80" w:type="dxa"/>
              <w:end w:w="120" w:type="dxa"/>
            </w:tcMar>
            <w:vAlign w:val="top"/>
          </w:tcPr>
          <w:p>
            <w:pPr>
              <w:spacing w:after="0"/>
            </w:pPr>
            <w:r>
              <w:rPr>
                <w:sz w:val="17"/>
              </w:rPr>
              <w:t>guest.entitlement.exception.review</w:t>
            </w:r>
          </w:p>
        </w:tc>
        <w:tc>
          <w:tcPr>
            <w:tcW w:type="dxa" w:w="6264"/>
            <w:tcMar>
              <w:top w:w="80" w:type="dxa"/>
              <w:start w:w="120" w:type="dxa"/>
              <w:bottom w:w="80" w:type="dxa"/>
              <w:end w:w="120" w:type="dxa"/>
            </w:tcMar>
            <w:vAlign w:val="top"/>
          </w:tcPr>
          <w:p>
            <w:pPr>
              <w:spacing w:after="0"/>
            </w:pPr>
            <w:r>
              <w:rPr>
                <w:sz w:val="17"/>
              </w:rPr>
              <w:t>Review exceeded, replaced, late or disputed nominations.</w:t>
            </w:r>
          </w:p>
        </w:tc>
      </w:tr>
      <w:tr>
        <w:trPr>
          <w:cantSplit/>
        </w:trPr>
        <w:tc>
          <w:tcPr>
            <w:tcW w:type="dxa" w:w="3096"/>
            <w:tcMar>
              <w:top w:w="80" w:type="dxa"/>
              <w:start w:w="120" w:type="dxa"/>
              <w:bottom w:w="80" w:type="dxa"/>
              <w:end w:w="120" w:type="dxa"/>
            </w:tcMar>
            <w:vAlign w:val="top"/>
          </w:tcPr>
          <w:p>
            <w:pPr>
              <w:spacing w:after="0"/>
            </w:pPr>
            <w:r>
              <w:rPr>
                <w:sz w:val="17"/>
              </w:rPr>
              <w:t>guest.child.view</w:t>
            </w:r>
          </w:p>
        </w:tc>
        <w:tc>
          <w:tcPr>
            <w:tcW w:type="dxa" w:w="6264"/>
            <w:tcMar>
              <w:top w:w="80" w:type="dxa"/>
              <w:start w:w="120" w:type="dxa"/>
              <w:bottom w:w="80" w:type="dxa"/>
              <w:end w:w="120" w:type="dxa"/>
            </w:tcMar>
            <w:vAlign w:val="top"/>
          </w:tcPr>
          <w:p>
            <w:pPr>
              <w:spacing w:after="0"/>
            </w:pPr>
            <w:r>
              <w:rPr>
                <w:sz w:val="17"/>
              </w:rPr>
              <w:t>View minimum child operational data.</w:t>
            </w:r>
          </w:p>
        </w:tc>
      </w:tr>
      <w:tr>
        <w:trPr>
          <w:cantSplit/>
        </w:trPr>
        <w:tc>
          <w:tcPr>
            <w:tcW w:type="dxa" w:w="3096"/>
            <w:tcMar>
              <w:top w:w="80" w:type="dxa"/>
              <w:start w:w="120" w:type="dxa"/>
              <w:bottom w:w="80" w:type="dxa"/>
              <w:end w:w="120" w:type="dxa"/>
            </w:tcMar>
            <w:vAlign w:val="top"/>
          </w:tcPr>
          <w:p>
            <w:pPr>
              <w:spacing w:after="0"/>
            </w:pPr>
            <w:r>
              <w:rPr>
                <w:sz w:val="17"/>
              </w:rPr>
              <w:t>guest.child.manage</w:t>
            </w:r>
          </w:p>
        </w:tc>
        <w:tc>
          <w:tcPr>
            <w:tcW w:type="dxa" w:w="6264"/>
            <w:tcMar>
              <w:top w:w="80" w:type="dxa"/>
              <w:start w:w="120" w:type="dxa"/>
              <w:bottom w:w="80" w:type="dxa"/>
              <w:end w:w="120" w:type="dxa"/>
            </w:tcMar>
            <w:vAlign w:val="top"/>
          </w:tcPr>
          <w:p>
            <w:pPr>
              <w:spacing w:after="0"/>
            </w:pPr>
            <w:r>
              <w:rPr>
                <w:sz w:val="17"/>
              </w:rPr>
              <w:t>Manage age band and responsible-adult link.</w:t>
            </w:r>
          </w:p>
        </w:tc>
      </w:tr>
      <w:tr>
        <w:trPr>
          <w:cantSplit/>
        </w:trPr>
        <w:tc>
          <w:tcPr>
            <w:tcW w:type="dxa" w:w="3096"/>
            <w:tcMar>
              <w:top w:w="80" w:type="dxa"/>
              <w:start w:w="120" w:type="dxa"/>
              <w:bottom w:w="80" w:type="dxa"/>
              <w:end w:w="120" w:type="dxa"/>
            </w:tcMar>
            <w:vAlign w:val="top"/>
          </w:tcPr>
          <w:p>
            <w:pPr>
              <w:spacing w:after="0"/>
            </w:pPr>
            <w:r>
              <w:rPr>
                <w:sz w:val="17"/>
              </w:rPr>
              <w:t>guest.protocolNote.view</w:t>
            </w:r>
          </w:p>
        </w:tc>
        <w:tc>
          <w:tcPr>
            <w:tcW w:type="dxa" w:w="6264"/>
            <w:tcMar>
              <w:top w:w="80" w:type="dxa"/>
              <w:start w:w="120" w:type="dxa"/>
              <w:bottom w:w="80" w:type="dxa"/>
              <w:end w:w="120" w:type="dxa"/>
            </w:tcMar>
            <w:vAlign w:val="top"/>
          </w:tcPr>
          <w:p>
            <w:pPr>
              <w:spacing w:after="0"/>
            </w:pPr>
            <w:r>
              <w:rPr>
                <w:sz w:val="17"/>
              </w:rPr>
              <w:t>View restricted pronunciation/protocol information.</w:t>
            </w:r>
          </w:p>
        </w:tc>
      </w:tr>
    </w:tbl>
    <w:p>
      <w:pPr>
        <w:spacing w:after="20"/>
      </w:pPr>
    </w:p>
    <w:p>
      <w:pPr>
        <w:pStyle w:val="Heading2"/>
      </w:pPr>
      <w:r>
        <w:t>9.1 Role intent</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232"/>
            <w:shd w:fill="E8EEF5"/>
            <w:tcMar>
              <w:top w:w="80" w:type="dxa"/>
              <w:start w:w="120" w:type="dxa"/>
              <w:bottom w:w="80" w:type="dxa"/>
              <w:end w:w="120" w:type="dxa"/>
            </w:tcMar>
            <w:vAlign w:val="center"/>
          </w:tcPr>
          <w:p>
            <w:r>
              <w:rPr>
                <w:b/>
                <w:color w:val="0B2545"/>
                <w:sz w:val="18"/>
              </w:rPr>
              <w:t>Role</w:t>
            </w:r>
          </w:p>
        </w:tc>
        <w:tc>
          <w:tcPr>
            <w:tcW w:type="dxa" w:w="7128"/>
            <w:shd w:fill="E8EEF5"/>
            <w:tcMar>
              <w:top w:w="80" w:type="dxa"/>
              <w:start w:w="120" w:type="dxa"/>
              <w:bottom w:w="80" w:type="dxa"/>
              <w:end w:w="120" w:type="dxa"/>
            </w:tcMar>
            <w:vAlign w:val="center"/>
          </w:tcPr>
          <w:p>
            <w:r>
              <w:rPr>
                <w:b/>
                <w:color w:val="0B2545"/>
                <w:sz w:val="18"/>
              </w:rPr>
              <w:t>Default intent</w:t>
            </w:r>
          </w:p>
        </w:tc>
      </w:tr>
      <w:tr>
        <w:trPr>
          <w:cantSplit/>
        </w:trPr>
        <w:tc>
          <w:tcPr>
            <w:tcW w:type="dxa" w:w="2232"/>
            <w:tcMar>
              <w:top w:w="80" w:type="dxa"/>
              <w:start w:w="120" w:type="dxa"/>
              <w:bottom w:w="80" w:type="dxa"/>
              <w:end w:w="120" w:type="dxa"/>
            </w:tcMar>
            <w:vAlign w:val="top"/>
          </w:tcPr>
          <w:p>
            <w:pPr>
              <w:spacing w:after="0"/>
            </w:pPr>
            <w:r>
              <w:rPr>
                <w:sz w:val="17"/>
              </w:rPr>
              <w:t>CEO</w:t>
            </w:r>
          </w:p>
        </w:tc>
        <w:tc>
          <w:tcPr>
            <w:tcW w:type="dxa" w:w="7128"/>
            <w:tcMar>
              <w:top w:w="80" w:type="dxa"/>
              <w:start w:w="120" w:type="dxa"/>
              <w:bottom w:w="80" w:type="dxa"/>
              <w:end w:w="120" w:type="dxa"/>
            </w:tcMar>
            <w:vAlign w:val="top"/>
          </w:tcPr>
          <w:p>
            <w:pPr>
              <w:spacing w:after="0"/>
            </w:pPr>
            <w:r>
              <w:rPr>
                <w:sz w:val="17"/>
              </w:rPr>
              <w:t>Broad governance and exception review; maker/checker still applies where configured.</w:t>
            </w:r>
          </w:p>
        </w:tc>
      </w:tr>
      <w:tr>
        <w:trPr>
          <w:cantSplit/>
        </w:trPr>
        <w:tc>
          <w:tcPr>
            <w:tcW w:type="dxa" w:w="2232"/>
            <w:tcMar>
              <w:top w:w="80" w:type="dxa"/>
              <w:start w:w="120" w:type="dxa"/>
              <w:bottom w:w="80" w:type="dxa"/>
              <w:end w:w="120" w:type="dxa"/>
            </w:tcMar>
            <w:vAlign w:val="top"/>
          </w:tcPr>
          <w:p>
            <w:pPr>
              <w:spacing w:after="0"/>
            </w:pPr>
            <w:r>
              <w:rPr>
                <w:sz w:val="17"/>
              </w:rPr>
              <w:t>Event Director</w:t>
            </w:r>
          </w:p>
        </w:tc>
        <w:tc>
          <w:tcPr>
            <w:tcW w:type="dxa" w:w="7128"/>
            <w:tcMar>
              <w:top w:w="80" w:type="dxa"/>
              <w:start w:w="120" w:type="dxa"/>
              <w:bottom w:w="80" w:type="dxa"/>
              <w:end w:w="120" w:type="dxa"/>
            </w:tcMar>
            <w:vAlign w:val="top"/>
          </w:tcPr>
          <w:p>
            <w:pPr>
              <w:spacing w:after="0"/>
            </w:pPr>
            <w:r>
              <w:rPr>
                <w:sz w:val="17"/>
              </w:rPr>
              <w:t>Event-scoped operational management and protocol confirmation.</w:t>
            </w:r>
          </w:p>
        </w:tc>
      </w:tr>
      <w:tr>
        <w:trPr>
          <w:cantSplit/>
        </w:trPr>
        <w:tc>
          <w:tcPr>
            <w:tcW w:type="dxa" w:w="2232"/>
            <w:tcMar>
              <w:top w:w="80" w:type="dxa"/>
              <w:start w:w="120" w:type="dxa"/>
              <w:bottom w:w="80" w:type="dxa"/>
              <w:end w:w="120" w:type="dxa"/>
            </w:tcMar>
            <w:vAlign w:val="top"/>
          </w:tcPr>
          <w:p>
            <w:pPr>
              <w:spacing w:after="0"/>
            </w:pPr>
            <w:r>
              <w:rPr>
                <w:sz w:val="17"/>
              </w:rPr>
              <w:t>Planner</w:t>
            </w:r>
          </w:p>
        </w:tc>
        <w:tc>
          <w:tcPr>
            <w:tcW w:type="dxa" w:w="7128"/>
            <w:tcMar>
              <w:top w:w="80" w:type="dxa"/>
              <w:start w:w="120" w:type="dxa"/>
              <w:bottom w:w="80" w:type="dxa"/>
              <w:end w:w="120" w:type="dxa"/>
            </w:tcMar>
            <w:vAlign w:val="top"/>
          </w:tcPr>
          <w:p>
            <w:pPr>
              <w:spacing w:after="0"/>
            </w:pPr>
            <w:r>
              <w:rPr>
                <w:sz w:val="17"/>
              </w:rPr>
              <w:t>Routine guest/party capture; no unilateral entitlement expansion.</w:t>
            </w:r>
          </w:p>
        </w:tc>
      </w:tr>
      <w:tr>
        <w:trPr>
          <w:cantSplit/>
        </w:trPr>
        <w:tc>
          <w:tcPr>
            <w:tcW w:type="dxa" w:w="2232"/>
            <w:tcMar>
              <w:top w:w="80" w:type="dxa"/>
              <w:start w:w="120" w:type="dxa"/>
              <w:bottom w:w="80" w:type="dxa"/>
              <w:end w:w="120" w:type="dxa"/>
            </w:tcMar>
            <w:vAlign w:val="top"/>
          </w:tcPr>
          <w:p>
            <w:pPr>
              <w:spacing w:after="0"/>
            </w:pPr>
            <w:r>
              <w:rPr>
                <w:sz w:val="17"/>
              </w:rPr>
              <w:t>Guest Concierge</w:t>
            </w:r>
          </w:p>
        </w:tc>
        <w:tc>
          <w:tcPr>
            <w:tcW w:type="dxa" w:w="7128"/>
            <w:tcMar>
              <w:top w:w="80" w:type="dxa"/>
              <w:start w:w="120" w:type="dxa"/>
              <w:bottom w:w="80" w:type="dxa"/>
              <w:end w:w="120" w:type="dxa"/>
            </w:tcMar>
            <w:vAlign w:val="top"/>
          </w:tcPr>
          <w:p>
            <w:pPr>
              <w:spacing w:after="0"/>
            </w:pPr>
            <w:r>
              <w:rPr>
                <w:sz w:val="17"/>
              </w:rPr>
              <w:t>Addressing/relationship capture within assignment; restricted protocol visibility.</w:t>
            </w:r>
          </w:p>
        </w:tc>
      </w:tr>
      <w:tr>
        <w:trPr>
          <w:cantSplit/>
        </w:trPr>
        <w:tc>
          <w:tcPr>
            <w:tcW w:type="dxa" w:w="2232"/>
            <w:tcMar>
              <w:top w:w="80" w:type="dxa"/>
              <w:start w:w="120" w:type="dxa"/>
              <w:bottom w:w="80" w:type="dxa"/>
              <w:end w:w="120" w:type="dxa"/>
            </w:tcMar>
            <w:vAlign w:val="top"/>
          </w:tcPr>
          <w:p>
            <w:pPr>
              <w:spacing w:after="0"/>
            </w:pPr>
            <w:r>
              <w:rPr>
                <w:sz w:val="17"/>
              </w:rPr>
              <w:t>Gate/Security</w:t>
            </w:r>
          </w:p>
        </w:tc>
        <w:tc>
          <w:tcPr>
            <w:tcW w:type="dxa" w:w="7128"/>
            <w:tcMar>
              <w:top w:w="80" w:type="dxa"/>
              <w:start w:w="120" w:type="dxa"/>
              <w:bottom w:w="80" w:type="dxa"/>
              <w:end w:w="120" w:type="dxa"/>
            </w:tcMar>
            <w:vAlign w:val="top"/>
          </w:tcPr>
          <w:p>
            <w:pPr>
              <w:spacing w:after="0"/>
            </w:pPr>
            <w:r>
              <w:rPr>
                <w:sz w:val="17"/>
              </w:rPr>
              <w:t>No S04A mutation rights; future projections only.</w:t>
            </w:r>
          </w:p>
        </w:tc>
      </w:tr>
      <w:tr>
        <w:trPr>
          <w:cantSplit/>
        </w:trPr>
        <w:tc>
          <w:tcPr>
            <w:tcW w:type="dxa" w:w="2232"/>
            <w:tcMar>
              <w:top w:w="80" w:type="dxa"/>
              <w:start w:w="120" w:type="dxa"/>
              <w:bottom w:w="80" w:type="dxa"/>
              <w:end w:w="120" w:type="dxa"/>
            </w:tcMar>
            <w:vAlign w:val="top"/>
          </w:tcPr>
          <w:p>
            <w:pPr>
              <w:spacing w:after="0"/>
            </w:pPr>
            <w:r>
              <w:rPr>
                <w:sz w:val="17"/>
              </w:rPr>
              <w:t>Read-only Auditor</w:t>
            </w:r>
          </w:p>
        </w:tc>
        <w:tc>
          <w:tcPr>
            <w:tcW w:type="dxa" w:w="7128"/>
            <w:tcMar>
              <w:top w:w="80" w:type="dxa"/>
              <w:start w:w="120" w:type="dxa"/>
              <w:bottom w:w="80" w:type="dxa"/>
              <w:end w:w="120" w:type="dxa"/>
            </w:tcMar>
            <w:vAlign w:val="top"/>
          </w:tcPr>
          <w:p>
            <w:pPr>
              <w:spacing w:after="0"/>
            </w:pPr>
            <w:r>
              <w:rPr>
                <w:sz w:val="17"/>
              </w:rPr>
              <w:t>Read authorised audit/projections; no mutation.</w:t>
            </w:r>
          </w:p>
        </w:tc>
      </w:tr>
      <w:tr>
        <w:trPr>
          <w:cantSplit/>
        </w:trPr>
        <w:tc>
          <w:tcPr>
            <w:tcW w:type="dxa" w:w="2232"/>
            <w:tcMar>
              <w:top w:w="80" w:type="dxa"/>
              <w:start w:w="120" w:type="dxa"/>
              <w:bottom w:w="80" w:type="dxa"/>
              <w:end w:w="120" w:type="dxa"/>
            </w:tcMar>
            <w:vAlign w:val="top"/>
          </w:tcPr>
          <w:p>
            <w:pPr>
              <w:spacing w:after="0"/>
            </w:pPr>
            <w:r>
              <w:rPr>
                <w:sz w:val="17"/>
              </w:rPr>
              <w:t>System Administrator</w:t>
            </w:r>
          </w:p>
        </w:tc>
        <w:tc>
          <w:tcPr>
            <w:tcW w:type="dxa" w:w="7128"/>
            <w:tcMar>
              <w:top w:w="80" w:type="dxa"/>
              <w:start w:w="120" w:type="dxa"/>
              <w:bottom w:w="80" w:type="dxa"/>
              <w:end w:w="120" w:type="dxa"/>
            </w:tcMar>
            <w:vAlign w:val="top"/>
          </w:tcPr>
          <w:p>
            <w:pPr>
              <w:spacing w:after="0"/>
            </w:pPr>
            <w:r>
              <w:rPr>
                <w:sz w:val="17"/>
              </w:rPr>
              <w:t>Technical administration only; no business authority by default.</w:t>
            </w:r>
          </w:p>
        </w:tc>
      </w:tr>
    </w:tbl>
    <w:p>
      <w:pPr>
        <w:spacing w:after="20"/>
      </w:pPr>
    </w:p>
    <w:p>
      <w:pPr>
        <w:pStyle w:val="Heading1"/>
      </w:pPr>
      <w:r>
        <w:t>10. User experience</w:t>
      </w:r>
    </w:p>
    <w:p>
      <w:pPr>
        <w:pStyle w:val="Heading3"/>
      </w:pPr>
      <w:r>
        <w:t>Guest intake</w:t>
      </w:r>
    </w:p>
    <w:p>
      <w:pPr>
        <w:pStyle w:val="ListBullet"/>
        <w:spacing w:after="80"/>
      </w:pPr>
      <w:r>
        <w:t>Separate title and name inputs; no required title.</w:t>
      </w:r>
    </w:p>
    <w:p>
      <w:pPr>
        <w:pStyle w:val="ListBullet"/>
        <w:spacing w:after="80"/>
      </w:pPr>
      <w:r>
        <w:t>Guest type and age-band controls shown only when relevant.</w:t>
      </w:r>
    </w:p>
    <w:p>
      <w:pPr>
        <w:pStyle w:val="ListBullet"/>
        <w:spacing w:after="80"/>
      </w:pPr>
      <w:r>
        <w:t>Add to party or create party without duplicating the guest.</w:t>
      </w:r>
    </w:p>
    <w:p>
      <w:pPr>
        <w:pStyle w:val="ListBullet"/>
        <w:spacing w:after="80"/>
      </w:pPr>
      <w:r>
        <w:t>Unnamed allowance remains an entitlement, not a placeholder guest.</w:t>
      </w:r>
    </w:p>
    <w:p>
      <w:pPr>
        <w:pStyle w:val="Heading3"/>
      </w:pPr>
      <w:r>
        <w:t>Guest profile</w:t>
      </w:r>
    </w:p>
    <w:p>
      <w:pPr>
        <w:pStyle w:val="ListBullet"/>
        <w:spacing w:after="80"/>
      </w:pPr>
      <w:r>
        <w:t>Formal addressing card with source/status.</w:t>
      </w:r>
    </w:p>
    <w:p>
      <w:pPr>
        <w:pStyle w:val="ListBullet"/>
        <w:spacing w:after="80"/>
      </w:pPr>
      <w:r>
        <w:t>Relationships and party memberships.</w:t>
      </w:r>
    </w:p>
    <w:p>
      <w:pPr>
        <w:pStyle w:val="ListBullet"/>
        <w:spacing w:after="80"/>
      </w:pPr>
      <w:r>
        <w:t>Entitlement and nomination history.</w:t>
      </w:r>
    </w:p>
    <w:p>
      <w:pPr>
        <w:pStyle w:val="ListBullet"/>
        <w:spacing w:after="80"/>
      </w:pPr>
      <w:r>
        <w:t>Responsible-adult section for children.</w:t>
      </w:r>
    </w:p>
    <w:p>
      <w:pPr>
        <w:pStyle w:val="ListBullet"/>
        <w:spacing w:after="80"/>
      </w:pPr>
      <w:r>
        <w:t>Audit-safe change actions.</w:t>
      </w:r>
    </w:p>
    <w:p>
      <w:pPr>
        <w:pStyle w:val="Heading3"/>
      </w:pPr>
      <w:r>
        <w:t>Party workspace</w:t>
      </w:r>
    </w:p>
    <w:p>
      <w:pPr>
        <w:pStyle w:val="ListBullet"/>
        <w:spacing w:after="80"/>
      </w:pPr>
      <w:r>
        <w:t>Principal and members; independent RSVP states.</w:t>
      </w:r>
    </w:p>
    <w:p>
      <w:pPr>
        <w:pStyle w:val="ListBullet"/>
        <w:spacing w:after="80"/>
      </w:pPr>
      <w:r>
        <w:t>Add existing guest or intake new named person.</w:t>
      </w:r>
    </w:p>
    <w:p>
      <w:pPr>
        <w:pStyle w:val="ListBullet"/>
        <w:spacing w:after="80"/>
      </w:pPr>
      <w:r>
        <w:t>Warnings for duplicates, allowance limits and missing responsible adult.</w:t>
      </w:r>
    </w:p>
    <w:p>
      <w:pPr>
        <w:pStyle w:val="Heading3"/>
      </w:pPr>
      <w:r>
        <w:t>Directories and communications</w:t>
      </w:r>
    </w:p>
    <w:p>
      <w:pPr>
        <w:pStyle w:val="ListBullet"/>
        <w:spacing w:after="80"/>
      </w:pPr>
      <w:r>
        <w:t>Search by safe name components.</w:t>
      </w:r>
    </w:p>
    <w:p>
      <w:pPr>
        <w:pStyle w:val="ListBullet"/>
        <w:spacing w:after="80"/>
      </w:pPr>
      <w:r>
        <w:t>Display preferred name and masked contact.</w:t>
      </w:r>
    </w:p>
    <w:p>
      <w:pPr>
        <w:pStyle w:val="ListBullet"/>
        <w:spacing w:after="80"/>
      </w:pPr>
      <w:r>
        <w:t>Audience counts explain person versus party membership.</w:t>
      </w:r>
    </w:p>
    <w:p>
      <w:pPr>
        <w:pStyle w:val="ListBullet"/>
        <w:spacing w:after="80"/>
      </w:pPr>
      <w:r>
        <w:t>Templates address every recipient individually unless an explicit joint form is approved.</w:t>
      </w:r>
    </w:p>
    <w:p>
      <w:pPr>
        <w:pStyle w:val="Heading1"/>
      </w:pPr>
      <w:r>
        <w:t>11. APIs, persistence and migration</w:t>
      </w:r>
    </w:p>
    <w:p>
      <w:pPr>
        <w:pStyle w:val="Heading2"/>
      </w:pPr>
      <w:r>
        <w:t>11.1 API behaviour</w:t>
      </w:r>
    </w:p>
    <w:p>
      <w:pPr>
        <w:pStyle w:val="ListBullet"/>
        <w:spacing w:after="80"/>
      </w:pPr>
      <w:r>
        <w:t>All mutations require organisationId, eventId, actor, reason and optimistic version.</w:t>
      </w:r>
    </w:p>
    <w:p>
      <w:pPr>
        <w:pStyle w:val="ListBullet"/>
        <w:spacing w:after="80"/>
      </w:pPr>
      <w:r>
        <w:t>Event scoping is enforced server-side; client-supplied party or guest IDs are revalidated.</w:t>
      </w:r>
    </w:p>
    <w:p>
      <w:pPr>
        <w:pStyle w:val="ListBullet"/>
        <w:spacing w:after="80"/>
      </w:pPr>
      <w:r>
        <w:t>List endpoints provide minimal projections appropriate to the caller.</w:t>
      </w:r>
    </w:p>
    <w:p>
      <w:pPr>
        <w:pStyle w:val="ListBullet"/>
        <w:spacing w:after="80"/>
      </w:pPr>
      <w:r>
        <w:t>Imports produce preview, validation and exception reports before commit.</w:t>
      </w:r>
    </w:p>
    <w:p>
      <w:pPr>
        <w:pStyle w:val="ListBullet"/>
        <w:spacing w:after="80"/>
      </w:pPr>
      <w:r>
        <w:t>Exports distinguish people, parties, relationships and entitlements; they never flatten multiple people into one row without explicit aggregation metadata.</w:t>
      </w:r>
    </w:p>
    <w:p>
      <w:pPr>
        <w:pStyle w:val="ListBullet"/>
        <w:spacing w:after="80"/>
      </w:pPr>
      <w:r>
        <w:t>Idempotency keys protect intake, nomination and relationship mutations.</w:t>
      </w:r>
    </w:p>
    <w:p>
      <w:pPr>
        <w:pStyle w:val="Heading2"/>
      </w:pPr>
      <w:r>
        <w:t>11.2 Migration</w:t>
      </w:r>
    </w:p>
    <w:p>
      <w:pPr>
        <w:pStyle w:val="ListNumber"/>
        <w:spacing w:after="100"/>
      </w:pPr>
      <w:r>
        <w:t>Add nullable addressing components and new relationship/party tables without rewriting existing guest IDs.</w:t>
      </w:r>
    </w:p>
    <w:p>
      <w:pPr>
        <w:pStyle w:val="ListNumber"/>
        <w:spacing w:after="100"/>
      </w:pPr>
      <w:r>
        <w:t>Backfill only mechanically trustworthy values already stored in dedicated fields; never parse free-text titles automatically into canonical components.</w:t>
      </w:r>
    </w:p>
    <w:p>
      <w:pPr>
        <w:pStyle w:val="ListNumber"/>
        <w:spacing w:after="100"/>
      </w:pPr>
      <w:r>
        <w:t>Mark unresolved legacy display strings as UNVERIFIED and preserve their source text.</w:t>
      </w:r>
    </w:p>
    <w:p>
      <w:pPr>
        <w:pStyle w:val="ListNumber"/>
        <w:spacing w:after="100"/>
      </w:pPr>
      <w:r>
        <w:t>Create no party or relationship solely from shared surname, email, phone or address.</w:t>
      </w:r>
    </w:p>
    <w:p>
      <w:pPr>
        <w:pStyle w:val="ListNumber"/>
        <w:spacing w:after="100"/>
      </w:pPr>
      <w:r>
        <w:t>Provide a controlled reconciliation queue for staff review.</w:t>
      </w:r>
    </w:p>
    <w:p>
      <w:pPr>
        <w:pStyle w:val="ListNumber"/>
        <w:spacing w:after="100"/>
      </w:pPr>
      <w:r>
        <w:t>Verify reversible migration and legacy API compatibility before removal of deprecated fields.</w:t>
      </w:r>
    </w:p>
    <w:p>
      <w:pPr>
        <w:pStyle w:val="Heading2"/>
      </w:pPr>
      <w:r>
        <w:t>11.3 Concurrency and audit</w:t>
      </w:r>
    </w:p>
    <w:p>
      <w:r>
        <w:t>Every mutable record carries schemaVersion and version. Conflicts return an explicit stale-version outcome. Audit captures attempted business action, decision, actor, scope, reason and correlation ID. Rejected or forbidden mutations are observable without exposing secrets.</w:t>
      </w:r>
    </w:p>
    <w:p>
      <w:pPr>
        <w:pStyle w:val="Heading1"/>
      </w:pPr>
      <w:r>
        <w:t>12. Intelligence and operational projections</w:t>
      </w:r>
    </w:p>
    <w:p>
      <w:pPr>
        <w:pStyle w:val="ListBullet"/>
        <w:spacing w:after="80"/>
      </w:pPr>
      <w:r>
        <w:t>Count actual people separately from invitations and parties.</w:t>
      </w:r>
    </w:p>
    <w:p>
      <w:pPr>
        <w:pStyle w:val="ListBullet"/>
        <w:spacing w:after="80"/>
      </w:pPr>
      <w:r>
        <w:t>Identify unresolved unnamed allowances without fabricating attendance.</w:t>
      </w:r>
    </w:p>
    <w:p>
      <w:pPr>
        <w:pStyle w:val="ListBullet"/>
        <w:spacing w:after="80"/>
      </w:pPr>
      <w:r>
        <w:t>Show children by age band for operational planning with restricted access.</w:t>
      </w:r>
    </w:p>
    <w:p>
      <w:pPr>
        <w:pStyle w:val="ListBullet"/>
        <w:spacing w:after="80"/>
      </w:pPr>
      <w:r>
        <w:t>Flag missing responsible-adult links, duplicate nominations, exceeded entitlements and unconfirmed formal address.</w:t>
      </w:r>
    </w:p>
    <w:p>
      <w:pPr>
        <w:pStyle w:val="ListBullet"/>
        <w:spacing w:after="80"/>
      </w:pPr>
      <w:r>
        <w:t>Project party composition for future seating and access modules.</w:t>
      </w:r>
    </w:p>
    <w:p>
      <w:pPr>
        <w:pStyle w:val="ListBullet"/>
        <w:spacing w:after="80"/>
      </w:pPr>
      <w:r>
        <w:t>Never rank guest importance, infer relationships or infer social/financial status.</w:t>
      </w:r>
    </w:p>
    <w:p>
      <w:pPr>
        <w:pStyle w:val="Heading1"/>
      </w:pPr>
      <w:r>
        <w:t>13. Failure and exception handling</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592"/>
            <w:shd w:fill="E8EEF5"/>
            <w:tcMar>
              <w:top w:w="80" w:type="dxa"/>
              <w:start w:w="120" w:type="dxa"/>
              <w:bottom w:w="80" w:type="dxa"/>
              <w:end w:w="120" w:type="dxa"/>
            </w:tcMar>
            <w:vAlign w:val="center"/>
          </w:tcPr>
          <w:p>
            <w:r>
              <w:rPr>
                <w:b/>
                <w:color w:val="0B2545"/>
                <w:sz w:val="18"/>
              </w:rPr>
              <w:t>Condition</w:t>
            </w:r>
          </w:p>
        </w:tc>
        <w:tc>
          <w:tcPr>
            <w:tcW w:type="dxa" w:w="6768"/>
            <w:shd w:fill="E8EEF5"/>
            <w:tcMar>
              <w:top w:w="80" w:type="dxa"/>
              <w:start w:w="120" w:type="dxa"/>
              <w:bottom w:w="80" w:type="dxa"/>
              <w:end w:w="120" w:type="dxa"/>
            </w:tcMar>
            <w:vAlign w:val="center"/>
          </w:tcPr>
          <w:p>
            <w:r>
              <w:rPr>
                <w:b/>
                <w:color w:val="0B2545"/>
                <w:sz w:val="18"/>
              </w:rPr>
              <w:t>Required response</w:t>
            </w:r>
          </w:p>
        </w:tc>
      </w:tr>
      <w:tr>
        <w:trPr>
          <w:cantSplit/>
        </w:trPr>
        <w:tc>
          <w:tcPr>
            <w:tcW w:type="dxa" w:w="2592"/>
            <w:tcMar>
              <w:top w:w="80" w:type="dxa"/>
              <w:start w:w="120" w:type="dxa"/>
              <w:bottom w:w="80" w:type="dxa"/>
              <w:end w:w="120" w:type="dxa"/>
            </w:tcMar>
            <w:vAlign w:val="top"/>
          </w:tcPr>
          <w:p>
            <w:pPr>
              <w:spacing w:after="0"/>
            </w:pPr>
            <w:r>
              <w:rPr>
                <w:sz w:val="17"/>
              </w:rPr>
              <w:t>Duplicate nomination</w:t>
            </w:r>
          </w:p>
        </w:tc>
        <w:tc>
          <w:tcPr>
            <w:tcW w:type="dxa" w:w="6768"/>
            <w:tcMar>
              <w:top w:w="80" w:type="dxa"/>
              <w:start w:w="120" w:type="dxa"/>
              <w:bottom w:w="80" w:type="dxa"/>
              <w:end w:w="120" w:type="dxa"/>
            </w:tcMar>
            <w:vAlign w:val="top"/>
          </w:tcPr>
          <w:p>
            <w:pPr>
              <w:spacing w:after="0"/>
            </w:pPr>
            <w:r>
              <w:rPr>
                <w:sz w:val="17"/>
              </w:rPr>
              <w:t>Hold for governed resolution; do not create second guest silently.</w:t>
            </w:r>
          </w:p>
        </w:tc>
      </w:tr>
      <w:tr>
        <w:trPr>
          <w:cantSplit/>
        </w:trPr>
        <w:tc>
          <w:tcPr>
            <w:tcW w:type="dxa" w:w="2592"/>
            <w:tcMar>
              <w:top w:w="80" w:type="dxa"/>
              <w:start w:w="120" w:type="dxa"/>
              <w:bottom w:w="80" w:type="dxa"/>
              <w:end w:w="120" w:type="dxa"/>
            </w:tcMar>
            <w:vAlign w:val="top"/>
          </w:tcPr>
          <w:p>
            <w:pPr>
              <w:spacing w:after="0"/>
            </w:pPr>
            <w:r>
              <w:rPr>
                <w:sz w:val="17"/>
              </w:rPr>
              <w:t>Entitlement exceeded</w:t>
            </w:r>
          </w:p>
        </w:tc>
        <w:tc>
          <w:tcPr>
            <w:tcW w:type="dxa" w:w="6768"/>
            <w:tcMar>
              <w:top w:w="80" w:type="dxa"/>
              <w:start w:w="120" w:type="dxa"/>
              <w:bottom w:w="80" w:type="dxa"/>
              <w:end w:w="120" w:type="dxa"/>
            </w:tcMar>
            <w:vAlign w:val="top"/>
          </w:tcPr>
          <w:p>
            <w:pPr>
              <w:spacing w:after="0"/>
            </w:pPr>
            <w:r>
              <w:rPr>
                <w:sz w:val="17"/>
              </w:rPr>
              <w:t>Reject or route to exception review; do not expand allowance.</w:t>
            </w:r>
          </w:p>
        </w:tc>
      </w:tr>
      <w:tr>
        <w:trPr>
          <w:cantSplit/>
        </w:trPr>
        <w:tc>
          <w:tcPr>
            <w:tcW w:type="dxa" w:w="2592"/>
            <w:tcMar>
              <w:top w:w="80" w:type="dxa"/>
              <w:start w:w="120" w:type="dxa"/>
              <w:bottom w:w="80" w:type="dxa"/>
              <w:end w:w="120" w:type="dxa"/>
            </w:tcMar>
            <w:vAlign w:val="top"/>
          </w:tcPr>
          <w:p>
            <w:pPr>
              <w:spacing w:after="0"/>
            </w:pPr>
            <w:r>
              <w:rPr>
                <w:sz w:val="17"/>
              </w:rPr>
              <w:t>Unknown title</w:t>
            </w:r>
          </w:p>
        </w:tc>
        <w:tc>
          <w:tcPr>
            <w:tcW w:type="dxa" w:w="6768"/>
            <w:tcMar>
              <w:top w:w="80" w:type="dxa"/>
              <w:start w:w="120" w:type="dxa"/>
              <w:bottom w:w="80" w:type="dxa"/>
              <w:end w:w="120" w:type="dxa"/>
            </w:tcMar>
            <w:vAlign w:val="top"/>
          </w:tcPr>
          <w:p>
            <w:pPr>
              <w:spacing w:after="0"/>
            </w:pPr>
            <w:r>
              <w:rPr>
                <w:sz w:val="17"/>
              </w:rPr>
              <w:t>Leave blank or UNVERIFIED; do not infer.</w:t>
            </w:r>
          </w:p>
        </w:tc>
      </w:tr>
      <w:tr>
        <w:trPr>
          <w:cantSplit/>
        </w:trPr>
        <w:tc>
          <w:tcPr>
            <w:tcW w:type="dxa" w:w="2592"/>
            <w:tcMar>
              <w:top w:w="80" w:type="dxa"/>
              <w:start w:w="120" w:type="dxa"/>
              <w:bottom w:w="80" w:type="dxa"/>
              <w:end w:w="120" w:type="dxa"/>
            </w:tcMar>
            <w:vAlign w:val="top"/>
          </w:tcPr>
          <w:p>
            <w:pPr>
              <w:spacing w:after="0"/>
            </w:pPr>
            <w:r>
              <w:rPr>
                <w:sz w:val="17"/>
              </w:rPr>
              <w:t>Child without responsible adult</w:t>
            </w:r>
          </w:p>
        </w:tc>
        <w:tc>
          <w:tcPr>
            <w:tcW w:type="dxa" w:w="6768"/>
            <w:tcMar>
              <w:top w:w="80" w:type="dxa"/>
              <w:start w:w="120" w:type="dxa"/>
              <w:bottom w:w="80" w:type="dxa"/>
              <w:end w:w="120" w:type="dxa"/>
            </w:tcMar>
            <w:vAlign w:val="top"/>
          </w:tcPr>
          <w:p>
            <w:pPr>
              <w:spacing w:after="0"/>
            </w:pPr>
            <w:r>
              <w:rPr>
                <w:sz w:val="17"/>
              </w:rPr>
              <w:t>Block readiness; permit draft intake with visible task.</w:t>
            </w:r>
          </w:p>
        </w:tc>
      </w:tr>
      <w:tr>
        <w:trPr>
          <w:cantSplit/>
        </w:trPr>
        <w:tc>
          <w:tcPr>
            <w:tcW w:type="dxa" w:w="2592"/>
            <w:tcMar>
              <w:top w:w="80" w:type="dxa"/>
              <w:start w:w="120" w:type="dxa"/>
              <w:bottom w:w="80" w:type="dxa"/>
              <w:end w:w="120" w:type="dxa"/>
            </w:tcMar>
            <w:vAlign w:val="top"/>
          </w:tcPr>
          <w:p>
            <w:pPr>
              <w:spacing w:after="0"/>
            </w:pPr>
            <w:r>
              <w:rPr>
                <w:sz w:val="17"/>
              </w:rPr>
              <w:t>Relationship disputed</w:t>
            </w:r>
          </w:p>
        </w:tc>
        <w:tc>
          <w:tcPr>
            <w:tcW w:type="dxa" w:w="6768"/>
            <w:tcMar>
              <w:top w:w="80" w:type="dxa"/>
              <w:start w:w="120" w:type="dxa"/>
              <w:bottom w:w="80" w:type="dxa"/>
              <w:end w:w="120" w:type="dxa"/>
            </w:tcMar>
            <w:vAlign w:val="top"/>
          </w:tcPr>
          <w:p>
            <w:pPr>
              <w:spacing w:after="0"/>
            </w:pPr>
            <w:r>
              <w:rPr>
                <w:sz w:val="17"/>
              </w:rPr>
              <w:t>Suspend relationship projection; preserve both guest records.</w:t>
            </w:r>
          </w:p>
        </w:tc>
      </w:tr>
      <w:tr>
        <w:trPr>
          <w:cantSplit/>
        </w:trPr>
        <w:tc>
          <w:tcPr>
            <w:tcW w:type="dxa" w:w="2592"/>
            <w:tcMar>
              <w:top w:w="80" w:type="dxa"/>
              <w:start w:w="120" w:type="dxa"/>
              <w:bottom w:w="80" w:type="dxa"/>
              <w:end w:w="120" w:type="dxa"/>
            </w:tcMar>
            <w:vAlign w:val="top"/>
          </w:tcPr>
          <w:p>
            <w:pPr>
              <w:spacing w:after="0"/>
            </w:pPr>
            <w:r>
              <w:rPr>
                <w:sz w:val="17"/>
              </w:rPr>
              <w:t>Principal withdraws</w:t>
            </w:r>
          </w:p>
        </w:tc>
        <w:tc>
          <w:tcPr>
            <w:tcW w:type="dxa" w:w="6768"/>
            <w:tcMar>
              <w:top w:w="80" w:type="dxa"/>
              <w:start w:w="120" w:type="dxa"/>
              <w:bottom w:w="80" w:type="dxa"/>
              <w:end w:w="120" w:type="dxa"/>
            </w:tcMar>
            <w:vAlign w:val="top"/>
          </w:tcPr>
          <w:p>
            <w:pPr>
              <w:spacing w:after="0"/>
            </w:pPr>
            <w:r>
              <w:rPr>
                <w:sz w:val="17"/>
              </w:rPr>
              <w:t>Evaluate companion policy explicitly; do not auto-delete companion.</w:t>
            </w:r>
          </w:p>
        </w:tc>
      </w:tr>
      <w:tr>
        <w:trPr>
          <w:cantSplit/>
        </w:trPr>
        <w:tc>
          <w:tcPr>
            <w:tcW w:type="dxa" w:w="2592"/>
            <w:tcMar>
              <w:top w:w="80" w:type="dxa"/>
              <w:start w:w="120" w:type="dxa"/>
              <w:bottom w:w="80" w:type="dxa"/>
              <w:end w:w="120" w:type="dxa"/>
            </w:tcMar>
            <w:vAlign w:val="top"/>
          </w:tcPr>
          <w:p>
            <w:pPr>
              <w:spacing w:after="0"/>
            </w:pPr>
            <w:r>
              <w:rPr>
                <w:sz w:val="17"/>
              </w:rPr>
              <w:t>Import ambiguity</w:t>
            </w:r>
          </w:p>
        </w:tc>
        <w:tc>
          <w:tcPr>
            <w:tcW w:type="dxa" w:w="6768"/>
            <w:tcMar>
              <w:top w:w="80" w:type="dxa"/>
              <w:start w:w="120" w:type="dxa"/>
              <w:bottom w:w="80" w:type="dxa"/>
              <w:end w:w="120" w:type="dxa"/>
            </w:tcMar>
            <w:vAlign w:val="top"/>
          </w:tcPr>
          <w:p>
            <w:pPr>
              <w:spacing w:after="0"/>
            </w:pPr>
            <w:r>
              <w:rPr>
                <w:sz w:val="17"/>
              </w:rPr>
              <w:t>Preview as exception; no canonical mutation.</w:t>
            </w:r>
          </w:p>
        </w:tc>
      </w:tr>
      <w:tr>
        <w:trPr>
          <w:cantSplit/>
        </w:trPr>
        <w:tc>
          <w:tcPr>
            <w:tcW w:type="dxa" w:w="2592"/>
            <w:tcMar>
              <w:top w:w="80" w:type="dxa"/>
              <w:start w:w="120" w:type="dxa"/>
              <w:bottom w:w="80" w:type="dxa"/>
              <w:end w:w="120" w:type="dxa"/>
            </w:tcMar>
            <w:vAlign w:val="top"/>
          </w:tcPr>
          <w:p>
            <w:pPr>
              <w:spacing w:after="0"/>
            </w:pPr>
            <w:r>
              <w:rPr>
                <w:sz w:val="17"/>
              </w:rPr>
              <w:t>Concurrent amendment</w:t>
            </w:r>
          </w:p>
        </w:tc>
        <w:tc>
          <w:tcPr>
            <w:tcW w:type="dxa" w:w="6768"/>
            <w:tcMar>
              <w:top w:w="80" w:type="dxa"/>
              <w:start w:w="120" w:type="dxa"/>
              <w:bottom w:w="80" w:type="dxa"/>
              <w:end w:w="120" w:type="dxa"/>
            </w:tcMar>
            <w:vAlign w:val="top"/>
          </w:tcPr>
          <w:p>
            <w:pPr>
              <w:spacing w:after="0"/>
            </w:pPr>
            <w:r>
              <w:rPr>
                <w:sz w:val="17"/>
              </w:rPr>
              <w:t>Return stale-version conflict and require refresh.</w:t>
            </w:r>
          </w:p>
        </w:tc>
      </w:tr>
      <w:tr>
        <w:trPr>
          <w:cantSplit/>
        </w:trPr>
        <w:tc>
          <w:tcPr>
            <w:tcW w:type="dxa" w:w="2592"/>
            <w:tcMar>
              <w:top w:w="80" w:type="dxa"/>
              <w:start w:w="120" w:type="dxa"/>
              <w:bottom w:w="80" w:type="dxa"/>
              <w:end w:w="120" w:type="dxa"/>
            </w:tcMar>
            <w:vAlign w:val="top"/>
          </w:tcPr>
          <w:p>
            <w:pPr>
              <w:spacing w:after="0"/>
            </w:pPr>
            <w:r>
              <w:rPr>
                <w:sz w:val="17"/>
              </w:rPr>
              <w:t>Cross-event identifier</w:t>
            </w:r>
          </w:p>
        </w:tc>
        <w:tc>
          <w:tcPr>
            <w:tcW w:type="dxa" w:w="6768"/>
            <w:tcMar>
              <w:top w:w="80" w:type="dxa"/>
              <w:start w:w="120" w:type="dxa"/>
              <w:bottom w:w="80" w:type="dxa"/>
              <w:end w:w="120" w:type="dxa"/>
            </w:tcMar>
            <w:vAlign w:val="top"/>
          </w:tcPr>
          <w:p>
            <w:pPr>
              <w:spacing w:after="0"/>
            </w:pPr>
            <w:r>
              <w:rPr>
                <w:sz w:val="17"/>
              </w:rPr>
              <w:t>Reject event-scoped mutation.</w:t>
            </w:r>
          </w:p>
        </w:tc>
      </w:tr>
      <w:tr>
        <w:trPr>
          <w:cantSplit/>
        </w:trPr>
        <w:tc>
          <w:tcPr>
            <w:tcW w:type="dxa" w:w="2592"/>
            <w:tcMar>
              <w:top w:w="80" w:type="dxa"/>
              <w:start w:w="120" w:type="dxa"/>
              <w:bottom w:w="80" w:type="dxa"/>
              <w:end w:w="120" w:type="dxa"/>
            </w:tcMar>
            <w:vAlign w:val="top"/>
          </w:tcPr>
          <w:p>
            <w:pPr>
              <w:spacing w:after="0"/>
            </w:pPr>
            <w:r>
              <w:rPr>
                <w:sz w:val="17"/>
              </w:rPr>
              <w:t>Unsupported Unicode</w:t>
            </w:r>
          </w:p>
        </w:tc>
        <w:tc>
          <w:tcPr>
            <w:tcW w:type="dxa" w:w="6768"/>
            <w:tcMar>
              <w:top w:w="80" w:type="dxa"/>
              <w:start w:w="120" w:type="dxa"/>
              <w:bottom w:w="80" w:type="dxa"/>
              <w:end w:w="120" w:type="dxa"/>
            </w:tcMar>
            <w:vAlign w:val="top"/>
          </w:tcPr>
          <w:p>
            <w:pPr>
              <w:spacing w:after="0"/>
            </w:pPr>
            <w:r>
              <w:rPr>
                <w:sz w:val="17"/>
              </w:rPr>
              <w:t>Preserve input and raise validation defect; do not transliterate silently.</w:t>
            </w:r>
          </w:p>
        </w:tc>
      </w:tr>
    </w:tbl>
    <w:p>
      <w:pPr>
        <w:spacing w:after="20"/>
      </w:pPr>
    </w:p>
    <w:p>
      <w:pPr>
        <w:pStyle w:val="Heading1"/>
      </w:pPr>
      <w:r>
        <w:t>14. Acceptance criteria</w:t>
      </w:r>
    </w:p>
    <w:p>
      <w:pPr>
        <w:pStyle w:val="ListBullet"/>
        <w:spacing w:after="80"/>
      </w:pPr>
      <w:r>
        <w:t>Every created guest has a unique event-scoped guestId.</w:t>
      </w:r>
    </w:p>
    <w:p>
      <w:pPr>
        <w:pStyle w:val="ListBullet"/>
        <w:spacing w:after="80"/>
      </w:pPr>
      <w:r>
        <w:t>Every event occurrence has an eventId; eventSeriesId never substitutes for it.</w:t>
      </w:r>
    </w:p>
    <w:p>
      <w:pPr>
        <w:pStyle w:val="ListBullet"/>
        <w:spacing w:after="80"/>
      </w:pPr>
      <w:r>
        <w:t>Two children in one household retain distinct guestIds and age bands.</w:t>
      </w:r>
    </w:p>
    <w:p>
      <w:pPr>
        <w:pStyle w:val="ListBullet"/>
        <w:spacing w:after="80"/>
      </w:pPr>
      <w:r>
        <w:t>Unnamed plus-one allowance has no fabricated guestId.</w:t>
      </w:r>
    </w:p>
    <w:p>
      <w:pPr>
        <w:pStyle w:val="ListBullet"/>
        <w:spacing w:after="80"/>
      </w:pPr>
      <w:r>
        <w:t>Nomination creates/resolves exactly one person and retains entitlement lineage.</w:t>
      </w:r>
    </w:p>
    <w:p>
      <w:pPr>
        <w:pStyle w:val="ListBullet"/>
        <w:spacing w:after="80"/>
      </w:pPr>
      <w:r>
        <w:t>Titles are stored separately and rendered deterministically with diacritics preserved.</w:t>
      </w:r>
    </w:p>
    <w:p>
      <w:pPr>
        <w:pStyle w:val="ListBullet"/>
        <w:spacing w:after="80"/>
      </w:pPr>
      <w:r>
        <w:t>No title, gender, relationship or age band is inferred.</w:t>
      </w:r>
    </w:p>
    <w:p>
      <w:pPr>
        <w:pStyle w:val="ListBullet"/>
        <w:spacing w:after="80"/>
      </w:pPr>
      <w:r>
        <w:t>Party membership does not merge identity, RSVP, consent or attendance.</w:t>
      </w:r>
    </w:p>
    <w:p>
      <w:pPr>
        <w:pStyle w:val="ListBullet"/>
        <w:spacing w:after="80"/>
      </w:pPr>
      <w:r>
        <w:t>EOS-S03 remains authoritative for entitlement count.</w:t>
      </w:r>
    </w:p>
    <w:p>
      <w:pPr>
        <w:pStyle w:val="ListBullet"/>
        <w:spacing w:after="80"/>
      </w:pPr>
      <w:r>
        <w:t>EOS-S04 communications use safe salutation fallbacks and do not create entitlement.</w:t>
      </w:r>
    </w:p>
    <w:p>
      <w:pPr>
        <w:pStyle w:val="ListBullet"/>
        <w:spacing w:after="80"/>
      </w:pPr>
      <w:r>
        <w:t>Event and organisation isolation hold for every read and mutation.</w:t>
      </w:r>
    </w:p>
    <w:p>
      <w:pPr>
        <w:pStyle w:val="ListBullet"/>
        <w:spacing w:after="80"/>
      </w:pPr>
      <w:r>
        <w:t>Maker/checker and restricted permissions are enforced server-side.</w:t>
      </w:r>
    </w:p>
    <w:p>
      <w:pPr>
        <w:pStyle w:val="ListBullet"/>
        <w:spacing w:after="80"/>
      </w:pPr>
      <w:r>
        <w:t>Migration preserves existing IDs and creates no guessed relationships.</w:t>
      </w:r>
    </w:p>
    <w:p>
      <w:pPr>
        <w:pStyle w:val="ListBullet"/>
        <w:spacing w:after="80"/>
      </w:pPr>
      <w:r>
        <w:t>Production remains unauthorised and EOS-S05 is absent.</w:t>
      </w:r>
    </w:p>
    <w:p>
      <w:pPr>
        <w:pStyle w:val="Heading2"/>
      </w:pPr>
      <w:r>
        <w:t>14.1 Required automated verification</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016"/>
            <w:shd w:fill="E8EEF5"/>
            <w:tcMar>
              <w:top w:w="80" w:type="dxa"/>
              <w:start w:w="120" w:type="dxa"/>
              <w:bottom w:w="80" w:type="dxa"/>
              <w:end w:w="120" w:type="dxa"/>
            </w:tcMar>
            <w:vAlign w:val="center"/>
          </w:tcPr>
          <w:p>
            <w:r>
              <w:rPr>
                <w:b/>
                <w:color w:val="0B2545"/>
                <w:sz w:val="18"/>
              </w:rPr>
              <w:t>Layer</w:t>
            </w:r>
          </w:p>
        </w:tc>
        <w:tc>
          <w:tcPr>
            <w:tcW w:type="dxa" w:w="7344"/>
            <w:shd w:fill="E8EEF5"/>
            <w:tcMar>
              <w:top w:w="80" w:type="dxa"/>
              <w:start w:w="120" w:type="dxa"/>
              <w:bottom w:w="80" w:type="dxa"/>
              <w:end w:w="120" w:type="dxa"/>
            </w:tcMar>
            <w:vAlign w:val="center"/>
          </w:tcPr>
          <w:p>
            <w:r>
              <w:rPr>
                <w:b/>
                <w:color w:val="0B2545"/>
                <w:sz w:val="18"/>
              </w:rPr>
              <w:t>Minimum tests</w:t>
            </w:r>
          </w:p>
        </w:tc>
      </w:tr>
      <w:tr>
        <w:trPr>
          <w:cantSplit/>
        </w:trPr>
        <w:tc>
          <w:tcPr>
            <w:tcW w:type="dxa" w:w="2016"/>
            <w:tcMar>
              <w:top w:w="80" w:type="dxa"/>
              <w:start w:w="120" w:type="dxa"/>
              <w:bottom w:w="80" w:type="dxa"/>
              <w:end w:w="120" w:type="dxa"/>
            </w:tcMar>
            <w:vAlign w:val="top"/>
          </w:tcPr>
          <w:p>
            <w:pPr>
              <w:spacing w:after="0"/>
            </w:pPr>
            <w:r>
              <w:rPr>
                <w:sz w:val="17"/>
              </w:rPr>
              <w:t>Domain</w:t>
            </w:r>
          </w:p>
        </w:tc>
        <w:tc>
          <w:tcPr>
            <w:tcW w:type="dxa" w:w="7344"/>
            <w:tcMar>
              <w:top w:w="80" w:type="dxa"/>
              <w:start w:w="120" w:type="dxa"/>
              <w:bottom w:w="80" w:type="dxa"/>
              <w:end w:w="120" w:type="dxa"/>
            </w:tcMar>
            <w:vAlign w:val="top"/>
          </w:tcPr>
          <w:p>
            <w:pPr>
              <w:spacing w:after="0"/>
            </w:pPr>
            <w:r>
              <w:rPr>
                <w:sz w:val="17"/>
              </w:rPr>
              <w:t>IDs, lifecycles, invariants, relationship direction, age bands, entitlements.</w:t>
            </w:r>
          </w:p>
        </w:tc>
      </w:tr>
      <w:tr>
        <w:trPr>
          <w:cantSplit/>
        </w:trPr>
        <w:tc>
          <w:tcPr>
            <w:tcW w:type="dxa" w:w="2016"/>
            <w:tcMar>
              <w:top w:w="80" w:type="dxa"/>
              <w:start w:w="120" w:type="dxa"/>
              <w:bottom w:w="80" w:type="dxa"/>
              <w:end w:w="120" w:type="dxa"/>
            </w:tcMar>
            <w:vAlign w:val="top"/>
          </w:tcPr>
          <w:p>
            <w:pPr>
              <w:spacing w:after="0"/>
            </w:pPr>
            <w:r>
              <w:rPr>
                <w:sz w:val="17"/>
              </w:rPr>
              <w:t>Permissions</w:t>
            </w:r>
          </w:p>
        </w:tc>
        <w:tc>
          <w:tcPr>
            <w:tcW w:type="dxa" w:w="7344"/>
            <w:tcMar>
              <w:top w:w="80" w:type="dxa"/>
              <w:start w:w="120" w:type="dxa"/>
              <w:bottom w:w="80" w:type="dxa"/>
              <w:end w:w="120" w:type="dxa"/>
            </w:tcMar>
            <w:vAlign w:val="top"/>
          </w:tcPr>
          <w:p>
            <w:pPr>
              <w:spacing w:after="0"/>
            </w:pPr>
            <w:r>
              <w:rPr>
                <w:sz w:val="17"/>
              </w:rPr>
              <w:t>Role matrix, event scope, restricted child/protocol fields, forbidden mutations.</w:t>
            </w:r>
          </w:p>
        </w:tc>
      </w:tr>
      <w:tr>
        <w:trPr>
          <w:cantSplit/>
        </w:trPr>
        <w:tc>
          <w:tcPr>
            <w:tcW w:type="dxa" w:w="2016"/>
            <w:tcMar>
              <w:top w:w="80" w:type="dxa"/>
              <w:start w:w="120" w:type="dxa"/>
              <w:bottom w:w="80" w:type="dxa"/>
              <w:end w:w="120" w:type="dxa"/>
            </w:tcMar>
            <w:vAlign w:val="top"/>
          </w:tcPr>
          <w:p>
            <w:pPr>
              <w:spacing w:after="0"/>
            </w:pPr>
            <w:r>
              <w:rPr>
                <w:sz w:val="17"/>
              </w:rPr>
              <w:t>Persistence</w:t>
            </w:r>
          </w:p>
        </w:tc>
        <w:tc>
          <w:tcPr>
            <w:tcW w:type="dxa" w:w="7344"/>
            <w:tcMar>
              <w:top w:w="80" w:type="dxa"/>
              <w:start w:w="120" w:type="dxa"/>
              <w:bottom w:w="80" w:type="dxa"/>
              <w:end w:w="120" w:type="dxa"/>
            </w:tcMar>
            <w:vAlign w:val="top"/>
          </w:tcPr>
          <w:p>
            <w:pPr>
              <w:spacing w:after="0"/>
            </w:pPr>
            <w:r>
              <w:rPr>
                <w:sz w:val="17"/>
              </w:rPr>
              <w:t>Round-trip, optimistic concurrency, migration, idempotency.</w:t>
            </w:r>
          </w:p>
        </w:tc>
      </w:tr>
      <w:tr>
        <w:trPr>
          <w:cantSplit/>
        </w:trPr>
        <w:tc>
          <w:tcPr>
            <w:tcW w:type="dxa" w:w="2016"/>
            <w:tcMar>
              <w:top w:w="80" w:type="dxa"/>
              <w:start w:w="120" w:type="dxa"/>
              <w:bottom w:w="80" w:type="dxa"/>
              <w:end w:w="120" w:type="dxa"/>
            </w:tcMar>
            <w:vAlign w:val="top"/>
          </w:tcPr>
          <w:p>
            <w:pPr>
              <w:spacing w:after="0"/>
            </w:pPr>
            <w:r>
              <w:rPr>
                <w:sz w:val="17"/>
              </w:rPr>
              <w:t>API/actions</w:t>
            </w:r>
          </w:p>
        </w:tc>
        <w:tc>
          <w:tcPr>
            <w:tcW w:type="dxa" w:w="7344"/>
            <w:tcMar>
              <w:top w:w="80" w:type="dxa"/>
              <w:start w:w="120" w:type="dxa"/>
              <w:bottom w:w="80" w:type="dxa"/>
              <w:end w:w="120" w:type="dxa"/>
            </w:tcMar>
            <w:vAlign w:val="top"/>
          </w:tcPr>
          <w:p>
            <w:pPr>
              <w:spacing w:after="0"/>
            </w:pPr>
            <w:r>
              <w:rPr>
                <w:sz w:val="17"/>
              </w:rPr>
              <w:t>Validation, cross-event rejection, safe public errors.</w:t>
            </w:r>
          </w:p>
        </w:tc>
      </w:tr>
      <w:tr>
        <w:trPr>
          <w:cantSplit/>
        </w:trPr>
        <w:tc>
          <w:tcPr>
            <w:tcW w:type="dxa" w:w="2016"/>
            <w:tcMar>
              <w:top w:w="80" w:type="dxa"/>
              <w:start w:w="120" w:type="dxa"/>
              <w:bottom w:w="80" w:type="dxa"/>
              <w:end w:w="120" w:type="dxa"/>
            </w:tcMar>
            <w:vAlign w:val="top"/>
          </w:tcPr>
          <w:p>
            <w:pPr>
              <w:spacing w:after="0"/>
            </w:pPr>
            <w:r>
              <w:rPr>
                <w:sz w:val="17"/>
              </w:rPr>
              <w:t>UI</w:t>
            </w:r>
          </w:p>
        </w:tc>
        <w:tc>
          <w:tcPr>
            <w:tcW w:type="dxa" w:w="7344"/>
            <w:tcMar>
              <w:top w:w="80" w:type="dxa"/>
              <w:start w:w="120" w:type="dxa"/>
              <w:bottom w:w="80" w:type="dxa"/>
              <w:end w:w="120" w:type="dxa"/>
            </w:tcMar>
            <w:vAlign w:val="top"/>
          </w:tcPr>
          <w:p>
            <w:pPr>
              <w:spacing w:after="0"/>
            </w:pPr>
            <w:r>
              <w:rPr>
                <w:sz w:val="17"/>
              </w:rPr>
              <w:t>Title separation, party editor, nomination, child/responsible-adult flows.</w:t>
            </w:r>
          </w:p>
        </w:tc>
      </w:tr>
      <w:tr>
        <w:trPr>
          <w:cantSplit/>
        </w:trPr>
        <w:tc>
          <w:tcPr>
            <w:tcW w:type="dxa" w:w="2016"/>
            <w:tcMar>
              <w:top w:w="80" w:type="dxa"/>
              <w:start w:w="120" w:type="dxa"/>
              <w:bottom w:w="80" w:type="dxa"/>
              <w:end w:w="120" w:type="dxa"/>
            </w:tcMar>
            <w:vAlign w:val="top"/>
          </w:tcPr>
          <w:p>
            <w:pPr>
              <w:spacing w:after="0"/>
            </w:pPr>
            <w:r>
              <w:rPr>
                <w:sz w:val="17"/>
              </w:rPr>
              <w:t>E2E</w:t>
            </w:r>
          </w:p>
        </w:tc>
        <w:tc>
          <w:tcPr>
            <w:tcW w:type="dxa" w:w="7344"/>
            <w:tcMar>
              <w:top w:w="80" w:type="dxa"/>
              <w:start w:w="120" w:type="dxa"/>
              <w:bottom w:w="80" w:type="dxa"/>
              <w:end w:w="120" w:type="dxa"/>
            </w:tcMar>
            <w:vAlign w:val="top"/>
          </w:tcPr>
          <w:p>
            <w:pPr>
              <w:spacing w:after="0"/>
            </w:pPr>
            <w:r>
              <w:rPr>
                <w:sz w:val="17"/>
              </w:rPr>
              <w:t>Principal + child + named companion + unnamed allowance; maker/checker exception.</w:t>
            </w:r>
          </w:p>
        </w:tc>
      </w:tr>
      <w:tr>
        <w:trPr>
          <w:cantSplit/>
        </w:trPr>
        <w:tc>
          <w:tcPr>
            <w:tcW w:type="dxa" w:w="2016"/>
            <w:tcMar>
              <w:top w:w="80" w:type="dxa"/>
              <w:start w:w="120" w:type="dxa"/>
              <w:bottom w:w="80" w:type="dxa"/>
              <w:end w:w="120" w:type="dxa"/>
            </w:tcMar>
            <w:vAlign w:val="top"/>
          </w:tcPr>
          <w:p>
            <w:pPr>
              <w:spacing w:after="0"/>
            </w:pPr>
            <w:r>
              <w:rPr>
                <w:sz w:val="17"/>
              </w:rPr>
              <w:t>Regression</w:t>
            </w:r>
          </w:p>
        </w:tc>
        <w:tc>
          <w:tcPr>
            <w:tcW w:type="dxa" w:w="7344"/>
            <w:tcMar>
              <w:top w:w="80" w:type="dxa"/>
              <w:start w:w="120" w:type="dxa"/>
              <w:bottom w:w="80" w:type="dxa"/>
              <w:end w:w="120" w:type="dxa"/>
            </w:tcMar>
            <w:vAlign w:val="top"/>
          </w:tcPr>
          <w:p>
            <w:pPr>
              <w:spacing w:after="0"/>
            </w:pPr>
            <w:r>
              <w:rPr>
                <w:sz w:val="17"/>
              </w:rPr>
              <w:t>EOS-S01–S04 suites, programme validation and all 17 communications routes.</w:t>
            </w:r>
          </w:p>
        </w:tc>
      </w:tr>
    </w:tbl>
    <w:p>
      <w:pPr>
        <w:spacing w:after="20"/>
      </w:pPr>
    </w:p>
    <w:p>
      <w:pPr>
        <w:pStyle w:val="Heading1"/>
      </w:pPr>
      <w:r>
        <w:t>15. Human-verification plan for Claude</w:t>
      </w:r>
    </w:p>
    <w:tbl>
      <w:tblPr>
        <w:tblW w:type="dxa" w:w="9360"/>
        <w:jc w:val="left"/>
        <w:tblLayout w:type="fixed"/>
        <w:tblLook w:firstColumn="1" w:firstRow="1" w:lastColumn="0" w:lastRow="0" w:noHBand="0" w:noVBand="1" w:val="04A0"/>
      </w:tblPr>
      <w:tblGrid>
        <w:gridCol w:w="9360"/>
      </w:tblGrid>
      <w:tr>
        <w:trPr>
          <w:cantSplit/>
        </w:trPr>
        <w:tc>
          <w:tcPr>
            <w:tcW w:type="dxa" w:w="9360"/>
            <w:shd w:fill="F2F4F7"/>
            <w:tcMar>
              <w:top w:w="130" w:type="dxa"/>
              <w:start w:w="180" w:type="dxa"/>
              <w:bottom w:w="130" w:type="dxa"/>
              <w:end w:w="180" w:type="dxa"/>
            </w:tcMar>
          </w:tcPr>
          <w:p>
            <w:pPr>
              <w:spacing w:after="0"/>
            </w:pPr>
            <w:r>
              <w:rPr>
                <w:b/>
                <w:color w:val="0B2545"/>
              </w:rPr>
              <w:t xml:space="preserve">ROLE BOUNDARY  </w:t>
            </w:r>
            <w:r>
              <w:t>Claude may simulate a human operator in the browser and report evidence. Claude cannot modify code or infrastructure, sign gates, accept the slice or authorise production.</w:t>
            </w:r>
          </w:p>
        </w:tc>
      </w:tr>
    </w:tbl>
    <w:p>
      <w:pPr>
        <w:spacing w:after="20"/>
      </w:pPr>
    </w:p>
    <w:p>
      <w:pPr>
        <w:pStyle w:val="ListBullet"/>
        <w:spacing w:after="80"/>
      </w:pPr>
      <w:r>
        <w:t>Confirm health endpoints show fixtures and productionAuthorised:false.</w:t>
      </w:r>
    </w:p>
    <w:p>
      <w:pPr>
        <w:pStyle w:val="ListBullet"/>
        <w:spacing w:after="80"/>
      </w:pPr>
      <w:r>
        <w:t>Create principal, two children in different age bands, and a named adult companion.</w:t>
      </w:r>
    </w:p>
    <w:p>
      <w:pPr>
        <w:pStyle w:val="ListBullet"/>
        <w:spacing w:after="80"/>
      </w:pPr>
      <w:r>
        <w:t>Verify four distinct guestIds and one partyId.</w:t>
      </w:r>
    </w:p>
    <w:p>
      <w:pPr>
        <w:pStyle w:val="ListBullet"/>
        <w:spacing w:after="80"/>
      </w:pPr>
      <w:r>
        <w:t>Create an unnamed plus-one allowance and verify no guestId exists yet.</w:t>
      </w:r>
    </w:p>
    <w:p>
      <w:pPr>
        <w:pStyle w:val="ListBullet"/>
        <w:spacing w:after="80"/>
      </w:pPr>
      <w:r>
        <w:t>Nominate a synthetic companion and verify one new guestId plus entitlement lineage.</w:t>
      </w:r>
    </w:p>
    <w:p>
      <w:pPr>
        <w:pStyle w:val="ListBullet"/>
        <w:spacing w:after="80"/>
      </w:pPr>
      <w:r>
        <w:t>Confirm titles render separately and Yoruba diacritics persist.</w:t>
      </w:r>
    </w:p>
    <w:p>
      <w:pPr>
        <w:pStyle w:val="ListBullet"/>
        <w:spacing w:after="80"/>
      </w:pPr>
      <w:r>
        <w:t>Confirm blank title remains blank and safe salutation does not guess.</w:t>
      </w:r>
    </w:p>
    <w:p>
      <w:pPr>
        <w:pStyle w:val="ListBullet"/>
        <w:spacing w:after="80"/>
      </w:pPr>
      <w:r>
        <w:t>Attempt entitlement expansion as Planner and verify rejection.</w:t>
      </w:r>
    </w:p>
    <w:p>
      <w:pPr>
        <w:pStyle w:val="ListBullet"/>
        <w:spacing w:after="80"/>
      </w:pPr>
      <w:r>
        <w:t>Use authorised reviewer for a synthetic exception and verify attribution.</w:t>
      </w:r>
    </w:p>
    <w:p>
      <w:pPr>
        <w:pStyle w:val="ListBullet"/>
        <w:spacing w:after="80"/>
      </w:pPr>
      <w:r>
        <w:t>Confirm children have responsible-adult links and no direct communication controls.</w:t>
      </w:r>
    </w:p>
    <w:p>
      <w:pPr>
        <w:pStyle w:val="ListBullet"/>
        <w:spacing w:after="80"/>
      </w:pPr>
      <w:r>
        <w:t>Confirm party removal does not delete the guest.</w:t>
      </w:r>
    </w:p>
    <w:p>
      <w:pPr>
        <w:pStyle w:val="ListBullet"/>
        <w:spacing w:after="80"/>
      </w:pPr>
      <w:r>
        <w:t>Confirm auditor is read-only and cross-event access is denied.</w:t>
      </w:r>
    </w:p>
    <w:p>
      <w:pPr>
        <w:pStyle w:val="ListBullet"/>
        <w:spacing w:after="80"/>
      </w:pPr>
      <w:r>
        <w:t>Confirm EOS-S05 surfaces are absent and no real communication occurs.</w:t>
      </w:r>
    </w:p>
    <w:p>
      <w:pPr>
        <w:pStyle w:val="Heading1"/>
      </w:pPr>
      <w:r>
        <w:t>16. Academy training delta — ACA-S04A</w:t>
      </w:r>
    </w:p>
    <w:p>
      <w:pPr>
        <w:pStyle w:val="Heading2"/>
      </w:pPr>
      <w:r>
        <w:t>16.1 Audience</w:t>
      </w:r>
    </w:p>
    <w:p>
      <w:r>
        <w:t>Event Directors, planners, guest-concierge staff, protocol staff, RSVP operators, data-intake operators and read-only auditors. Gate/security roles receive awareness only; operational credential training belongs to the future access slice.</w:t>
      </w:r>
    </w:p>
    <w:p>
      <w:pPr>
        <w:pStyle w:val="Heading2"/>
      </w:pPr>
      <w:r>
        <w:t>16.2 Learning outcomes</w:t>
      </w:r>
    </w:p>
    <w:p>
      <w:pPr>
        <w:pStyle w:val="ListBullet"/>
        <w:spacing w:after="80"/>
      </w:pPr>
      <w:r>
        <w:t>Capture formal address without inference.</w:t>
      </w:r>
    </w:p>
    <w:p>
      <w:pPr>
        <w:pStyle w:val="ListBullet"/>
        <w:spacing w:after="80"/>
      </w:pPr>
      <w:r>
        <w:t>Preserve cultural titles, spelling and diacritics.</w:t>
      </w:r>
    </w:p>
    <w:p>
      <w:pPr>
        <w:pStyle w:val="ListBullet"/>
        <w:spacing w:after="80"/>
      </w:pPr>
      <w:r>
        <w:t>Distinguish person, guest, party, household, relationship and entitlement.</w:t>
      </w:r>
    </w:p>
    <w:p>
      <w:pPr>
        <w:pStyle w:val="ListBullet"/>
        <w:spacing w:after="80"/>
      </w:pPr>
      <w:r>
        <w:t>Handle children through age bands and responsible-adult links.</w:t>
      </w:r>
    </w:p>
    <w:p>
      <w:pPr>
        <w:pStyle w:val="ListBullet"/>
        <w:spacing w:after="80"/>
      </w:pPr>
      <w:r>
        <w:t>Administer named and unnamed companions within invitation authority.</w:t>
      </w:r>
    </w:p>
    <w:p>
      <w:pPr>
        <w:pStyle w:val="ListBullet"/>
        <w:spacing w:after="80"/>
      </w:pPr>
      <w:r>
        <w:t>Apply dignity, privacy and minimum-necessary disclosure.</w:t>
      </w:r>
    </w:p>
    <w:p>
      <w:pPr>
        <w:pStyle w:val="ListBullet"/>
        <w:spacing w:after="80"/>
      </w:pPr>
      <w:r>
        <w:t>Resolve duplicates, replacements and exceptions through governed workflows.</w:t>
      </w:r>
    </w:p>
    <w:p>
      <w:pPr>
        <w:pStyle w:val="ListBullet"/>
        <w:spacing w:after="80"/>
      </w:pPr>
      <w:r>
        <w:t>Explain why a party code or household grouping never replaces individual identity.</w:t>
      </w:r>
    </w:p>
    <w:p>
      <w:pPr>
        <w:pStyle w:val="Heading2"/>
      </w:pPr>
      <w:r>
        <w:t>16.3 Assessment</w:t>
      </w: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376"/>
            <w:shd w:fill="E8EEF5"/>
            <w:tcMar>
              <w:top w:w="80" w:type="dxa"/>
              <w:start w:w="120" w:type="dxa"/>
              <w:bottom w:w="80" w:type="dxa"/>
              <w:end w:w="120" w:type="dxa"/>
            </w:tcMar>
            <w:vAlign w:val="center"/>
          </w:tcPr>
          <w:p>
            <w:r>
              <w:rPr>
                <w:b/>
                <w:color w:val="0B2545"/>
                <w:sz w:val="18"/>
              </w:rPr>
              <w:t>Component</w:t>
            </w:r>
          </w:p>
        </w:tc>
        <w:tc>
          <w:tcPr>
            <w:tcW w:type="dxa" w:w="6984"/>
            <w:shd w:fill="E8EEF5"/>
            <w:tcMar>
              <w:top w:w="80" w:type="dxa"/>
              <w:start w:w="120" w:type="dxa"/>
              <w:bottom w:w="80" w:type="dxa"/>
              <w:end w:w="120" w:type="dxa"/>
            </w:tcMar>
            <w:vAlign w:val="center"/>
          </w:tcPr>
          <w:p>
            <w:r>
              <w:rPr>
                <w:b/>
                <w:color w:val="0B2545"/>
                <w:sz w:val="18"/>
              </w:rPr>
              <w:t>Requirement</w:t>
            </w:r>
          </w:p>
        </w:tc>
      </w:tr>
      <w:tr>
        <w:trPr>
          <w:cantSplit/>
        </w:trPr>
        <w:tc>
          <w:tcPr>
            <w:tcW w:type="dxa" w:w="2376"/>
            <w:tcMar>
              <w:top w:w="80" w:type="dxa"/>
              <w:start w:w="120" w:type="dxa"/>
              <w:bottom w:w="80" w:type="dxa"/>
              <w:end w:w="120" w:type="dxa"/>
            </w:tcMar>
            <w:vAlign w:val="top"/>
          </w:tcPr>
          <w:p>
            <w:pPr>
              <w:spacing w:after="0"/>
            </w:pPr>
            <w:r>
              <w:rPr>
                <w:sz w:val="17"/>
              </w:rPr>
              <w:t>Knowledge check</w:t>
            </w:r>
          </w:p>
        </w:tc>
        <w:tc>
          <w:tcPr>
            <w:tcW w:type="dxa" w:w="6984"/>
            <w:tcMar>
              <w:top w:w="80" w:type="dxa"/>
              <w:start w:w="120" w:type="dxa"/>
              <w:bottom w:w="80" w:type="dxa"/>
              <w:end w:w="120" w:type="dxa"/>
            </w:tcMar>
            <w:vAlign w:val="top"/>
          </w:tcPr>
          <w:p>
            <w:pPr>
              <w:spacing w:after="0"/>
            </w:pPr>
            <w:r>
              <w:rPr>
                <w:sz w:val="17"/>
              </w:rPr>
              <w:t>Role-specific questions; pass ≥80%, distinction ≥90%.</w:t>
            </w:r>
          </w:p>
        </w:tc>
      </w:tr>
      <w:tr>
        <w:trPr>
          <w:cantSplit/>
        </w:trPr>
        <w:tc>
          <w:tcPr>
            <w:tcW w:type="dxa" w:w="2376"/>
            <w:tcMar>
              <w:top w:w="80" w:type="dxa"/>
              <w:start w:w="120" w:type="dxa"/>
              <w:bottom w:w="80" w:type="dxa"/>
              <w:end w:w="120" w:type="dxa"/>
            </w:tcMar>
            <w:vAlign w:val="top"/>
          </w:tcPr>
          <w:p>
            <w:pPr>
              <w:spacing w:after="0"/>
            </w:pPr>
            <w:r>
              <w:rPr>
                <w:sz w:val="17"/>
              </w:rPr>
              <w:t>Scenario simulation</w:t>
            </w:r>
          </w:p>
        </w:tc>
        <w:tc>
          <w:tcPr>
            <w:tcW w:type="dxa" w:w="6984"/>
            <w:tcMar>
              <w:top w:w="80" w:type="dxa"/>
              <w:start w:w="120" w:type="dxa"/>
              <w:bottom w:w="80" w:type="dxa"/>
              <w:end w:w="120" w:type="dxa"/>
            </w:tcMar>
            <w:vAlign w:val="top"/>
          </w:tcPr>
          <w:p>
            <w:pPr>
              <w:spacing w:after="0"/>
            </w:pPr>
            <w:r>
              <w:rPr>
                <w:sz w:val="17"/>
              </w:rPr>
              <w:t>Correctly intake a household, child, unnamed allowance and protocol title.</w:t>
            </w:r>
          </w:p>
        </w:tc>
      </w:tr>
      <w:tr>
        <w:trPr>
          <w:cantSplit/>
        </w:trPr>
        <w:tc>
          <w:tcPr>
            <w:tcW w:type="dxa" w:w="2376"/>
            <w:tcMar>
              <w:top w:w="80" w:type="dxa"/>
              <w:start w:w="120" w:type="dxa"/>
              <w:bottom w:w="80" w:type="dxa"/>
              <w:end w:w="120" w:type="dxa"/>
            </w:tcMar>
            <w:vAlign w:val="top"/>
          </w:tcPr>
          <w:p>
            <w:pPr>
              <w:spacing w:after="0"/>
            </w:pPr>
            <w:r>
              <w:rPr>
                <w:sz w:val="17"/>
              </w:rPr>
              <w:t>Boundary test</w:t>
            </w:r>
          </w:p>
        </w:tc>
        <w:tc>
          <w:tcPr>
            <w:tcW w:type="dxa" w:w="6984"/>
            <w:tcMar>
              <w:top w:w="80" w:type="dxa"/>
              <w:start w:w="120" w:type="dxa"/>
              <w:bottom w:w="80" w:type="dxa"/>
              <w:end w:w="120" w:type="dxa"/>
            </w:tcMar>
            <w:vAlign w:val="top"/>
          </w:tcPr>
          <w:p>
            <w:pPr>
              <w:spacing w:after="0"/>
            </w:pPr>
            <w:r>
              <w:rPr>
                <w:sz w:val="17"/>
              </w:rPr>
              <w:t>Reject inferred title/relationship and unauthorised entitlement expansion.</w:t>
            </w:r>
          </w:p>
        </w:tc>
      </w:tr>
      <w:tr>
        <w:trPr>
          <w:cantSplit/>
        </w:trPr>
        <w:tc>
          <w:tcPr>
            <w:tcW w:type="dxa" w:w="2376"/>
            <w:tcMar>
              <w:top w:w="80" w:type="dxa"/>
              <w:start w:w="120" w:type="dxa"/>
              <w:bottom w:w="80" w:type="dxa"/>
              <w:end w:w="120" w:type="dxa"/>
            </w:tcMar>
            <w:vAlign w:val="top"/>
          </w:tcPr>
          <w:p>
            <w:pPr>
              <w:spacing w:after="0"/>
            </w:pPr>
            <w:r>
              <w:rPr>
                <w:sz w:val="17"/>
              </w:rPr>
              <w:t>Practical evidence</w:t>
            </w:r>
          </w:p>
        </w:tc>
        <w:tc>
          <w:tcPr>
            <w:tcW w:type="dxa" w:w="6984"/>
            <w:tcMar>
              <w:top w:w="80" w:type="dxa"/>
              <w:start w:w="120" w:type="dxa"/>
              <w:bottom w:w="80" w:type="dxa"/>
              <w:end w:w="120" w:type="dxa"/>
            </w:tcMar>
            <w:vAlign w:val="top"/>
          </w:tcPr>
          <w:p>
            <w:pPr>
              <w:spacing w:after="0"/>
            </w:pPr>
            <w:r>
              <w:rPr>
                <w:sz w:val="17"/>
              </w:rPr>
              <w:t>Complete synthetic party workflow with clean audit trail.</w:t>
            </w:r>
          </w:p>
        </w:tc>
      </w:tr>
      <w:tr>
        <w:trPr>
          <w:cantSplit/>
        </w:trPr>
        <w:tc>
          <w:tcPr>
            <w:tcW w:type="dxa" w:w="2376"/>
            <w:tcMar>
              <w:top w:w="80" w:type="dxa"/>
              <w:start w:w="120" w:type="dxa"/>
              <w:bottom w:w="80" w:type="dxa"/>
              <w:end w:w="120" w:type="dxa"/>
            </w:tcMar>
            <w:vAlign w:val="top"/>
          </w:tcPr>
          <w:p>
            <w:pPr>
              <w:spacing w:after="0"/>
            </w:pPr>
            <w:r>
              <w:rPr>
                <w:sz w:val="17"/>
              </w:rPr>
              <w:t>Retake</w:t>
            </w:r>
          </w:p>
        </w:tc>
        <w:tc>
          <w:tcPr>
            <w:tcW w:type="dxa" w:w="6984"/>
            <w:tcMar>
              <w:top w:w="80" w:type="dxa"/>
              <w:start w:w="120" w:type="dxa"/>
              <w:bottom w:w="80" w:type="dxa"/>
              <w:end w:w="120" w:type="dxa"/>
            </w:tcMar>
            <w:vAlign w:val="top"/>
          </w:tcPr>
          <w:p>
            <w:pPr>
              <w:spacing w:after="0"/>
            </w:pPr>
            <w:r>
              <w:rPr>
                <w:sz w:val="17"/>
              </w:rPr>
              <w:t>Required below 80%; targeted remediation before retry.</w:t>
            </w:r>
          </w:p>
        </w:tc>
      </w:tr>
      <w:tr>
        <w:trPr>
          <w:cantSplit/>
        </w:trPr>
        <w:tc>
          <w:tcPr>
            <w:tcW w:type="dxa" w:w="2376"/>
            <w:tcMar>
              <w:top w:w="80" w:type="dxa"/>
              <w:start w:w="120" w:type="dxa"/>
              <w:bottom w:w="80" w:type="dxa"/>
              <w:end w:w="120" w:type="dxa"/>
            </w:tcMar>
            <w:vAlign w:val="top"/>
          </w:tcPr>
          <w:p>
            <w:pPr>
              <w:spacing w:after="0"/>
            </w:pPr>
            <w:r>
              <w:rPr>
                <w:sz w:val="17"/>
              </w:rPr>
              <w:t>Operational authorisation</w:t>
            </w:r>
          </w:p>
        </w:tc>
        <w:tc>
          <w:tcPr>
            <w:tcW w:type="dxa" w:w="6984"/>
            <w:tcMar>
              <w:top w:w="80" w:type="dxa"/>
              <w:start w:w="120" w:type="dxa"/>
              <w:bottom w:w="80" w:type="dxa"/>
              <w:end w:w="120" w:type="dxa"/>
            </w:tcMar>
            <w:vAlign w:val="top"/>
          </w:tcPr>
          <w:p>
            <w:pPr>
              <w:spacing w:after="0"/>
            </w:pPr>
            <w:r>
              <w:rPr>
                <w:sz w:val="17"/>
              </w:rPr>
              <w:t>Only roles requiring S04A mutation; event-specific briefing may still be required.</w:t>
            </w:r>
          </w:p>
        </w:tc>
      </w:tr>
    </w:tbl>
    <w:p>
      <w:pPr>
        <w:spacing w:after="20"/>
      </w:pPr>
    </w:p>
    <w:p>
      <w:pPr>
        <w:pStyle w:val="Heading1"/>
      </w:pPr>
      <w:r>
        <w:t>17. Cursor implementation prompt — issue only after CEO ratification</w:t>
      </w:r>
    </w:p>
    <w:tbl>
      <w:tblPr>
        <w:tblW w:type="dxa" w:w="9360"/>
        <w:jc w:val="left"/>
        <w:tblLayout w:type="fixed"/>
        <w:tblLook w:firstColumn="1" w:firstRow="1" w:lastColumn="0" w:lastRow="0" w:noHBand="0" w:noVBand="1" w:val="04A0"/>
      </w:tblPr>
      <w:tblGrid>
        <w:gridCol w:w="9360"/>
      </w:tblGrid>
      <w:tr>
        <w:trPr>
          <w:cantSplit/>
        </w:trPr>
        <w:tc>
          <w:tcPr>
            <w:tcW w:type="dxa" w:w="9360"/>
            <w:shd w:fill="F2F4F7"/>
            <w:tcMar>
              <w:top w:w="130" w:type="dxa"/>
              <w:start w:w="180" w:type="dxa"/>
              <w:bottom w:w="130" w:type="dxa"/>
              <w:end w:w="180" w:type="dxa"/>
            </w:tcMar>
          </w:tcPr>
          <w:p>
            <w:pPr>
              <w:spacing w:after="0"/>
            </w:pPr>
            <w:r>
              <w:rPr>
                <w:b/>
                <w:color w:val="0B2545"/>
              </w:rPr>
              <w:t xml:space="preserve">CONTROL  </w:t>
            </w:r>
            <w:r>
              <w:t>This prompt is included in the draft pack for approval. It must not be executed until the CEO explicitly authorises EOS-S04A implementation.</w:t>
            </w:r>
          </w:p>
        </w:tc>
      </w:tr>
    </w:tbl>
    <w:p>
      <w:pPr>
        <w:spacing w:after="20"/>
      </w:pPr>
    </w:p>
    <w:p>
      <w:r>
        <w:t>Implement EOS-S04A — Guest Addressing, Relationships &amp; Party Entitlements in kglaw-Oluseyi/atelier-doclar only. Start from the exact CEO-approved HEAD and stop if origin, branch, HEAD or worktree differs. Do not access any other repository or Railway project. Do not implement EOS-S05, access credentials, seating, merchandise, payments or FaceGate. Production remains unauthorised and all protected gates remain unsigned.</w:t>
      </w:r>
    </w:p>
    <w:p>
      <w:pPr>
        <w:pStyle w:val="Heading2"/>
      </w:pPr>
      <w:r>
        <w:t>Required delivery</w:t>
      </w:r>
    </w:p>
    <w:p>
      <w:pPr>
        <w:pStyle w:val="ListBullet"/>
        <w:spacing w:after="80"/>
      </w:pPr>
      <w:r>
        <w:t>Add canonical schemas, permissions, domain services, persistence and migration for addressing, parties, relationships, age bands, responsible-adult links and companion entitlements.</w:t>
      </w:r>
    </w:p>
    <w:p>
      <w:pPr>
        <w:pStyle w:val="ListBullet"/>
        <w:spacing w:after="80"/>
      </w:pPr>
      <w:r>
        <w:t>Preserve every existing guestId and eventId. Create no inferred titles, relationships, parties or guests.</w:t>
      </w:r>
    </w:p>
    <w:p>
      <w:pPr>
        <w:pStyle w:val="ListBullet"/>
        <w:spacing w:after="80"/>
      </w:pPr>
      <w:r>
        <w:t>Extend Event OS intake, directory, guest profile, RSVP and Communications integrations.</w:t>
      </w:r>
    </w:p>
    <w:p>
      <w:pPr>
        <w:pStyle w:val="ListBullet"/>
        <w:spacing w:after="80"/>
      </w:pPr>
      <w:r>
        <w:t>Keep EOS-S03 authoritative for invitation/entitlement count.</w:t>
      </w:r>
    </w:p>
    <w:p>
      <w:pPr>
        <w:pStyle w:val="ListBullet"/>
        <w:spacing w:after="80"/>
      </w:pPr>
      <w:r>
        <w:t>Add focused unit, permission, persistence, API, UI and Playwright E2E tests.</w:t>
      </w:r>
    </w:p>
    <w:p>
      <w:pPr>
        <w:pStyle w:val="ListBullet"/>
        <w:spacing w:after="80"/>
      </w:pPr>
      <w:r>
        <w:t>Add programme manifest/control documentation only after reconciliation approval.</w:t>
      </w:r>
    </w:p>
    <w:p>
      <w:pPr>
        <w:pStyle w:val="ListBullet"/>
        <w:spacing w:after="80"/>
      </w:pPr>
      <w:r>
        <w:t>Run typecheck, full tests, programme validation, Event OS production build and Event OS E2E.</w:t>
      </w:r>
    </w:p>
    <w:p>
      <w:pPr>
        <w:pStyle w:val="ListBullet"/>
        <w:spacing w:after="80"/>
      </w:pPr>
      <w:r>
        <w:t>Return evidence and stop before commit unless commit/push authority is explicitly included in the execution instruction.</w:t>
      </w:r>
    </w:p>
    <w:p>
      <w:pPr>
        <w:pStyle w:val="ListBullet"/>
        <w:spacing w:after="80"/>
      </w:pPr>
      <w:r>
        <w:t>Never deploy or change Railway unless separately authorised after independent review.</w:t>
      </w:r>
    </w:p>
    <w:p>
      <w:pPr>
        <w:pStyle w:val="Heading2"/>
      </w:pPr>
      <w:r>
        <w:t>Mandatory STOP conditions</w:t>
      </w:r>
    </w:p>
    <w:p>
      <w:pPr>
        <w:pStyle w:val="ListBullet"/>
        <w:spacing w:after="80"/>
      </w:pPr>
      <w:r>
        <w:t>Repository or baseline mismatch.</w:t>
      </w:r>
    </w:p>
    <w:p>
      <w:pPr>
        <w:pStyle w:val="ListBullet"/>
        <w:spacing w:after="80"/>
      </w:pPr>
      <w:r>
        <w:t>Dirty worktree not attributable to this task.</w:t>
      </w:r>
    </w:p>
    <w:p>
      <w:pPr>
        <w:pStyle w:val="ListBullet"/>
        <w:spacing w:after="80"/>
      </w:pPr>
      <w:r>
        <w:t>Migration would rewrite or merge existing guest identities.</w:t>
      </w:r>
    </w:p>
    <w:p>
      <w:pPr>
        <w:pStyle w:val="ListBullet"/>
        <w:spacing w:after="80"/>
      </w:pPr>
      <w:r>
        <w:t>Any requirement would infer title, relationship, age or entitlement.</w:t>
      </w:r>
    </w:p>
    <w:p>
      <w:pPr>
        <w:pStyle w:val="ListBullet"/>
        <w:spacing w:after="80"/>
      </w:pPr>
      <w:r>
        <w:t>EOS-S05 or excluded capability is required.</w:t>
      </w:r>
    </w:p>
    <w:p>
      <w:pPr>
        <w:pStyle w:val="ListBullet"/>
        <w:spacing w:after="80"/>
      </w:pPr>
      <w:r>
        <w:t>A test cannot run or productionAuthorised becomes true.</w:t>
      </w:r>
    </w:p>
    <w:p>
      <w:r>
        <w:br w:type="page"/>
      </w:r>
    </w:p>
    <w:p>
      <w:pPr>
        <w:pStyle w:val="Heading1"/>
      </w:pPr>
      <w:r>
        <w:t>18. Governance record and decisions required</w:t>
      </w:r>
    </w:p>
    <w:tbl>
      <w:tblPr>
        <w:tblW w:type="dxa" w:w="9360"/>
        <w:jc w:val="left"/>
        <w:tblLayout w:type="fixed"/>
        <w:tblLook w:firstColumn="1" w:firstRow="1" w:lastColumn="0" w:lastRow="0" w:noHBand="0" w:noVBand="1" w:val="04A0"/>
      </w:tblPr>
      <w:tblGrid>
        <w:gridCol w:w="9360"/>
      </w:tblGrid>
      <w:tr>
        <w:trPr>
          <w:cantSplit/>
        </w:trPr>
        <w:tc>
          <w:tcPr>
            <w:tcW w:type="dxa" w:w="9360"/>
            <w:shd w:fill="F2F4F7"/>
            <w:tcMar>
              <w:top w:w="130" w:type="dxa"/>
              <w:start w:w="180" w:type="dxa"/>
              <w:bottom w:w="130" w:type="dxa"/>
              <w:end w:w="180" w:type="dxa"/>
            </w:tcMar>
          </w:tcPr>
          <w:p>
            <w:pPr>
              <w:spacing w:after="0"/>
            </w:pPr>
            <w:r>
              <w:rPr>
                <w:b/>
                <w:color w:val="0B2545"/>
              </w:rPr>
              <w:t xml:space="preserve">RATIFICATION EFFECT  </w:t>
            </w:r>
            <w:r>
              <w:t>CEO approval of this pack authorises controlled repository reconciliation and prompt issuance for EOS-S04A only. It does not by itself authorise implementation, commit, push, deployment, production, EOS-S05 or any protected gate.</w:t>
            </w:r>
          </w:p>
        </w:tc>
      </w:tr>
    </w:tbl>
    <w:p>
      <w:pPr>
        <w:spacing w:after="20"/>
      </w:pPr>
    </w:p>
    <w:tbl>
      <w:tblPr>
        <w:tblStyle w:val="TableGrid"/>
        <w:tblW w:type="dxa" w:w="9360"/>
        <w:jc w:val="left"/>
        <w:tblLayout w:type="fixed"/>
        <w:tblLook w:firstColumn="1" w:firstRow="1" w:lastColumn="0" w:lastRow="0" w:noHBand="0" w:noVBand="1" w:val="04A0"/>
      </w:tblPr>
      <w:tblGrid>
        <w:gridCol w:w="4680"/>
        <w:gridCol w:w="4680"/>
      </w:tblGrid>
      <w:tr>
        <w:trPr>
          <w:cantSplit/>
        </w:trPr>
        <w:tc>
          <w:tcPr>
            <w:tcW w:type="dxa" w:w="2304"/>
            <w:shd w:fill="E8EEF5"/>
            <w:tcMar>
              <w:top w:w="80" w:type="dxa"/>
              <w:start w:w="120" w:type="dxa"/>
              <w:bottom w:w="80" w:type="dxa"/>
              <w:end w:w="120" w:type="dxa"/>
            </w:tcMar>
            <w:vAlign w:val="center"/>
          </w:tcPr>
          <w:p>
            <w:r>
              <w:rPr>
                <w:b/>
                <w:color w:val="0B2545"/>
                <w:sz w:val="18"/>
              </w:rPr>
              <w:t>Decision</w:t>
            </w:r>
          </w:p>
        </w:tc>
        <w:tc>
          <w:tcPr>
            <w:tcW w:type="dxa" w:w="7056"/>
            <w:shd w:fill="E8EEF5"/>
            <w:tcMar>
              <w:top w:w="80" w:type="dxa"/>
              <w:start w:w="120" w:type="dxa"/>
              <w:bottom w:w="80" w:type="dxa"/>
              <w:end w:w="120" w:type="dxa"/>
            </w:tcMar>
            <w:vAlign w:val="center"/>
          </w:tcPr>
          <w:p>
            <w:r>
              <w:rPr>
                <w:b/>
                <w:color w:val="0B2545"/>
                <w:sz w:val="18"/>
              </w:rPr>
              <w:t>Draft ruling</w:t>
            </w:r>
          </w:p>
        </w:tc>
      </w:tr>
      <w:tr>
        <w:trPr>
          <w:cantSplit/>
        </w:trPr>
        <w:tc>
          <w:tcPr>
            <w:tcW w:type="dxa" w:w="2304"/>
            <w:tcMar>
              <w:top w:w="80" w:type="dxa"/>
              <w:start w:w="120" w:type="dxa"/>
              <w:bottom w:w="80" w:type="dxa"/>
              <w:end w:w="120" w:type="dxa"/>
            </w:tcMar>
            <w:vAlign w:val="top"/>
          </w:tcPr>
          <w:p>
            <w:pPr>
              <w:spacing w:after="0"/>
            </w:pPr>
            <w:r>
              <w:rPr>
                <w:sz w:val="17"/>
              </w:rPr>
              <w:t>Slice insertion</w:t>
            </w:r>
          </w:p>
        </w:tc>
        <w:tc>
          <w:tcPr>
            <w:tcW w:type="dxa" w:w="7056"/>
            <w:tcMar>
              <w:top w:w="80" w:type="dxa"/>
              <w:start w:w="120" w:type="dxa"/>
              <w:bottom w:w="80" w:type="dxa"/>
              <w:end w:w="120" w:type="dxa"/>
            </w:tcMar>
            <w:vAlign w:val="top"/>
          </w:tcPr>
          <w:p>
            <w:pPr>
              <w:spacing w:after="0"/>
            </w:pPr>
            <w:r>
              <w:rPr>
                <w:sz w:val="17"/>
              </w:rPr>
              <w:t>EOS-S04A after EOS-S04, before EOS-S05.</w:t>
            </w:r>
          </w:p>
        </w:tc>
      </w:tr>
      <w:tr>
        <w:trPr>
          <w:cantSplit/>
        </w:trPr>
        <w:tc>
          <w:tcPr>
            <w:tcW w:type="dxa" w:w="2304"/>
            <w:tcMar>
              <w:top w:w="80" w:type="dxa"/>
              <w:start w:w="120" w:type="dxa"/>
              <w:bottom w:w="80" w:type="dxa"/>
              <w:end w:w="120" w:type="dxa"/>
            </w:tcMar>
            <w:vAlign w:val="top"/>
          </w:tcPr>
          <w:p>
            <w:pPr>
              <w:spacing w:after="0"/>
            </w:pPr>
            <w:r>
              <w:rPr>
                <w:sz w:val="17"/>
              </w:rPr>
              <w:t>Academy insertion</w:t>
            </w:r>
          </w:p>
        </w:tc>
        <w:tc>
          <w:tcPr>
            <w:tcW w:type="dxa" w:w="7056"/>
            <w:tcMar>
              <w:top w:w="80" w:type="dxa"/>
              <w:start w:w="120" w:type="dxa"/>
              <w:bottom w:w="80" w:type="dxa"/>
              <w:end w:w="120" w:type="dxa"/>
            </w:tcMar>
            <w:vAlign w:val="top"/>
          </w:tcPr>
          <w:p>
            <w:pPr>
              <w:spacing w:after="0"/>
            </w:pPr>
            <w:r>
              <w:rPr>
                <w:sz w:val="17"/>
              </w:rPr>
              <w:t>ACA-S04A aligned with EOS-S04A.</w:t>
            </w:r>
          </w:p>
        </w:tc>
      </w:tr>
      <w:tr>
        <w:trPr>
          <w:cantSplit/>
        </w:trPr>
        <w:tc>
          <w:tcPr>
            <w:tcW w:type="dxa" w:w="2304"/>
            <w:tcMar>
              <w:top w:w="80" w:type="dxa"/>
              <w:start w:w="120" w:type="dxa"/>
              <w:bottom w:w="80" w:type="dxa"/>
              <w:end w:w="120" w:type="dxa"/>
            </w:tcMar>
            <w:vAlign w:val="top"/>
          </w:tcPr>
          <w:p>
            <w:pPr>
              <w:spacing w:after="0"/>
            </w:pPr>
            <w:r>
              <w:rPr>
                <w:sz w:val="17"/>
              </w:rPr>
              <w:t>Child data</w:t>
            </w:r>
          </w:p>
        </w:tc>
        <w:tc>
          <w:tcPr>
            <w:tcW w:type="dxa" w:w="7056"/>
            <w:tcMar>
              <w:top w:w="80" w:type="dxa"/>
              <w:start w:w="120" w:type="dxa"/>
              <w:bottom w:w="80" w:type="dxa"/>
              <w:end w:w="120" w:type="dxa"/>
            </w:tcMar>
            <w:vAlign w:val="top"/>
          </w:tcPr>
          <w:p>
            <w:pPr>
              <w:spacing w:after="0"/>
            </w:pPr>
            <w:r>
              <w:rPr>
                <w:sz w:val="17"/>
              </w:rPr>
              <w:t>Age band by default; DOB excluded unless separately justified.</w:t>
            </w:r>
          </w:p>
        </w:tc>
      </w:tr>
      <w:tr>
        <w:trPr>
          <w:cantSplit/>
        </w:trPr>
        <w:tc>
          <w:tcPr>
            <w:tcW w:type="dxa" w:w="2304"/>
            <w:tcMar>
              <w:top w:w="80" w:type="dxa"/>
              <w:start w:w="120" w:type="dxa"/>
              <w:bottom w:w="80" w:type="dxa"/>
              <w:end w:w="120" w:type="dxa"/>
            </w:tcMar>
            <w:vAlign w:val="top"/>
          </w:tcPr>
          <w:p>
            <w:pPr>
              <w:spacing w:after="0"/>
            </w:pPr>
            <w:r>
              <w:rPr>
                <w:sz w:val="17"/>
              </w:rPr>
              <w:t>Identity</w:t>
            </w:r>
          </w:p>
        </w:tc>
        <w:tc>
          <w:tcPr>
            <w:tcW w:type="dxa" w:w="7056"/>
            <w:tcMar>
              <w:top w:w="80" w:type="dxa"/>
              <w:start w:w="120" w:type="dxa"/>
              <w:bottom w:w="80" w:type="dxa"/>
              <w:end w:w="120" w:type="dxa"/>
            </w:tcMar>
            <w:vAlign w:val="top"/>
          </w:tcPr>
          <w:p>
            <w:pPr>
              <w:spacing w:after="0"/>
            </w:pPr>
            <w:r>
              <w:rPr>
                <w:sz w:val="17"/>
              </w:rPr>
              <w:t>Independent guestId per represented person; eventId per occurrence.</w:t>
            </w:r>
          </w:p>
        </w:tc>
      </w:tr>
      <w:tr>
        <w:trPr>
          <w:cantSplit/>
        </w:trPr>
        <w:tc>
          <w:tcPr>
            <w:tcW w:type="dxa" w:w="2304"/>
            <w:tcMar>
              <w:top w:w="80" w:type="dxa"/>
              <w:start w:w="120" w:type="dxa"/>
              <w:bottom w:w="80" w:type="dxa"/>
              <w:end w:w="120" w:type="dxa"/>
            </w:tcMar>
            <w:vAlign w:val="top"/>
          </w:tcPr>
          <w:p>
            <w:pPr>
              <w:spacing w:after="0"/>
            </w:pPr>
            <w:r>
              <w:rPr>
                <w:sz w:val="17"/>
              </w:rPr>
              <w:t>Authority</w:t>
            </w:r>
          </w:p>
        </w:tc>
        <w:tc>
          <w:tcPr>
            <w:tcW w:type="dxa" w:w="7056"/>
            <w:tcMar>
              <w:top w:w="80" w:type="dxa"/>
              <w:start w:w="120" w:type="dxa"/>
              <w:bottom w:w="80" w:type="dxa"/>
              <w:end w:w="120" w:type="dxa"/>
            </w:tcMar>
            <w:vAlign w:val="top"/>
          </w:tcPr>
          <w:p>
            <w:pPr>
              <w:spacing w:after="0"/>
            </w:pPr>
            <w:r>
              <w:rPr>
                <w:sz w:val="17"/>
              </w:rPr>
              <w:t>EOS-S03 retains invitation and entitlement authority.</w:t>
            </w:r>
          </w:p>
        </w:tc>
      </w:tr>
      <w:tr>
        <w:trPr>
          <w:cantSplit/>
        </w:trPr>
        <w:tc>
          <w:tcPr>
            <w:tcW w:type="dxa" w:w="2304"/>
            <w:tcMar>
              <w:top w:w="80" w:type="dxa"/>
              <w:start w:w="120" w:type="dxa"/>
              <w:bottom w:w="80" w:type="dxa"/>
              <w:end w:w="120" w:type="dxa"/>
            </w:tcMar>
            <w:vAlign w:val="top"/>
          </w:tcPr>
          <w:p>
            <w:pPr>
              <w:spacing w:after="0"/>
            </w:pPr>
            <w:r>
              <w:rPr>
                <w:sz w:val="17"/>
              </w:rPr>
              <w:t>Implementation</w:t>
            </w:r>
          </w:p>
        </w:tc>
        <w:tc>
          <w:tcPr>
            <w:tcW w:type="dxa" w:w="7056"/>
            <w:tcMar>
              <w:top w:w="80" w:type="dxa"/>
              <w:start w:w="120" w:type="dxa"/>
              <w:bottom w:w="80" w:type="dxa"/>
              <w:end w:w="120" w:type="dxa"/>
            </w:tcMar>
            <w:vAlign w:val="top"/>
          </w:tcPr>
          <w:p>
            <w:pPr>
              <w:spacing w:after="0"/>
            </w:pPr>
            <w:r>
              <w:rPr>
                <w:sz w:val="17"/>
              </w:rPr>
              <w:t>Not authorised by this draft.</w:t>
            </w:r>
          </w:p>
        </w:tc>
      </w:tr>
      <w:tr>
        <w:trPr>
          <w:cantSplit/>
        </w:trPr>
        <w:tc>
          <w:tcPr>
            <w:tcW w:type="dxa" w:w="2304"/>
            <w:tcMar>
              <w:top w:w="80" w:type="dxa"/>
              <w:start w:w="120" w:type="dxa"/>
              <w:bottom w:w="80" w:type="dxa"/>
              <w:end w:w="120" w:type="dxa"/>
            </w:tcMar>
            <w:vAlign w:val="top"/>
          </w:tcPr>
          <w:p>
            <w:pPr>
              <w:spacing w:after="0"/>
            </w:pPr>
            <w:r>
              <w:rPr>
                <w:sz w:val="17"/>
              </w:rPr>
              <w:t>Deployment</w:t>
            </w:r>
          </w:p>
        </w:tc>
        <w:tc>
          <w:tcPr>
            <w:tcW w:type="dxa" w:w="7056"/>
            <w:tcMar>
              <w:top w:w="80" w:type="dxa"/>
              <w:start w:w="120" w:type="dxa"/>
              <w:bottom w:w="80" w:type="dxa"/>
              <w:end w:w="120" w:type="dxa"/>
            </w:tcMar>
            <w:vAlign w:val="top"/>
          </w:tcPr>
          <w:p>
            <w:pPr>
              <w:spacing w:after="0"/>
            </w:pPr>
            <w:r>
              <w:rPr>
                <w:sz w:val="17"/>
              </w:rPr>
              <w:t>Not authorised by this draft.</w:t>
            </w:r>
          </w:p>
        </w:tc>
      </w:tr>
      <w:tr>
        <w:trPr>
          <w:cantSplit/>
        </w:trPr>
        <w:tc>
          <w:tcPr>
            <w:tcW w:type="dxa" w:w="2304"/>
            <w:tcMar>
              <w:top w:w="80" w:type="dxa"/>
              <w:start w:w="120" w:type="dxa"/>
              <w:bottom w:w="80" w:type="dxa"/>
              <w:end w:w="120" w:type="dxa"/>
            </w:tcMar>
            <w:vAlign w:val="top"/>
          </w:tcPr>
          <w:p>
            <w:pPr>
              <w:spacing w:after="0"/>
            </w:pPr>
            <w:r>
              <w:rPr>
                <w:sz w:val="17"/>
              </w:rPr>
              <w:t>Production</w:t>
            </w:r>
          </w:p>
        </w:tc>
        <w:tc>
          <w:tcPr>
            <w:tcW w:type="dxa" w:w="7056"/>
            <w:tcMar>
              <w:top w:w="80" w:type="dxa"/>
              <w:start w:w="120" w:type="dxa"/>
              <w:bottom w:w="80" w:type="dxa"/>
              <w:end w:w="120" w:type="dxa"/>
            </w:tcMar>
            <w:vAlign w:val="top"/>
          </w:tcPr>
          <w:p>
            <w:pPr>
              <w:spacing w:after="0"/>
            </w:pPr>
            <w:r>
              <w:rPr>
                <w:sz w:val="17"/>
              </w:rPr>
              <w:t>Unauthorised; protected gates unsigned.</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626C"/>
        <w:sz w:val="16"/>
      </w:rPr>
      <w:t>MAISON DOCLAR  |  EVENT OS CONTROLLED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22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A626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EOS-S04A Controlled Slice Pack v1.0 Draft</dc:title>
  <dc:subject>Guest Addressing, Relationships &amp; Party Entitlements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