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B79F85"/>
          <w:sz w:val="24"/>
        </w:rPr>
        <w:t>MAISON DOCLAR</w:t>
      </w:r>
    </w:p>
    <w:p>
      <w:pPr>
        <w:pStyle w:val="Title"/>
        <w:jc w:val="center"/>
      </w:pPr>
      <w:r>
        <w:rPr>
          <w:b/>
        </w:rPr>
        <w:t>EOS-S04B</w:t>
      </w:r>
    </w:p>
    <w:p>
      <w:pPr>
        <w:pStyle w:val="Subtitle"/>
        <w:jc w:val="center"/>
      </w:pPr>
      <w:r>
        <w:t>Multi-Phase Events, Arrival Routing &amp; Perimeter Access</w:t>
      </w:r>
    </w:p>
    <w:p>
      <w:pPr>
        <w:jc w:val="center"/>
      </w:pPr>
      <w:r>
        <w:rPr>
          <w:b/>
          <w:color w:val="5A626C"/>
          <w:sz w:val="20"/>
        </w:rPr>
        <w:t>CONTROLLED SLICE PACK · VERSION 1.0 DRAFT</w:t>
      </w:r>
    </w:p>
    <w:p>
      <w:pPr>
        <w:spacing w:after="840"/>
      </w:pP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Control</w:t>
            </w:r>
          </w:p>
        </w:tc>
        <w:tc>
          <w:tcPr>
            <w:tcW w:type="dxa" w:w="7128"/>
            <w:shd w:fill="E8EEF5"/>
            <w:tcMar>
              <w:top w:w="80" w:type="dxa"/>
              <w:start w:w="120" w:type="dxa"/>
              <w:bottom w:w="80" w:type="dxa"/>
              <w:end w:w="120" w:type="dxa"/>
            </w:tcMar>
            <w:vAlign w:val="center"/>
          </w:tcPr>
          <w:p>
            <w:r>
              <w:rPr>
                <w:b/>
                <w:color w:val="0B2545"/>
                <w:sz w:val="18"/>
              </w:rPr>
              <w:t>Value</w:t>
            </w:r>
          </w:p>
        </w:tc>
      </w:tr>
      <w:tr>
        <w:trPr>
          <w:cantSplit/>
        </w:trPr>
        <w:tc>
          <w:tcPr>
            <w:tcW w:type="dxa" w:w="2232"/>
            <w:tcMar>
              <w:top w:w="80" w:type="dxa"/>
              <w:start w:w="120" w:type="dxa"/>
              <w:bottom w:w="80" w:type="dxa"/>
              <w:end w:w="120" w:type="dxa"/>
            </w:tcMar>
            <w:vAlign w:val="top"/>
          </w:tcPr>
          <w:p>
            <w:pPr>
              <w:spacing w:after="0"/>
            </w:pPr>
            <w:r>
              <w:rPr>
                <w:sz w:val="17"/>
              </w:rPr>
              <w:t>Product</w:t>
            </w:r>
          </w:p>
        </w:tc>
        <w:tc>
          <w:tcPr>
            <w:tcW w:type="dxa" w:w="7128"/>
            <w:tcMar>
              <w:top w:w="80" w:type="dxa"/>
              <w:start w:w="120" w:type="dxa"/>
              <w:bottom w:w="80" w:type="dxa"/>
              <w:end w:w="120" w:type="dxa"/>
            </w:tcMar>
            <w:vAlign w:val="top"/>
          </w:tcPr>
          <w:p>
            <w:pPr>
              <w:spacing w:after="0"/>
            </w:pPr>
            <w:r>
              <w:rPr>
                <w:sz w:val="17"/>
              </w:rPr>
              <w:t>Maison Doclar Event OS</w:t>
            </w:r>
          </w:p>
        </w:tc>
      </w:tr>
      <w:tr>
        <w:trPr>
          <w:cantSplit/>
        </w:trPr>
        <w:tc>
          <w:tcPr>
            <w:tcW w:type="dxa" w:w="2232"/>
            <w:tcMar>
              <w:top w:w="80" w:type="dxa"/>
              <w:start w:w="120" w:type="dxa"/>
              <w:bottom w:w="80" w:type="dxa"/>
              <w:end w:w="120" w:type="dxa"/>
            </w:tcMar>
            <w:vAlign w:val="top"/>
          </w:tcPr>
          <w:p>
            <w:pPr>
              <w:spacing w:after="0"/>
            </w:pPr>
            <w:r>
              <w:rPr>
                <w:sz w:val="17"/>
              </w:rPr>
              <w:t>Proposed slice</w:t>
            </w:r>
          </w:p>
        </w:tc>
        <w:tc>
          <w:tcPr>
            <w:tcW w:type="dxa" w:w="7128"/>
            <w:tcMar>
              <w:top w:w="80" w:type="dxa"/>
              <w:start w:w="120" w:type="dxa"/>
              <w:bottom w:w="80" w:type="dxa"/>
              <w:end w:w="120" w:type="dxa"/>
            </w:tcMar>
            <w:vAlign w:val="top"/>
          </w:tcPr>
          <w:p>
            <w:pPr>
              <w:spacing w:after="0"/>
            </w:pPr>
            <w:r>
              <w:rPr>
                <w:sz w:val="17"/>
              </w:rPr>
              <w:t>EOS-S04B — after EOS-S04A and before EOS-S05</w:t>
            </w:r>
          </w:p>
        </w:tc>
      </w:tr>
      <w:tr>
        <w:trPr>
          <w:cantSplit/>
        </w:trPr>
        <w:tc>
          <w:tcPr>
            <w:tcW w:type="dxa" w:w="2232"/>
            <w:tcMar>
              <w:top w:w="80" w:type="dxa"/>
              <w:start w:w="120" w:type="dxa"/>
              <w:bottom w:w="80" w:type="dxa"/>
              <w:end w:w="120" w:type="dxa"/>
            </w:tcMar>
            <w:vAlign w:val="top"/>
          </w:tcPr>
          <w:p>
            <w:pPr>
              <w:spacing w:after="0"/>
            </w:pPr>
            <w:r>
              <w:rPr>
                <w:sz w:val="17"/>
              </w:rPr>
              <w:t>Status</w:t>
            </w:r>
          </w:p>
        </w:tc>
        <w:tc>
          <w:tcPr>
            <w:tcW w:type="dxa" w:w="7128"/>
            <w:tcMar>
              <w:top w:w="80" w:type="dxa"/>
              <w:start w:w="120" w:type="dxa"/>
              <w:bottom w:w="80" w:type="dxa"/>
              <w:end w:w="120" w:type="dxa"/>
            </w:tcMar>
            <w:vAlign w:val="top"/>
          </w:tcPr>
          <w:p>
            <w:pPr>
              <w:spacing w:after="0"/>
            </w:pPr>
            <w:r>
              <w:rPr>
                <w:sz w:val="17"/>
              </w:rPr>
              <w:t>DRAFT FOR CEO RATIFICATION — implementation not authorised</w:t>
            </w:r>
          </w:p>
        </w:tc>
      </w:tr>
      <w:tr>
        <w:trPr>
          <w:cantSplit/>
        </w:trPr>
        <w:tc>
          <w:tcPr>
            <w:tcW w:type="dxa" w:w="2232"/>
            <w:tcMar>
              <w:top w:w="80" w:type="dxa"/>
              <w:start w:w="120" w:type="dxa"/>
              <w:bottom w:w="80" w:type="dxa"/>
              <w:end w:w="120" w:type="dxa"/>
            </w:tcMar>
            <w:vAlign w:val="top"/>
          </w:tcPr>
          <w:p>
            <w:pPr>
              <w:spacing w:after="0"/>
            </w:pPr>
            <w:r>
              <w:rPr>
                <w:sz w:val="17"/>
              </w:rPr>
              <w:t>Repository boundary</w:t>
            </w:r>
          </w:p>
        </w:tc>
        <w:tc>
          <w:tcPr>
            <w:tcW w:type="dxa" w:w="7128"/>
            <w:tcMar>
              <w:top w:w="80" w:type="dxa"/>
              <w:start w:w="120" w:type="dxa"/>
              <w:bottom w:w="80" w:type="dxa"/>
              <w:end w:w="120" w:type="dxa"/>
            </w:tcMar>
            <w:vAlign w:val="top"/>
          </w:tcPr>
          <w:p>
            <w:pPr>
              <w:spacing w:after="0"/>
            </w:pPr>
            <w:r>
              <w:rPr>
                <w:sz w:val="17"/>
              </w:rPr>
              <w:t>kglaw-Oluseyi/atelier-doclar only</w:t>
            </w:r>
          </w:p>
        </w:tc>
      </w:tr>
      <w:tr>
        <w:trPr>
          <w:cantSplit/>
        </w:trPr>
        <w:tc>
          <w:tcPr>
            <w:tcW w:type="dxa" w:w="2232"/>
            <w:tcMar>
              <w:top w:w="80" w:type="dxa"/>
              <w:start w:w="120" w:type="dxa"/>
              <w:bottom w:w="80" w:type="dxa"/>
              <w:end w:w="120" w:type="dxa"/>
            </w:tcMar>
            <w:vAlign w:val="top"/>
          </w:tcPr>
          <w:p>
            <w:pPr>
              <w:spacing w:after="0"/>
            </w:pPr>
            <w:r>
              <w:rPr>
                <w:sz w:val="17"/>
              </w:rPr>
              <w:t>Railway boundary</w:t>
            </w:r>
          </w:p>
        </w:tc>
        <w:tc>
          <w:tcPr>
            <w:tcW w:type="dxa" w:w="7128"/>
            <w:tcMar>
              <w:top w:w="80" w:type="dxa"/>
              <w:start w:w="120" w:type="dxa"/>
              <w:bottom w:w="80" w:type="dxa"/>
              <w:end w:w="120" w:type="dxa"/>
            </w:tcMar>
            <w:vAlign w:val="top"/>
          </w:tcPr>
          <w:p>
            <w:pPr>
              <w:spacing w:after="0"/>
            </w:pPr>
            <w:r>
              <w:rPr>
                <w:sz w:val="17"/>
              </w:rPr>
              <w:t>atelier-doclar only; no deployment authorised</w:t>
            </w:r>
          </w:p>
        </w:tc>
      </w:tr>
      <w:tr>
        <w:trPr>
          <w:cantSplit/>
        </w:trPr>
        <w:tc>
          <w:tcPr>
            <w:tcW w:type="dxa" w:w="2232"/>
            <w:tcMar>
              <w:top w:w="80" w:type="dxa"/>
              <w:start w:w="120" w:type="dxa"/>
              <w:bottom w:w="80" w:type="dxa"/>
              <w:end w:w="120" w:type="dxa"/>
            </w:tcMar>
            <w:vAlign w:val="top"/>
          </w:tcPr>
          <w:p>
            <w:pPr>
              <w:spacing w:after="0"/>
            </w:pPr>
            <w:r>
              <w:rPr>
                <w:sz w:val="17"/>
              </w:rPr>
              <w:t>Production</w:t>
            </w:r>
          </w:p>
        </w:tc>
        <w:tc>
          <w:tcPr>
            <w:tcW w:type="dxa" w:w="7128"/>
            <w:tcMar>
              <w:top w:w="80" w:type="dxa"/>
              <w:start w:w="120" w:type="dxa"/>
              <w:bottom w:w="80" w:type="dxa"/>
              <w:end w:w="120" w:type="dxa"/>
            </w:tcMar>
            <w:vAlign w:val="top"/>
          </w:tcPr>
          <w:p>
            <w:pPr>
              <w:spacing w:after="0"/>
            </w:pPr>
            <w:r>
              <w:rPr>
                <w:sz w:val="17"/>
              </w:rPr>
              <w:t>Unauthorised; protected gates remain unsigned</w:t>
            </w:r>
          </w:p>
        </w:tc>
      </w:tr>
      <w:tr>
        <w:trPr>
          <w:cantSplit/>
        </w:trPr>
        <w:tc>
          <w:tcPr>
            <w:tcW w:type="dxa" w:w="2232"/>
            <w:tcMar>
              <w:top w:w="80" w:type="dxa"/>
              <w:start w:w="120" w:type="dxa"/>
              <w:bottom w:w="80" w:type="dxa"/>
              <w:end w:w="120" w:type="dxa"/>
            </w:tcMar>
            <w:vAlign w:val="top"/>
          </w:tcPr>
          <w:p>
            <w:pPr>
              <w:spacing w:after="0"/>
            </w:pPr>
            <w:r>
              <w:rPr>
                <w:sz w:val="17"/>
              </w:rPr>
              <w:t>Prepared</w:t>
            </w:r>
          </w:p>
        </w:tc>
        <w:tc>
          <w:tcPr>
            <w:tcW w:type="dxa" w:w="7128"/>
            <w:tcMar>
              <w:top w:w="80" w:type="dxa"/>
              <w:start w:w="120" w:type="dxa"/>
              <w:bottom w:w="80" w:type="dxa"/>
              <w:end w:w="120" w:type="dxa"/>
            </w:tcMar>
            <w:vAlign w:val="top"/>
          </w:tcPr>
          <w:p>
            <w:pPr>
              <w:spacing w:after="0"/>
            </w:pPr>
            <w:r>
              <w:rPr>
                <w:sz w:val="17"/>
              </w:rPr>
              <w:t>6 September 2026</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E8EEF5"/>
            <w:tcMar>
              <w:top w:w="130" w:type="dxa"/>
              <w:start w:w="180" w:type="dxa"/>
              <w:bottom w:w="130" w:type="dxa"/>
              <w:end w:w="180" w:type="dxa"/>
            </w:tcMar>
          </w:tcPr>
          <w:p>
            <w:pPr>
              <w:spacing w:after="0"/>
            </w:pPr>
            <w:r>
              <w:rPr>
                <w:b/>
                <w:color w:val="0B2545"/>
              </w:rPr>
              <w:t xml:space="preserve">CEO DIRECTION  </w:t>
            </w:r>
            <w:r>
              <w:t>Support the normal one-day, single-phase event without extra operator burden, while fully supporting same-day multi-phase and multi-day programmes. Extend the accepted Event Day Runtime; do not create a parallel check-in or attendance system.</w:t>
            </w:r>
          </w:p>
        </w:tc>
      </w:tr>
    </w:tbl>
    <w:p>
      <w:pPr>
        <w:spacing w:after="20"/>
      </w:pPr>
    </w:p>
    <w:p>
      <w:r>
        <w:br w:type="page"/>
      </w:r>
    </w:p>
    <w:p>
      <w:pPr>
        <w:pStyle w:val="Heading1"/>
      </w:pPr>
      <w:r>
        <w:t>1. Executive decision</w:t>
      </w:r>
    </w:p>
    <w:p>
      <w:r>
        <w:t>EOS-S04B supplies the planning and access-control layer needed to describe ceremonies, days, locations, arrival routes, checkpoints, people, vehicles and credentials. It covers a church service followed by a reception on the same day, registry and reception at different locations, and celebrations spanning several days. The majority case remains a single phase on one day and is created automatically as the event default.</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RECOMMENDATION  </w:t>
            </w:r>
            <w:r>
              <w:t>Insert EOS-S04B after EOS-S04A and before EOS-S05. Treat multi-phase modelling as foundational to perimeter access so that estate gates, car parks, venue entrances and fast-track routes consume one coherent entitlement model.</w:t>
            </w:r>
          </w:p>
        </w:tc>
      </w:tr>
    </w:tbl>
    <w:p>
      <w:pPr>
        <w:spacing w:after="20"/>
      </w:pPr>
    </w:p>
    <w:p>
      <w:pPr>
        <w:pStyle w:val="Heading2"/>
      </w:pPr>
      <w:r>
        <w:t>1.1 Three supported patterns</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r>
              <w:rPr>
                <w:b/>
                <w:color w:val="0B2545"/>
                <w:sz w:val="18"/>
              </w:rPr>
              <w:t>Pattern</w:t>
            </w:r>
          </w:p>
        </w:tc>
        <w:tc>
          <w:tcPr>
            <w:tcW w:type="dxa" w:w="3096"/>
            <w:shd w:fill="E8EEF5"/>
            <w:tcMar>
              <w:top w:w="80" w:type="dxa"/>
              <w:start w:w="120" w:type="dxa"/>
              <w:bottom w:w="80" w:type="dxa"/>
              <w:end w:w="120" w:type="dxa"/>
            </w:tcMar>
            <w:vAlign w:val="center"/>
          </w:tcPr>
          <w:p>
            <w:r>
              <w:rPr>
                <w:b/>
                <w:color w:val="0B2545"/>
                <w:sz w:val="18"/>
              </w:rPr>
              <w:t>Example</w:t>
            </w:r>
          </w:p>
        </w:tc>
        <w:tc>
          <w:tcPr>
            <w:tcW w:type="dxa" w:w="4176"/>
            <w:shd w:fill="E8EEF5"/>
            <w:tcMar>
              <w:top w:w="80" w:type="dxa"/>
              <w:start w:w="120" w:type="dxa"/>
              <w:bottom w:w="80" w:type="dxa"/>
              <w:end w:w="120" w:type="dxa"/>
            </w:tcMar>
            <w:vAlign w:val="center"/>
          </w:tcPr>
          <w:p>
            <w:r>
              <w:rPr>
                <w:b/>
                <w:color w:val="0B2545"/>
                <w:sz w:val="18"/>
              </w:rPr>
              <w:t>Required behaviour</w:t>
            </w:r>
          </w:p>
        </w:tc>
      </w:tr>
      <w:tr>
        <w:trPr>
          <w:cantSplit/>
        </w:trPr>
        <w:tc>
          <w:tcPr>
            <w:tcW w:type="dxa" w:w="2088"/>
            <w:tcMar>
              <w:top w:w="80" w:type="dxa"/>
              <w:start w:w="120" w:type="dxa"/>
              <w:bottom w:w="80" w:type="dxa"/>
              <w:end w:w="120" w:type="dxa"/>
            </w:tcMar>
            <w:vAlign w:val="top"/>
          </w:tcPr>
          <w:p>
            <w:pPr>
              <w:spacing w:after="0"/>
            </w:pPr>
            <w:r>
              <w:rPr>
                <w:sz w:val="17"/>
              </w:rPr>
              <w:t>Single phase / one day</w:t>
            </w:r>
          </w:p>
        </w:tc>
        <w:tc>
          <w:tcPr>
            <w:tcW w:type="dxa" w:w="3096"/>
            <w:tcMar>
              <w:top w:w="80" w:type="dxa"/>
              <w:start w:w="120" w:type="dxa"/>
              <w:bottom w:w="80" w:type="dxa"/>
              <w:end w:w="120" w:type="dxa"/>
            </w:tcMar>
            <w:vAlign w:val="top"/>
          </w:tcPr>
          <w:p>
            <w:pPr>
              <w:spacing w:after="0"/>
            </w:pPr>
            <w:r>
              <w:rPr>
                <w:sz w:val="17"/>
              </w:rPr>
              <w:t>Reception at one venue</w:t>
            </w:r>
          </w:p>
        </w:tc>
        <w:tc>
          <w:tcPr>
            <w:tcW w:type="dxa" w:w="4176"/>
            <w:tcMar>
              <w:top w:w="80" w:type="dxa"/>
              <w:start w:w="120" w:type="dxa"/>
              <w:bottom w:w="80" w:type="dxa"/>
              <w:end w:w="120" w:type="dxa"/>
            </w:tcMar>
            <w:vAlign w:val="top"/>
          </w:tcPr>
          <w:p>
            <w:pPr>
              <w:spacing w:after="0"/>
            </w:pPr>
            <w:r>
              <w:rPr>
                <w:sz w:val="17"/>
              </w:rPr>
              <w:t>One default phase; standard workflow hides unnecessary hierarchy.</w:t>
            </w:r>
          </w:p>
        </w:tc>
      </w:tr>
      <w:tr>
        <w:trPr>
          <w:cantSplit/>
        </w:trPr>
        <w:tc>
          <w:tcPr>
            <w:tcW w:type="dxa" w:w="2088"/>
            <w:tcMar>
              <w:top w:w="80" w:type="dxa"/>
              <w:start w:w="120" w:type="dxa"/>
              <w:bottom w:w="80" w:type="dxa"/>
              <w:end w:w="120" w:type="dxa"/>
            </w:tcMar>
            <w:vAlign w:val="top"/>
          </w:tcPr>
          <w:p>
            <w:pPr>
              <w:spacing w:after="0"/>
            </w:pPr>
            <w:r>
              <w:rPr>
                <w:sz w:val="17"/>
              </w:rPr>
              <w:t>Multiple phases / one day</w:t>
            </w:r>
          </w:p>
        </w:tc>
        <w:tc>
          <w:tcPr>
            <w:tcW w:type="dxa" w:w="3096"/>
            <w:tcMar>
              <w:top w:w="80" w:type="dxa"/>
              <w:start w:w="120" w:type="dxa"/>
              <w:bottom w:w="80" w:type="dxa"/>
              <w:end w:w="120" w:type="dxa"/>
            </w:tcMar>
            <w:vAlign w:val="top"/>
          </w:tcPr>
          <w:p>
            <w:pPr>
              <w:spacing w:after="0"/>
            </w:pPr>
            <w:r>
              <w:rPr>
                <w:sz w:val="17"/>
              </w:rPr>
              <w:t>Church, reception, after-party</w:t>
            </w:r>
          </w:p>
        </w:tc>
        <w:tc>
          <w:tcPr>
            <w:tcW w:type="dxa" w:w="4176"/>
            <w:tcMar>
              <w:top w:w="80" w:type="dxa"/>
              <w:start w:w="120" w:type="dxa"/>
              <w:bottom w:w="80" w:type="dxa"/>
              <w:end w:w="120" w:type="dxa"/>
            </w:tcMar>
            <w:vAlign w:val="top"/>
          </w:tcPr>
          <w:p>
            <w:pPr>
              <w:spacing w:after="0"/>
            </w:pPr>
            <w:r>
              <w:rPr>
                <w:sz w:val="17"/>
              </w:rPr>
              <w:t>Independent phase times, venues, audiences, routes and capacity; shared overall programme.</w:t>
            </w:r>
          </w:p>
        </w:tc>
      </w:tr>
      <w:tr>
        <w:trPr>
          <w:cantSplit/>
        </w:trPr>
        <w:tc>
          <w:tcPr>
            <w:tcW w:type="dxa" w:w="2088"/>
            <w:tcMar>
              <w:top w:w="80" w:type="dxa"/>
              <w:start w:w="120" w:type="dxa"/>
              <w:bottom w:w="80" w:type="dxa"/>
              <w:end w:w="120" w:type="dxa"/>
            </w:tcMar>
            <w:vAlign w:val="top"/>
          </w:tcPr>
          <w:p>
            <w:pPr>
              <w:spacing w:after="0"/>
            </w:pPr>
            <w:r>
              <w:rPr>
                <w:sz w:val="17"/>
              </w:rPr>
              <w:t>Multiple phases / multiple days</w:t>
            </w:r>
          </w:p>
        </w:tc>
        <w:tc>
          <w:tcPr>
            <w:tcW w:type="dxa" w:w="3096"/>
            <w:tcMar>
              <w:top w:w="80" w:type="dxa"/>
              <w:start w:w="120" w:type="dxa"/>
              <w:bottom w:w="80" w:type="dxa"/>
              <w:end w:w="120" w:type="dxa"/>
            </w:tcMar>
            <w:vAlign w:val="top"/>
          </w:tcPr>
          <w:p>
            <w:pPr>
              <w:spacing w:after="0"/>
            </w:pPr>
            <w:r>
              <w:rPr>
                <w:sz w:val="17"/>
              </w:rPr>
              <w:t>Registry Thursday, traditional Friday, church/reception Saturday, brunch Sunday</w:t>
            </w:r>
          </w:p>
        </w:tc>
        <w:tc>
          <w:tcPr>
            <w:tcW w:type="dxa" w:w="4176"/>
            <w:tcMar>
              <w:top w:w="80" w:type="dxa"/>
              <w:start w:w="120" w:type="dxa"/>
              <w:bottom w:w="80" w:type="dxa"/>
              <w:end w:w="120" w:type="dxa"/>
            </w:tcMar>
            <w:vAlign w:val="top"/>
          </w:tcPr>
          <w:p>
            <w:pPr>
              <w:spacing w:after="0"/>
            </w:pPr>
            <w:r>
              <w:rPr>
                <w:sz w:val="17"/>
              </w:rPr>
              <w:t>Independent phase days and operating windows under one event programme or event series.</w:t>
            </w:r>
          </w:p>
        </w:tc>
      </w:tr>
    </w:tbl>
    <w:p>
      <w:pPr>
        <w:spacing w:after="20"/>
      </w:pPr>
    </w:p>
    <w:p>
      <w:pPr>
        <w:pStyle w:val="Heading2"/>
      </w:pPr>
      <w:r>
        <w:t>1.2 Naming clarification</w:t>
      </w:r>
    </w:p>
    <w:p>
      <w:r>
        <w:t>For this slice, an Event Programme is the operational container selected in Event OS. Each guest-facing or operational occurrence inside it is an Event Phase. Existing canonical eventId records must not be rewritten. During reconciliation, the implementation must map the current single-event model to one default phase without breaking accepted routes, IDs or APIs.</w:t>
      </w:r>
    </w:p>
    <w:p>
      <w:pPr>
        <w:pStyle w:val="Heading1"/>
      </w:pPr>
      <w:r>
        <w:t>2. Reconciliation with controlling slices</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r>
              <w:rPr>
                <w:b/>
                <w:color w:val="0B2545"/>
                <w:sz w:val="18"/>
              </w:rPr>
              <w:t>Source</w:t>
            </w:r>
          </w:p>
        </w:tc>
        <w:tc>
          <w:tcPr>
            <w:tcW w:type="dxa" w:w="3384"/>
            <w:shd w:fill="E8EEF5"/>
            <w:tcMar>
              <w:top w:w="80" w:type="dxa"/>
              <w:start w:w="120" w:type="dxa"/>
              <w:bottom w:w="80" w:type="dxa"/>
              <w:end w:w="120" w:type="dxa"/>
            </w:tcMar>
            <w:vAlign w:val="center"/>
          </w:tcPr>
          <w:p>
            <w:r>
              <w:rPr>
                <w:b/>
                <w:color w:val="0B2545"/>
                <w:sz w:val="18"/>
              </w:rPr>
              <w:t>Authority retained</w:t>
            </w:r>
          </w:p>
        </w:tc>
        <w:tc>
          <w:tcPr>
            <w:tcW w:type="dxa" w:w="3888"/>
            <w:shd w:fill="E8EEF5"/>
            <w:tcMar>
              <w:top w:w="80" w:type="dxa"/>
              <w:start w:w="120" w:type="dxa"/>
              <w:bottom w:w="80" w:type="dxa"/>
              <w:end w:w="120" w:type="dxa"/>
            </w:tcMar>
            <w:vAlign w:val="center"/>
          </w:tcPr>
          <w:p>
            <w:r>
              <w:rPr>
                <w:b/>
                <w:color w:val="0B2545"/>
                <w:sz w:val="18"/>
              </w:rPr>
              <w:t>S04B contribution</w:t>
            </w:r>
          </w:p>
        </w:tc>
      </w:tr>
      <w:tr>
        <w:trPr>
          <w:cantSplit/>
        </w:trPr>
        <w:tc>
          <w:tcPr>
            <w:tcW w:type="dxa" w:w="2088"/>
            <w:tcMar>
              <w:top w:w="80" w:type="dxa"/>
              <w:start w:w="120" w:type="dxa"/>
              <w:bottom w:w="80" w:type="dxa"/>
              <w:end w:w="120" w:type="dxa"/>
            </w:tcMar>
            <w:vAlign w:val="top"/>
          </w:tcPr>
          <w:p>
            <w:pPr>
              <w:spacing w:after="0"/>
            </w:pPr>
            <w:r>
              <w:rPr>
                <w:sz w:val="17"/>
              </w:rPr>
              <w:t>EOS-S03</w:t>
            </w:r>
          </w:p>
        </w:tc>
        <w:tc>
          <w:tcPr>
            <w:tcW w:type="dxa" w:w="3384"/>
            <w:tcMar>
              <w:top w:w="80" w:type="dxa"/>
              <w:start w:w="120" w:type="dxa"/>
              <w:bottom w:w="80" w:type="dxa"/>
              <w:end w:w="120" w:type="dxa"/>
            </w:tcMar>
            <w:vAlign w:val="top"/>
          </w:tcPr>
          <w:p>
            <w:pPr>
              <w:spacing w:after="0"/>
            </w:pPr>
            <w:r>
              <w:rPr>
                <w:sz w:val="17"/>
              </w:rPr>
              <w:t>Invitation, RSVP and entitlement count</w:t>
            </w:r>
          </w:p>
        </w:tc>
        <w:tc>
          <w:tcPr>
            <w:tcW w:type="dxa" w:w="3888"/>
            <w:tcMar>
              <w:top w:w="80" w:type="dxa"/>
              <w:start w:w="120" w:type="dxa"/>
              <w:bottom w:w="80" w:type="dxa"/>
              <w:end w:w="120" w:type="dxa"/>
            </w:tcMar>
            <w:vAlign w:val="top"/>
          </w:tcPr>
          <w:p>
            <w:pPr>
              <w:spacing w:after="0"/>
            </w:pPr>
            <w:r>
              <w:rPr>
                <w:sz w:val="17"/>
              </w:rPr>
              <w:t>Adds phase-specific invitation/attendance scope; cannot invent seats or guests.</w:t>
            </w:r>
          </w:p>
        </w:tc>
      </w:tr>
      <w:tr>
        <w:trPr>
          <w:cantSplit/>
        </w:trPr>
        <w:tc>
          <w:tcPr>
            <w:tcW w:type="dxa" w:w="2088"/>
            <w:tcMar>
              <w:top w:w="80" w:type="dxa"/>
              <w:start w:w="120" w:type="dxa"/>
              <w:bottom w:w="80" w:type="dxa"/>
              <w:end w:w="120" w:type="dxa"/>
            </w:tcMar>
            <w:vAlign w:val="top"/>
          </w:tcPr>
          <w:p>
            <w:pPr>
              <w:spacing w:after="0"/>
            </w:pPr>
            <w:r>
              <w:rPr>
                <w:sz w:val="17"/>
              </w:rPr>
              <w:t>EOS-S04</w:t>
            </w:r>
          </w:p>
        </w:tc>
        <w:tc>
          <w:tcPr>
            <w:tcW w:type="dxa" w:w="3384"/>
            <w:tcMar>
              <w:top w:w="80" w:type="dxa"/>
              <w:start w:w="120" w:type="dxa"/>
              <w:bottom w:w="80" w:type="dxa"/>
              <w:end w:w="120" w:type="dxa"/>
            </w:tcMar>
            <w:vAlign w:val="top"/>
          </w:tcPr>
          <w:p>
            <w:pPr>
              <w:spacing w:after="0"/>
            </w:pPr>
            <w:r>
              <w:rPr>
                <w:sz w:val="17"/>
              </w:rPr>
              <w:t>Governed communications</w:t>
            </w:r>
          </w:p>
        </w:tc>
        <w:tc>
          <w:tcPr>
            <w:tcW w:type="dxa" w:w="3888"/>
            <w:tcMar>
              <w:top w:w="80" w:type="dxa"/>
              <w:start w:w="120" w:type="dxa"/>
              <w:bottom w:w="80" w:type="dxa"/>
              <w:end w:w="120" w:type="dxa"/>
            </w:tcMar>
            <w:vAlign w:val="top"/>
          </w:tcPr>
          <w:p>
            <w:pPr>
              <w:spacing w:after="0"/>
            </w:pPr>
            <w:r>
              <w:rPr>
                <w:sz w:val="17"/>
              </w:rPr>
              <w:t>Provides phase-aware audiences and instructions; no provider activation.</w:t>
            </w:r>
          </w:p>
        </w:tc>
      </w:tr>
      <w:tr>
        <w:trPr>
          <w:cantSplit/>
        </w:trPr>
        <w:tc>
          <w:tcPr>
            <w:tcW w:type="dxa" w:w="2088"/>
            <w:tcMar>
              <w:top w:w="80" w:type="dxa"/>
              <w:start w:w="120" w:type="dxa"/>
              <w:bottom w:w="80" w:type="dxa"/>
              <w:end w:w="120" w:type="dxa"/>
            </w:tcMar>
            <w:vAlign w:val="top"/>
          </w:tcPr>
          <w:p>
            <w:pPr>
              <w:spacing w:after="0"/>
            </w:pPr>
            <w:r>
              <w:rPr>
                <w:sz w:val="17"/>
              </w:rPr>
              <w:t>EOS-S04A</w:t>
            </w:r>
          </w:p>
        </w:tc>
        <w:tc>
          <w:tcPr>
            <w:tcW w:type="dxa" w:w="3384"/>
            <w:tcMar>
              <w:top w:w="80" w:type="dxa"/>
              <w:start w:w="120" w:type="dxa"/>
              <w:bottom w:w="80" w:type="dxa"/>
              <w:end w:w="120" w:type="dxa"/>
            </w:tcMar>
            <w:vAlign w:val="top"/>
          </w:tcPr>
          <w:p>
            <w:pPr>
              <w:spacing w:after="0"/>
            </w:pPr>
            <w:r>
              <w:rPr>
                <w:sz w:val="17"/>
              </w:rPr>
              <w:t>guestId, partyId, relationships, age bands and companion lineage</w:t>
            </w:r>
          </w:p>
        </w:tc>
        <w:tc>
          <w:tcPr>
            <w:tcW w:type="dxa" w:w="3888"/>
            <w:tcMar>
              <w:top w:w="80" w:type="dxa"/>
              <w:start w:w="120" w:type="dxa"/>
              <w:bottom w:w="80" w:type="dxa"/>
              <w:end w:w="120" w:type="dxa"/>
            </w:tcMar>
            <w:vAlign w:val="top"/>
          </w:tcPr>
          <w:p>
            <w:pPr>
              <w:spacing w:after="0"/>
            </w:pPr>
            <w:r>
              <w:rPr>
                <w:sz w:val="17"/>
              </w:rPr>
              <w:t>Consumes independent people and party projections; never merges them.</w:t>
            </w:r>
          </w:p>
        </w:tc>
      </w:tr>
      <w:tr>
        <w:trPr>
          <w:cantSplit/>
        </w:trPr>
        <w:tc>
          <w:tcPr>
            <w:tcW w:type="dxa" w:w="2088"/>
            <w:tcMar>
              <w:top w:w="80" w:type="dxa"/>
              <w:start w:w="120" w:type="dxa"/>
              <w:bottom w:w="80" w:type="dxa"/>
              <w:end w:w="120" w:type="dxa"/>
            </w:tcMar>
            <w:vAlign w:val="top"/>
          </w:tcPr>
          <w:p>
            <w:pPr>
              <w:spacing w:after="0"/>
            </w:pPr>
            <w:r>
              <w:rPr>
                <w:sz w:val="17"/>
              </w:rPr>
              <w:t>Credential slice / Slice 7</w:t>
            </w:r>
          </w:p>
        </w:tc>
        <w:tc>
          <w:tcPr>
            <w:tcW w:type="dxa" w:w="3384"/>
            <w:tcMar>
              <w:top w:w="80" w:type="dxa"/>
              <w:start w:w="120" w:type="dxa"/>
              <w:bottom w:w="80" w:type="dxa"/>
              <w:end w:w="120" w:type="dxa"/>
            </w:tcMar>
            <w:vAlign w:val="top"/>
          </w:tcPr>
          <w:p>
            <w:pPr>
              <w:spacing w:after="0"/>
            </w:pPr>
            <w:r>
              <w:rPr>
                <w:sz w:val="17"/>
              </w:rPr>
              <w:t>Credential lifecycle and secure resolution</w:t>
            </w:r>
          </w:p>
        </w:tc>
        <w:tc>
          <w:tcPr>
            <w:tcW w:type="dxa" w:w="3888"/>
            <w:tcMar>
              <w:top w:w="80" w:type="dxa"/>
              <w:start w:w="120" w:type="dxa"/>
              <w:bottom w:w="80" w:type="dxa"/>
              <w:end w:w="120" w:type="dxa"/>
            </w:tcMar>
            <w:vAlign w:val="top"/>
          </w:tcPr>
          <w:p>
            <w:pPr>
              <w:spacing w:after="0"/>
            </w:pPr>
            <w:r>
              <w:rPr>
                <w:sz w:val="17"/>
              </w:rPr>
              <w:t>Adds route, checkpoint, phase and vehicle claims through versioned contracts; no PII in QR.</w:t>
            </w:r>
          </w:p>
        </w:tc>
      </w:tr>
      <w:tr>
        <w:trPr>
          <w:cantSplit/>
        </w:trPr>
        <w:tc>
          <w:tcPr>
            <w:tcW w:type="dxa" w:w="2088"/>
            <w:tcMar>
              <w:top w:w="80" w:type="dxa"/>
              <w:start w:w="120" w:type="dxa"/>
              <w:bottom w:w="80" w:type="dxa"/>
              <w:end w:w="120" w:type="dxa"/>
            </w:tcMar>
            <w:vAlign w:val="top"/>
          </w:tcPr>
          <w:p>
            <w:pPr>
              <w:spacing w:after="0"/>
            </w:pPr>
            <w:r>
              <w:rPr>
                <w:sz w:val="17"/>
              </w:rPr>
              <w:t>Event Day Runtime / Slice 8</w:t>
            </w:r>
          </w:p>
        </w:tc>
        <w:tc>
          <w:tcPr>
            <w:tcW w:type="dxa" w:w="3384"/>
            <w:tcMar>
              <w:top w:w="80" w:type="dxa"/>
              <w:start w:w="120" w:type="dxa"/>
              <w:bottom w:w="80" w:type="dxa"/>
              <w:end w:w="120" w:type="dxa"/>
            </w:tcMar>
            <w:vAlign w:val="top"/>
          </w:tcPr>
          <w:p>
            <w:pPr>
              <w:spacing w:after="0"/>
            </w:pPr>
            <w:r>
              <w:rPr>
                <w:sz w:val="17"/>
              </w:rPr>
              <w:t>Sole live attendance writer; devices, offline snapshot, scan/search, ledger, conflicts and close</w:t>
            </w:r>
          </w:p>
        </w:tc>
        <w:tc>
          <w:tcPr>
            <w:tcW w:type="dxa" w:w="3888"/>
            <w:tcMar>
              <w:top w:w="80" w:type="dxa"/>
              <w:start w:w="120" w:type="dxa"/>
              <w:bottom w:w="80" w:type="dxa"/>
              <w:end w:w="120" w:type="dxa"/>
            </w:tcMar>
            <w:vAlign w:val="top"/>
          </w:tcPr>
          <w:p>
            <w:pPr>
              <w:spacing w:after="0"/>
            </w:pPr>
            <w:r>
              <w:rPr>
                <w:sz w:val="17"/>
              </w:rPr>
              <w:t>Publishes phase/checkpoint/route configuration and minimum projections into its RuntimeSnapshot.</w:t>
            </w:r>
          </w:p>
        </w:tc>
      </w:tr>
      <w:tr>
        <w:trPr>
          <w:cantSplit/>
        </w:trPr>
        <w:tc>
          <w:tcPr>
            <w:tcW w:type="dxa" w:w="2088"/>
            <w:tcMar>
              <w:top w:w="80" w:type="dxa"/>
              <w:start w:w="120" w:type="dxa"/>
              <w:bottom w:w="80" w:type="dxa"/>
              <w:end w:w="120" w:type="dxa"/>
            </w:tcMar>
            <w:vAlign w:val="top"/>
          </w:tcPr>
          <w:p>
            <w:pPr>
              <w:spacing w:after="0"/>
            </w:pPr>
            <w:r>
              <w:rPr>
                <w:sz w:val="17"/>
              </w:rPr>
              <w:t>Future Academy</w:t>
            </w:r>
          </w:p>
        </w:tc>
        <w:tc>
          <w:tcPr>
            <w:tcW w:type="dxa" w:w="3384"/>
            <w:tcMar>
              <w:top w:w="80" w:type="dxa"/>
              <w:start w:w="120" w:type="dxa"/>
              <w:bottom w:w="80" w:type="dxa"/>
              <w:end w:w="120" w:type="dxa"/>
            </w:tcMar>
            <w:vAlign w:val="top"/>
          </w:tcPr>
          <w:p>
            <w:pPr>
              <w:spacing w:after="0"/>
            </w:pPr>
            <w:r>
              <w:rPr>
                <w:sz w:val="17"/>
              </w:rPr>
              <w:t>Role readiness and certification</w:t>
            </w:r>
          </w:p>
        </w:tc>
        <w:tc>
          <w:tcPr>
            <w:tcW w:type="dxa" w:w="3888"/>
            <w:tcMar>
              <w:top w:w="80" w:type="dxa"/>
              <w:start w:w="120" w:type="dxa"/>
              <w:bottom w:w="80" w:type="dxa"/>
              <w:end w:w="120" w:type="dxa"/>
            </w:tcMar>
            <w:vAlign w:val="top"/>
          </w:tcPr>
          <w:p>
            <w:pPr>
              <w:spacing w:after="0"/>
            </w:pPr>
            <w:r>
              <w:rPr>
                <w:sz w:val="17"/>
              </w:rPr>
              <w:t>ACA-S04B trains planners, gate teams, security, transport and supervisors.</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NO-DUPLICATION LAW  </w:t>
            </w:r>
            <w:r>
              <w:t>S04B plans and publishes access entitlements. Slice 8 executes scans/admissions and remains the sole live attendance writer. S04B must not create another scanner, device fleet, offline outbox, admission ledger, conflict engine, walk-in path or runtime close process.</w:t>
            </w:r>
          </w:p>
        </w:tc>
      </w:tr>
    </w:tbl>
    <w:p>
      <w:pPr>
        <w:spacing w:after="20"/>
      </w:pPr>
    </w:p>
    <w:p>
      <w:pPr>
        <w:pStyle w:val="Heading1"/>
      </w:pPr>
      <w:r>
        <w:t>3. Scope and exclusions</w:t>
      </w:r>
    </w:p>
    <w:p>
      <w:pPr>
        <w:pStyle w:val="Heading2"/>
      </w:pPr>
      <w:r>
        <w:t>3.1 In scope</w:t>
      </w:r>
    </w:p>
    <w:p>
      <w:pPr>
        <w:pStyle w:val="ListBullet"/>
        <w:spacing w:after="80"/>
      </w:pPr>
      <w:r>
        <w:t>Event programme and phase configuration for single-day and multi-day use.</w:t>
      </w:r>
    </w:p>
    <w:p>
      <w:pPr>
        <w:pStyle w:val="ListBullet"/>
        <w:spacing w:after="80"/>
      </w:pPr>
      <w:r>
        <w:t>Per-phase dates, times, time zones, locations, venue zones, capacities and attendance cohorts.</w:t>
      </w:r>
    </w:p>
    <w:p>
      <w:pPr>
        <w:pStyle w:val="ListBullet"/>
        <w:spacing w:after="80"/>
      </w:pPr>
      <w:r>
        <w:t>Estate gates, vehicle screening, parking, drop-off, chauffeur holding and venue entry routes.</w:t>
      </w:r>
    </w:p>
    <w:p>
      <w:pPr>
        <w:pStyle w:val="ListBullet"/>
        <w:spacing w:after="80"/>
      </w:pPr>
      <w:r>
        <w:t>General, discreet fast-track, accessibility, family/private, staff, vendor, performer, media, service and emergency checkpoint types.</w:t>
      </w:r>
    </w:p>
    <w:p>
      <w:pPr>
        <w:pStyle w:val="ListBullet"/>
        <w:spacing w:after="80"/>
      </w:pPr>
      <w:r>
        <w:t>Individual, party and vehicle credential entitlements; QR and alphanumeric presentation references.</w:t>
      </w:r>
    </w:p>
    <w:p>
      <w:pPr>
        <w:pStyle w:val="ListBullet"/>
        <w:spacing w:after="80"/>
      </w:pPr>
      <w:r>
        <w:t>Drivers, carers, aides, protection officers and entourage members with purpose-limited access.</w:t>
      </w:r>
    </w:p>
    <w:p>
      <w:pPr>
        <w:pStyle w:val="ListBullet"/>
        <w:spacing w:after="80"/>
      </w:pPr>
      <w:r>
        <w:t>Offline-ready, signed, minimum-data checkpoint packages supplied to Slice 8.</w:t>
      </w:r>
    </w:p>
    <w:p>
      <w:pPr>
        <w:pStyle w:val="ListBullet"/>
        <w:spacing w:after="80"/>
      </w:pPr>
      <w:r>
        <w:t>Phase transitions, transfers, route changes, exception approval, revocation and audit.</w:t>
      </w:r>
    </w:p>
    <w:p>
      <w:pPr>
        <w:pStyle w:val="ListBullet"/>
        <w:spacing w:after="80"/>
      </w:pPr>
      <w:r>
        <w:t>Human verification prompts and ACA-S04B training delta.</w:t>
      </w:r>
    </w:p>
    <w:p>
      <w:pPr>
        <w:pStyle w:val="Heading2"/>
      </w:pPr>
      <w:r>
        <w:t>3.2 Explicit exclusions</w:t>
      </w:r>
    </w:p>
    <w:p>
      <w:pPr>
        <w:pStyle w:val="ListBullet"/>
        <w:spacing w:after="80"/>
      </w:pPr>
      <w:r>
        <w:t>A second event-day runtime, scanner, attendance database or device management service.</w:t>
      </w:r>
    </w:p>
    <w:p>
      <w:pPr>
        <w:pStyle w:val="ListBullet"/>
        <w:spacing w:after="80"/>
      </w:pPr>
      <w:r>
        <w:t>FaceGate or biometric first admission.</w:t>
      </w:r>
    </w:p>
    <w:p>
      <w:pPr>
        <w:pStyle w:val="ListBullet"/>
        <w:spacing w:after="80"/>
      </w:pPr>
      <w:r>
        <w:t>Physical procurement or distribution of phones, tablets, scanners, radios, printers, barriers or power equipment.</w:t>
      </w:r>
    </w:p>
    <w:p>
      <w:pPr>
        <w:pStyle w:val="ListBullet"/>
        <w:spacing w:after="80"/>
      </w:pPr>
      <w:r>
        <w:t>Automatic safety, security, protocol or dignity decisions.</w:t>
      </w:r>
    </w:p>
    <w:p>
      <w:pPr>
        <w:pStyle w:val="ListBullet"/>
        <w:spacing w:after="80"/>
      </w:pPr>
      <w:r>
        <w:t>Aso-ebi, merchandise, payments, seating allocation or catering fulfilment.</w:t>
      </w:r>
    </w:p>
    <w:p>
      <w:pPr>
        <w:pStyle w:val="ListBullet"/>
        <w:spacing w:after="80"/>
      </w:pPr>
      <w:r>
        <w:t>Real-provider communication, production authorisation, gate signatures or EOS-S05 implementation.</w:t>
      </w:r>
    </w:p>
    <w:p>
      <w:pPr>
        <w:pStyle w:val="Heading1"/>
      </w:pPr>
      <w:r>
        <w:t>4. Canonical hierarchy and invariants</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r>
              <w:rPr>
                <w:b/>
                <w:color w:val="0B2545"/>
                <w:sz w:val="18"/>
              </w:rPr>
              <w:t>Record</w:t>
            </w:r>
          </w:p>
        </w:tc>
        <w:tc>
          <w:tcPr>
            <w:tcW w:type="dxa" w:w="4032"/>
            <w:shd w:fill="E8EEF5"/>
            <w:tcMar>
              <w:top w:w="80" w:type="dxa"/>
              <w:start w:w="120" w:type="dxa"/>
              <w:bottom w:w="80" w:type="dxa"/>
              <w:end w:w="120" w:type="dxa"/>
            </w:tcMar>
            <w:vAlign w:val="center"/>
          </w:tcPr>
          <w:p>
            <w:r>
              <w:rPr>
                <w:b/>
                <w:color w:val="0B2545"/>
                <w:sz w:val="18"/>
              </w:rPr>
              <w:t>Purpose</w:t>
            </w:r>
          </w:p>
        </w:tc>
        <w:tc>
          <w:tcPr>
            <w:tcW w:type="dxa" w:w="3240"/>
            <w:shd w:fill="E8EEF5"/>
            <w:tcMar>
              <w:top w:w="80" w:type="dxa"/>
              <w:start w:w="120" w:type="dxa"/>
              <w:bottom w:w="80" w:type="dxa"/>
              <w:end w:w="120" w:type="dxa"/>
            </w:tcMar>
            <w:vAlign w:val="center"/>
          </w:tcPr>
          <w:p>
            <w:r>
              <w:rPr>
                <w:b/>
                <w:color w:val="0B2545"/>
                <w:sz w:val="18"/>
              </w:rPr>
              <w:t>Identity rule</w:t>
            </w:r>
          </w:p>
        </w:tc>
      </w:tr>
      <w:tr>
        <w:trPr>
          <w:cantSplit/>
        </w:trPr>
        <w:tc>
          <w:tcPr>
            <w:tcW w:type="dxa" w:w="2088"/>
            <w:tcMar>
              <w:top w:w="80" w:type="dxa"/>
              <w:start w:w="120" w:type="dxa"/>
              <w:bottom w:w="80" w:type="dxa"/>
              <w:end w:w="120" w:type="dxa"/>
            </w:tcMar>
            <w:vAlign w:val="top"/>
          </w:tcPr>
          <w:p>
            <w:pPr>
              <w:spacing w:after="0"/>
            </w:pPr>
            <w:r>
              <w:rPr>
                <w:sz w:val="17"/>
              </w:rPr>
              <w:t>EventProgramme</w:t>
            </w:r>
          </w:p>
        </w:tc>
        <w:tc>
          <w:tcPr>
            <w:tcW w:type="dxa" w:w="4032"/>
            <w:tcMar>
              <w:top w:w="80" w:type="dxa"/>
              <w:start w:w="120" w:type="dxa"/>
              <w:bottom w:w="80" w:type="dxa"/>
              <w:end w:w="120" w:type="dxa"/>
            </w:tcMar>
            <w:vAlign w:val="top"/>
          </w:tcPr>
          <w:p>
            <w:pPr>
              <w:spacing w:after="0"/>
            </w:pPr>
            <w:r>
              <w:rPr>
                <w:sz w:val="17"/>
              </w:rPr>
              <w:t>Operational celebration/container presented to staff.</w:t>
            </w:r>
          </w:p>
        </w:tc>
        <w:tc>
          <w:tcPr>
            <w:tcW w:type="dxa" w:w="3240"/>
            <w:tcMar>
              <w:top w:w="80" w:type="dxa"/>
              <w:start w:w="120" w:type="dxa"/>
              <w:bottom w:w="80" w:type="dxa"/>
              <w:end w:w="120" w:type="dxa"/>
            </w:tcMar>
            <w:vAlign w:val="top"/>
          </w:tcPr>
          <w:p>
            <w:pPr>
              <w:spacing w:after="0"/>
            </w:pPr>
            <w:r>
              <w:rPr>
                <w:sz w:val="17"/>
              </w:rPr>
              <w:t>Stable programmeId; references existing canonical event/event-series structures after reconciliation.</w:t>
            </w:r>
          </w:p>
        </w:tc>
      </w:tr>
      <w:tr>
        <w:trPr>
          <w:cantSplit/>
        </w:trPr>
        <w:tc>
          <w:tcPr>
            <w:tcW w:type="dxa" w:w="2088"/>
            <w:tcMar>
              <w:top w:w="80" w:type="dxa"/>
              <w:start w:w="120" w:type="dxa"/>
              <w:bottom w:w="80" w:type="dxa"/>
              <w:end w:w="120" w:type="dxa"/>
            </w:tcMar>
            <w:vAlign w:val="top"/>
          </w:tcPr>
          <w:p>
            <w:pPr>
              <w:spacing w:after="0"/>
            </w:pPr>
            <w:r>
              <w:rPr>
                <w:sz w:val="17"/>
              </w:rPr>
              <w:t>EventPhase</w:t>
            </w:r>
          </w:p>
        </w:tc>
        <w:tc>
          <w:tcPr>
            <w:tcW w:type="dxa" w:w="4032"/>
            <w:tcMar>
              <w:top w:w="80" w:type="dxa"/>
              <w:start w:w="120" w:type="dxa"/>
              <w:bottom w:w="80" w:type="dxa"/>
              <w:end w:w="120" w:type="dxa"/>
            </w:tcMar>
            <w:vAlign w:val="top"/>
          </w:tcPr>
          <w:p>
            <w:pPr>
              <w:spacing w:after="0"/>
            </w:pPr>
            <w:r>
              <w:rPr>
                <w:sz w:val="17"/>
              </w:rPr>
              <w:t>Distinct ceremony, venue segment or controlled occurrence.</w:t>
            </w:r>
          </w:p>
        </w:tc>
        <w:tc>
          <w:tcPr>
            <w:tcW w:type="dxa" w:w="3240"/>
            <w:tcMar>
              <w:top w:w="80" w:type="dxa"/>
              <w:start w:w="120" w:type="dxa"/>
              <w:bottom w:w="80" w:type="dxa"/>
              <w:end w:w="120" w:type="dxa"/>
            </w:tcMar>
            <w:vAlign w:val="top"/>
          </w:tcPr>
          <w:p>
            <w:pPr>
              <w:spacing w:after="0"/>
            </w:pPr>
            <w:r>
              <w:rPr>
                <w:sz w:val="17"/>
              </w:rPr>
              <w:t>phaseId; belongs to exactly one programme; has date/time/location/window.</w:t>
            </w:r>
          </w:p>
        </w:tc>
      </w:tr>
      <w:tr>
        <w:trPr>
          <w:cantSplit/>
        </w:trPr>
        <w:tc>
          <w:tcPr>
            <w:tcW w:type="dxa" w:w="2088"/>
            <w:tcMar>
              <w:top w:w="80" w:type="dxa"/>
              <w:start w:w="120" w:type="dxa"/>
              <w:bottom w:w="80" w:type="dxa"/>
              <w:end w:w="120" w:type="dxa"/>
            </w:tcMar>
            <w:vAlign w:val="top"/>
          </w:tcPr>
          <w:p>
            <w:pPr>
              <w:spacing w:after="0"/>
            </w:pPr>
            <w:r>
              <w:rPr>
                <w:sz w:val="17"/>
              </w:rPr>
              <w:t>Checkpoint</w:t>
            </w:r>
          </w:p>
        </w:tc>
        <w:tc>
          <w:tcPr>
            <w:tcW w:type="dxa" w:w="4032"/>
            <w:tcMar>
              <w:top w:w="80" w:type="dxa"/>
              <w:start w:w="120" w:type="dxa"/>
              <w:bottom w:w="80" w:type="dxa"/>
              <w:end w:w="120" w:type="dxa"/>
            </w:tcMar>
            <w:vAlign w:val="top"/>
          </w:tcPr>
          <w:p>
            <w:pPr>
              <w:spacing w:after="0"/>
            </w:pPr>
            <w:r>
              <w:rPr>
                <w:sz w:val="17"/>
              </w:rPr>
              <w:t>A controlled decision point.</w:t>
            </w:r>
          </w:p>
        </w:tc>
        <w:tc>
          <w:tcPr>
            <w:tcW w:type="dxa" w:w="3240"/>
            <w:tcMar>
              <w:top w:w="80" w:type="dxa"/>
              <w:start w:w="120" w:type="dxa"/>
              <w:bottom w:w="80" w:type="dxa"/>
              <w:end w:w="120" w:type="dxa"/>
            </w:tcMar>
            <w:vAlign w:val="top"/>
          </w:tcPr>
          <w:p>
            <w:pPr>
              <w:spacing w:after="0"/>
            </w:pPr>
            <w:r>
              <w:rPr>
                <w:sz w:val="17"/>
              </w:rPr>
              <w:t>checkpointId; belongs to one phase or authorised shared perimeter.</w:t>
            </w:r>
          </w:p>
        </w:tc>
      </w:tr>
      <w:tr>
        <w:trPr>
          <w:cantSplit/>
        </w:trPr>
        <w:tc>
          <w:tcPr>
            <w:tcW w:type="dxa" w:w="2088"/>
            <w:tcMar>
              <w:top w:w="80" w:type="dxa"/>
              <w:start w:w="120" w:type="dxa"/>
              <w:bottom w:w="80" w:type="dxa"/>
              <w:end w:w="120" w:type="dxa"/>
            </w:tcMar>
            <w:vAlign w:val="top"/>
          </w:tcPr>
          <w:p>
            <w:pPr>
              <w:spacing w:after="0"/>
            </w:pPr>
            <w:r>
              <w:rPr>
                <w:sz w:val="17"/>
              </w:rPr>
              <w:t>Route</w:t>
            </w:r>
          </w:p>
        </w:tc>
        <w:tc>
          <w:tcPr>
            <w:tcW w:type="dxa" w:w="4032"/>
            <w:tcMar>
              <w:top w:w="80" w:type="dxa"/>
              <w:start w:w="120" w:type="dxa"/>
              <w:bottom w:w="80" w:type="dxa"/>
              <w:end w:w="120" w:type="dxa"/>
            </w:tcMar>
            <w:vAlign w:val="top"/>
          </w:tcPr>
          <w:p>
            <w:pPr>
              <w:spacing w:after="0"/>
            </w:pPr>
            <w:r>
              <w:rPr>
                <w:sz w:val="17"/>
              </w:rPr>
              <w:t>Ordered authorised movement path.</w:t>
            </w:r>
          </w:p>
        </w:tc>
        <w:tc>
          <w:tcPr>
            <w:tcW w:type="dxa" w:w="3240"/>
            <w:tcMar>
              <w:top w:w="80" w:type="dxa"/>
              <w:start w:w="120" w:type="dxa"/>
              <w:bottom w:w="80" w:type="dxa"/>
              <w:end w:w="120" w:type="dxa"/>
            </w:tcMar>
            <w:vAlign w:val="top"/>
          </w:tcPr>
          <w:p>
            <w:pPr>
              <w:spacing w:after="0"/>
            </w:pPr>
            <w:r>
              <w:rPr>
                <w:sz w:val="17"/>
              </w:rPr>
              <w:t>routeId; may contain checkpoints and zones; never implies social rank.</w:t>
            </w:r>
          </w:p>
        </w:tc>
      </w:tr>
      <w:tr>
        <w:trPr>
          <w:cantSplit/>
        </w:trPr>
        <w:tc>
          <w:tcPr>
            <w:tcW w:type="dxa" w:w="2088"/>
            <w:tcMar>
              <w:top w:w="80" w:type="dxa"/>
              <w:start w:w="120" w:type="dxa"/>
              <w:bottom w:w="80" w:type="dxa"/>
              <w:end w:w="120" w:type="dxa"/>
            </w:tcMar>
            <w:vAlign w:val="top"/>
          </w:tcPr>
          <w:p>
            <w:pPr>
              <w:spacing w:after="0"/>
            </w:pPr>
            <w:r>
              <w:rPr>
                <w:sz w:val="17"/>
              </w:rPr>
              <w:t>AccessEntitlement</w:t>
            </w:r>
          </w:p>
        </w:tc>
        <w:tc>
          <w:tcPr>
            <w:tcW w:type="dxa" w:w="4032"/>
            <w:tcMar>
              <w:top w:w="80" w:type="dxa"/>
              <w:start w:w="120" w:type="dxa"/>
              <w:bottom w:w="80" w:type="dxa"/>
              <w:end w:w="120" w:type="dxa"/>
            </w:tcMar>
            <w:vAlign w:val="top"/>
          </w:tcPr>
          <w:p>
            <w:pPr>
              <w:spacing w:after="0"/>
            </w:pPr>
            <w:r>
              <w:rPr>
                <w:sz w:val="17"/>
              </w:rPr>
              <w:t>What a subject may access and when.</w:t>
            </w:r>
          </w:p>
        </w:tc>
        <w:tc>
          <w:tcPr>
            <w:tcW w:type="dxa" w:w="3240"/>
            <w:tcMar>
              <w:top w:w="80" w:type="dxa"/>
              <w:start w:w="120" w:type="dxa"/>
              <w:bottom w:w="80" w:type="dxa"/>
              <w:end w:w="120" w:type="dxa"/>
            </w:tcMar>
            <w:vAlign w:val="top"/>
          </w:tcPr>
          <w:p>
            <w:pPr>
              <w:spacing w:after="0"/>
            </w:pPr>
            <w:r>
              <w:rPr>
                <w:sz w:val="17"/>
              </w:rPr>
              <w:t>entitlementId; subject is guest, party member, operational person or vehicle.</w:t>
            </w:r>
          </w:p>
        </w:tc>
      </w:tr>
      <w:tr>
        <w:trPr>
          <w:cantSplit/>
        </w:trPr>
        <w:tc>
          <w:tcPr>
            <w:tcW w:type="dxa" w:w="2088"/>
            <w:tcMar>
              <w:top w:w="80" w:type="dxa"/>
              <w:start w:w="120" w:type="dxa"/>
              <w:bottom w:w="80" w:type="dxa"/>
              <w:end w:w="120" w:type="dxa"/>
            </w:tcMar>
            <w:vAlign w:val="top"/>
          </w:tcPr>
          <w:p>
            <w:pPr>
              <w:spacing w:after="0"/>
            </w:pPr>
            <w:r>
              <w:rPr>
                <w:sz w:val="17"/>
              </w:rPr>
              <w:t>Credential</w:t>
            </w:r>
          </w:p>
        </w:tc>
        <w:tc>
          <w:tcPr>
            <w:tcW w:type="dxa" w:w="4032"/>
            <w:tcMar>
              <w:top w:w="80" w:type="dxa"/>
              <w:start w:w="120" w:type="dxa"/>
              <w:bottom w:w="80" w:type="dxa"/>
              <w:end w:w="120" w:type="dxa"/>
            </w:tcMar>
            <w:vAlign w:val="top"/>
          </w:tcPr>
          <w:p>
            <w:pPr>
              <w:spacing w:after="0"/>
            </w:pPr>
            <w:r>
              <w:rPr>
                <w:sz w:val="17"/>
              </w:rPr>
              <w:t>Presentation/resolution reference.</w:t>
            </w:r>
          </w:p>
        </w:tc>
        <w:tc>
          <w:tcPr>
            <w:tcW w:type="dxa" w:w="3240"/>
            <w:tcMar>
              <w:top w:w="80" w:type="dxa"/>
              <w:start w:w="120" w:type="dxa"/>
              <w:bottom w:w="80" w:type="dxa"/>
              <w:end w:w="120" w:type="dxa"/>
            </w:tcMar>
            <w:vAlign w:val="top"/>
          </w:tcPr>
          <w:p>
            <w:pPr>
              <w:spacing w:after="0"/>
            </w:pPr>
            <w:r>
              <w:rPr>
                <w:sz w:val="17"/>
              </w:rPr>
              <w:t>credentialId; can resolve several entitlements but never replaces guestId/partyId/vehicleId.</w:t>
            </w:r>
          </w:p>
        </w:tc>
      </w:tr>
      <w:tr>
        <w:trPr>
          <w:cantSplit/>
        </w:trPr>
        <w:tc>
          <w:tcPr>
            <w:tcW w:type="dxa" w:w="2088"/>
            <w:tcMar>
              <w:top w:w="80" w:type="dxa"/>
              <w:start w:w="120" w:type="dxa"/>
              <w:bottom w:w="80" w:type="dxa"/>
              <w:end w:w="120" w:type="dxa"/>
            </w:tcMar>
            <w:vAlign w:val="top"/>
          </w:tcPr>
          <w:p>
            <w:pPr>
              <w:spacing w:after="0"/>
            </w:pPr>
            <w:r>
              <w:rPr>
                <w:sz w:val="17"/>
              </w:rPr>
              <w:t>Vehicle</w:t>
            </w:r>
          </w:p>
        </w:tc>
        <w:tc>
          <w:tcPr>
            <w:tcW w:type="dxa" w:w="4032"/>
            <w:tcMar>
              <w:top w:w="80" w:type="dxa"/>
              <w:start w:w="120" w:type="dxa"/>
              <w:bottom w:w="80" w:type="dxa"/>
              <w:end w:w="120" w:type="dxa"/>
            </w:tcMar>
            <w:vAlign w:val="top"/>
          </w:tcPr>
          <w:p>
            <w:pPr>
              <w:spacing w:after="0"/>
            </w:pPr>
            <w:r>
              <w:rPr>
                <w:sz w:val="17"/>
              </w:rPr>
              <w:t>Registered operational vehicle.</w:t>
            </w:r>
          </w:p>
        </w:tc>
        <w:tc>
          <w:tcPr>
            <w:tcW w:type="dxa" w:w="3240"/>
            <w:tcMar>
              <w:top w:w="80" w:type="dxa"/>
              <w:start w:w="120" w:type="dxa"/>
              <w:bottom w:w="80" w:type="dxa"/>
              <w:end w:w="120" w:type="dxa"/>
            </w:tcMar>
            <w:vAlign w:val="top"/>
          </w:tcPr>
          <w:p>
            <w:pPr>
              <w:spacing w:after="0"/>
            </w:pPr>
            <w:r>
              <w:rPr>
                <w:sz w:val="17"/>
              </w:rPr>
              <w:t>vehicleId; separate from occupants, driver and owner.</w:t>
            </w:r>
          </w:p>
        </w:tc>
      </w:tr>
      <w:tr>
        <w:trPr>
          <w:cantSplit/>
        </w:trPr>
        <w:tc>
          <w:tcPr>
            <w:tcW w:type="dxa" w:w="2088"/>
            <w:tcMar>
              <w:top w:w="80" w:type="dxa"/>
              <w:start w:w="120" w:type="dxa"/>
              <w:bottom w:w="80" w:type="dxa"/>
              <w:end w:w="120" w:type="dxa"/>
            </w:tcMar>
            <w:vAlign w:val="top"/>
          </w:tcPr>
          <w:p>
            <w:pPr>
              <w:spacing w:after="0"/>
            </w:pPr>
            <w:r>
              <w:rPr>
                <w:sz w:val="17"/>
              </w:rPr>
              <w:t>RuntimeSnapshot</w:t>
            </w:r>
          </w:p>
        </w:tc>
        <w:tc>
          <w:tcPr>
            <w:tcW w:type="dxa" w:w="4032"/>
            <w:tcMar>
              <w:top w:w="80" w:type="dxa"/>
              <w:start w:w="120" w:type="dxa"/>
              <w:bottom w:w="80" w:type="dxa"/>
              <w:end w:w="120" w:type="dxa"/>
            </w:tcMar>
            <w:vAlign w:val="top"/>
          </w:tcPr>
          <w:p>
            <w:pPr>
              <w:spacing w:after="0"/>
            </w:pPr>
            <w:r>
              <w:rPr>
                <w:sz w:val="17"/>
              </w:rPr>
              <w:t>Immutable event-day projection.</w:t>
            </w:r>
          </w:p>
        </w:tc>
        <w:tc>
          <w:tcPr>
            <w:tcW w:type="dxa" w:w="3240"/>
            <w:tcMar>
              <w:top w:w="80" w:type="dxa"/>
              <w:start w:w="120" w:type="dxa"/>
              <w:bottom w:w="80" w:type="dxa"/>
              <w:end w:w="120" w:type="dxa"/>
            </w:tcMar>
            <w:vAlign w:val="top"/>
          </w:tcPr>
          <w:p>
            <w:pPr>
              <w:spacing w:after="0"/>
            </w:pPr>
            <w:r>
              <w:rPr>
                <w:sz w:val="17"/>
              </w:rPr>
              <w:t>Owned and published under Slice 8 contracts; includes phase/access configuration.</w:t>
            </w:r>
          </w:p>
        </w:tc>
      </w:tr>
    </w:tbl>
    <w:p>
      <w:pPr>
        <w:spacing w:after="20"/>
      </w:pPr>
    </w:p>
    <w:p>
      <w:pPr>
        <w:pStyle w:val="Heading2"/>
      </w:pPr>
      <w:r>
        <w:t>4.1 Product laws</w:t>
      </w:r>
    </w:p>
    <w:p>
      <w:pPr>
        <w:pStyle w:val="ListBullet"/>
        <w:spacing w:after="80"/>
      </w:pPr>
      <w:r>
        <w:t>Every represented person retains an independent guestId or authorised operational-person identity.</w:t>
      </w:r>
    </w:p>
    <w:p>
      <w:pPr>
        <w:pStyle w:val="ListBullet"/>
        <w:spacing w:after="80"/>
      </w:pPr>
      <w:r>
        <w:t>Every phase has a phaseId even when the UI hides the sole default phase.</w:t>
      </w:r>
    </w:p>
    <w:p>
      <w:pPr>
        <w:pStyle w:val="ListBullet"/>
        <w:spacing w:after="80"/>
      </w:pPr>
      <w:r>
        <w:t>A single credential may carry multiple phase entitlements; each checkpoint resolves only its own minimum answer.</w:t>
      </w:r>
    </w:p>
    <w:p>
      <w:pPr>
        <w:pStyle w:val="ListBullet"/>
        <w:spacing w:after="80"/>
      </w:pPr>
      <w:r>
        <w:t>Estate admission does not equal event attendance; parking admission does not equal venue check-in; church arrival does not equal reception arrival.</w:t>
      </w:r>
    </w:p>
    <w:p>
      <w:pPr>
        <w:pStyle w:val="ListBullet"/>
        <w:spacing w:after="80"/>
      </w:pPr>
      <w:r>
        <w:t>Attendance and RSVP are phase-specific, with an optional derived overall summary.</w:t>
      </w:r>
    </w:p>
    <w:p>
      <w:pPr>
        <w:pStyle w:val="ListBullet"/>
        <w:spacing w:after="80"/>
      </w:pPr>
      <w:r>
        <w:t>A party credential may speed arrival but never conceals which members are entitled or admitted.</w:t>
      </w:r>
    </w:p>
    <w:p>
      <w:pPr>
        <w:pStyle w:val="ListBullet"/>
        <w:spacing w:after="80"/>
      </w:pPr>
      <w:r>
        <w:t>Fast track is a routing entitlement, not a public social ranking.</w:t>
      </w:r>
    </w:p>
    <w:p>
      <w:pPr>
        <w:pStyle w:val="ListBullet"/>
        <w:spacing w:after="80"/>
      </w:pPr>
      <w:r>
        <w:t>Unknown, stale, revoked or ambiguous results refer to authorised review; they are not silently admitted or denied.</w:t>
      </w:r>
    </w:p>
    <w:p>
      <w:pPr>
        <w:pStyle w:val="Heading1"/>
      </w:pPr>
      <w:r>
        <w:t>5. Phase model and lifecycle</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b/>
                <w:color w:val="0B2545"/>
                <w:sz w:val="18"/>
              </w:rPr>
              <w:t>Field</w:t>
            </w:r>
          </w:p>
        </w:tc>
        <w:tc>
          <w:tcPr>
            <w:tcW w:type="dxa" w:w="6840"/>
            <w:shd w:fill="E8EEF5"/>
            <w:tcMar>
              <w:top w:w="80" w:type="dxa"/>
              <w:start w:w="120" w:type="dxa"/>
              <w:bottom w:w="80" w:type="dxa"/>
              <w:end w:w="120" w:type="dxa"/>
            </w:tcMar>
            <w:vAlign w:val="center"/>
          </w:tcPr>
          <w:p>
            <w:r>
              <w:rPr>
                <w:b/>
                <w:color w:val="0B2545"/>
                <w:sz w:val="18"/>
              </w:rPr>
              <w:t>Requirement</w:t>
            </w:r>
          </w:p>
        </w:tc>
      </w:tr>
      <w:tr>
        <w:trPr>
          <w:cantSplit/>
        </w:trPr>
        <w:tc>
          <w:tcPr>
            <w:tcW w:type="dxa" w:w="2520"/>
            <w:tcMar>
              <w:top w:w="80" w:type="dxa"/>
              <w:start w:w="120" w:type="dxa"/>
              <w:bottom w:w="80" w:type="dxa"/>
              <w:end w:w="120" w:type="dxa"/>
            </w:tcMar>
            <w:vAlign w:val="top"/>
          </w:tcPr>
          <w:p>
            <w:pPr>
              <w:spacing w:after="0"/>
            </w:pPr>
            <w:r>
              <w:rPr>
                <w:sz w:val="17"/>
              </w:rPr>
              <w:t>phaseId / programmeId</w:t>
            </w:r>
          </w:p>
        </w:tc>
        <w:tc>
          <w:tcPr>
            <w:tcW w:type="dxa" w:w="6840"/>
            <w:tcMar>
              <w:top w:w="80" w:type="dxa"/>
              <w:start w:w="120" w:type="dxa"/>
              <w:bottom w:w="80" w:type="dxa"/>
              <w:end w:w="120" w:type="dxa"/>
            </w:tcMar>
            <w:vAlign w:val="top"/>
          </w:tcPr>
          <w:p>
            <w:pPr>
              <w:spacing w:after="0"/>
            </w:pPr>
            <w:r>
              <w:rPr>
                <w:sz w:val="17"/>
              </w:rPr>
              <w:t>Stable scope and parent relationship.</w:t>
            </w:r>
          </w:p>
        </w:tc>
      </w:tr>
      <w:tr>
        <w:trPr>
          <w:cantSplit/>
        </w:trPr>
        <w:tc>
          <w:tcPr>
            <w:tcW w:type="dxa" w:w="2520"/>
            <w:tcMar>
              <w:top w:w="80" w:type="dxa"/>
              <w:start w:w="120" w:type="dxa"/>
              <w:bottom w:w="80" w:type="dxa"/>
              <w:end w:w="120" w:type="dxa"/>
            </w:tcMar>
            <w:vAlign w:val="top"/>
          </w:tcPr>
          <w:p>
            <w:pPr>
              <w:spacing w:after="0"/>
            </w:pPr>
            <w:r>
              <w:rPr>
                <w:sz w:val="17"/>
              </w:rPr>
              <w:t>name / type</w:t>
            </w:r>
          </w:p>
        </w:tc>
        <w:tc>
          <w:tcPr>
            <w:tcW w:type="dxa" w:w="6840"/>
            <w:tcMar>
              <w:top w:w="80" w:type="dxa"/>
              <w:start w:w="120" w:type="dxa"/>
              <w:bottom w:w="80" w:type="dxa"/>
              <w:end w:w="120" w:type="dxa"/>
            </w:tcMar>
            <w:vAlign w:val="top"/>
          </w:tcPr>
          <w:p>
            <w:pPr>
              <w:spacing w:after="0"/>
            </w:pPr>
            <w:r>
              <w:rPr>
                <w:sz w:val="17"/>
              </w:rPr>
              <w:t>Registry, traditional, church, reception, after-party, brunch or configurable label.</w:t>
            </w:r>
          </w:p>
        </w:tc>
      </w:tr>
      <w:tr>
        <w:trPr>
          <w:cantSplit/>
        </w:trPr>
        <w:tc>
          <w:tcPr>
            <w:tcW w:type="dxa" w:w="2520"/>
            <w:tcMar>
              <w:top w:w="80" w:type="dxa"/>
              <w:start w:w="120" w:type="dxa"/>
              <w:bottom w:w="80" w:type="dxa"/>
              <w:end w:w="120" w:type="dxa"/>
            </w:tcMar>
            <w:vAlign w:val="top"/>
          </w:tcPr>
          <w:p>
            <w:pPr>
              <w:spacing w:after="0"/>
            </w:pPr>
            <w:r>
              <w:rPr>
                <w:sz w:val="17"/>
              </w:rPr>
              <w:t>start/end/time zone</w:t>
            </w:r>
          </w:p>
        </w:tc>
        <w:tc>
          <w:tcPr>
            <w:tcW w:type="dxa" w:w="6840"/>
            <w:tcMar>
              <w:top w:w="80" w:type="dxa"/>
              <w:start w:w="120" w:type="dxa"/>
              <w:bottom w:w="80" w:type="dxa"/>
              <w:end w:w="120" w:type="dxa"/>
            </w:tcMar>
            <w:vAlign w:val="top"/>
          </w:tcPr>
          <w:p>
            <w:pPr>
              <w:spacing w:after="0"/>
            </w:pPr>
            <w:r>
              <w:rPr>
                <w:sz w:val="17"/>
              </w:rPr>
              <w:t>Exact operating window; supports phases on the same day and across dates.</w:t>
            </w:r>
          </w:p>
        </w:tc>
      </w:tr>
      <w:tr>
        <w:trPr>
          <w:cantSplit/>
        </w:trPr>
        <w:tc>
          <w:tcPr>
            <w:tcW w:type="dxa" w:w="2520"/>
            <w:tcMar>
              <w:top w:w="80" w:type="dxa"/>
              <w:start w:w="120" w:type="dxa"/>
              <w:bottom w:w="80" w:type="dxa"/>
              <w:end w:w="120" w:type="dxa"/>
            </w:tcMar>
            <w:vAlign w:val="top"/>
          </w:tcPr>
          <w:p>
            <w:pPr>
              <w:spacing w:after="0"/>
            </w:pPr>
            <w:r>
              <w:rPr>
                <w:sz w:val="17"/>
              </w:rPr>
              <w:t>location/venue</w:t>
            </w:r>
          </w:p>
        </w:tc>
        <w:tc>
          <w:tcPr>
            <w:tcW w:type="dxa" w:w="6840"/>
            <w:tcMar>
              <w:top w:w="80" w:type="dxa"/>
              <w:start w:w="120" w:type="dxa"/>
              <w:bottom w:w="80" w:type="dxa"/>
              <w:end w:w="120" w:type="dxa"/>
            </w:tcMar>
            <w:vAlign w:val="top"/>
          </w:tcPr>
          <w:p>
            <w:pPr>
              <w:spacing w:after="0"/>
            </w:pPr>
            <w:r>
              <w:rPr>
                <w:sz w:val="17"/>
              </w:rPr>
              <w:t>Structured place, access notes and map reference; guest-safe and restricted variants.</w:t>
            </w:r>
          </w:p>
        </w:tc>
      </w:tr>
      <w:tr>
        <w:trPr>
          <w:cantSplit/>
        </w:trPr>
        <w:tc>
          <w:tcPr>
            <w:tcW w:type="dxa" w:w="2520"/>
            <w:tcMar>
              <w:top w:w="80" w:type="dxa"/>
              <w:start w:w="120" w:type="dxa"/>
              <w:bottom w:w="80" w:type="dxa"/>
              <w:end w:w="120" w:type="dxa"/>
            </w:tcMar>
            <w:vAlign w:val="top"/>
          </w:tcPr>
          <w:p>
            <w:pPr>
              <w:spacing w:after="0"/>
            </w:pPr>
            <w:r>
              <w:rPr>
                <w:sz w:val="17"/>
              </w:rPr>
              <w:t>status</w:t>
            </w:r>
          </w:p>
        </w:tc>
        <w:tc>
          <w:tcPr>
            <w:tcW w:type="dxa" w:w="6840"/>
            <w:tcMar>
              <w:top w:w="80" w:type="dxa"/>
              <w:start w:w="120" w:type="dxa"/>
              <w:bottom w:w="80" w:type="dxa"/>
              <w:end w:w="120" w:type="dxa"/>
            </w:tcMar>
            <w:vAlign w:val="top"/>
          </w:tcPr>
          <w:p>
            <w:pPr>
              <w:spacing w:after="0"/>
            </w:pPr>
            <w:r>
              <w:rPr>
                <w:sz w:val="17"/>
              </w:rPr>
              <w:t>DRAFT, READY, PUBLISHED, ACTIVE, CLOSED, CANCELLED, SUPERSEDED.</w:t>
            </w:r>
          </w:p>
        </w:tc>
      </w:tr>
      <w:tr>
        <w:trPr>
          <w:cantSplit/>
        </w:trPr>
        <w:tc>
          <w:tcPr>
            <w:tcW w:type="dxa" w:w="2520"/>
            <w:tcMar>
              <w:top w:w="80" w:type="dxa"/>
              <w:start w:w="120" w:type="dxa"/>
              <w:bottom w:w="80" w:type="dxa"/>
              <w:end w:w="120" w:type="dxa"/>
            </w:tcMar>
            <w:vAlign w:val="top"/>
          </w:tcPr>
          <w:p>
            <w:pPr>
              <w:spacing w:after="0"/>
            </w:pPr>
            <w:r>
              <w:rPr>
                <w:sz w:val="17"/>
              </w:rPr>
              <w:t>sequence/overlap</w:t>
            </w:r>
          </w:p>
        </w:tc>
        <w:tc>
          <w:tcPr>
            <w:tcW w:type="dxa" w:w="6840"/>
            <w:tcMar>
              <w:top w:w="80" w:type="dxa"/>
              <w:start w:w="120" w:type="dxa"/>
              <w:bottom w:w="80" w:type="dxa"/>
              <w:end w:w="120" w:type="dxa"/>
            </w:tcMar>
            <w:vAlign w:val="top"/>
          </w:tcPr>
          <w:p>
            <w:pPr>
              <w:spacing w:after="0"/>
            </w:pPr>
            <w:r>
              <w:rPr>
                <w:sz w:val="17"/>
              </w:rPr>
              <w:t>Display order; overlaps allowed only with explicit operational acknowledgement.</w:t>
            </w:r>
          </w:p>
        </w:tc>
      </w:tr>
      <w:tr>
        <w:trPr>
          <w:cantSplit/>
        </w:trPr>
        <w:tc>
          <w:tcPr>
            <w:tcW w:type="dxa" w:w="2520"/>
            <w:tcMar>
              <w:top w:w="80" w:type="dxa"/>
              <w:start w:w="120" w:type="dxa"/>
              <w:bottom w:w="80" w:type="dxa"/>
              <w:end w:w="120" w:type="dxa"/>
            </w:tcMar>
            <w:vAlign w:val="top"/>
          </w:tcPr>
          <w:p>
            <w:pPr>
              <w:spacing w:after="0"/>
            </w:pPr>
            <w:r>
              <w:rPr>
                <w:sz w:val="17"/>
              </w:rPr>
              <w:t>capacity/zones</w:t>
            </w:r>
          </w:p>
        </w:tc>
        <w:tc>
          <w:tcPr>
            <w:tcW w:type="dxa" w:w="6840"/>
            <w:tcMar>
              <w:top w:w="80" w:type="dxa"/>
              <w:start w:w="120" w:type="dxa"/>
              <w:bottom w:w="80" w:type="dxa"/>
              <w:end w:w="120" w:type="dxa"/>
            </w:tcMar>
            <w:vAlign w:val="top"/>
          </w:tcPr>
          <w:p>
            <w:pPr>
              <w:spacing w:after="0"/>
            </w:pPr>
            <w:r>
              <w:rPr>
                <w:sz w:val="17"/>
              </w:rPr>
              <w:t>Per-phase capacity and controlled sub-zones.</w:t>
            </w:r>
          </w:p>
        </w:tc>
      </w:tr>
      <w:tr>
        <w:trPr>
          <w:cantSplit/>
        </w:trPr>
        <w:tc>
          <w:tcPr>
            <w:tcW w:type="dxa" w:w="2520"/>
            <w:tcMar>
              <w:top w:w="80" w:type="dxa"/>
              <w:start w:w="120" w:type="dxa"/>
              <w:bottom w:w="80" w:type="dxa"/>
              <w:end w:w="120" w:type="dxa"/>
            </w:tcMar>
            <w:vAlign w:val="top"/>
          </w:tcPr>
          <w:p>
            <w:pPr>
              <w:spacing w:after="0"/>
            </w:pPr>
            <w:r>
              <w:rPr>
                <w:sz w:val="17"/>
              </w:rPr>
              <w:t>audience/entitlement policy</w:t>
            </w:r>
          </w:p>
        </w:tc>
        <w:tc>
          <w:tcPr>
            <w:tcW w:type="dxa" w:w="6840"/>
            <w:tcMar>
              <w:top w:w="80" w:type="dxa"/>
              <w:start w:w="120" w:type="dxa"/>
              <w:bottom w:w="80" w:type="dxa"/>
              <w:end w:w="120" w:type="dxa"/>
            </w:tcMar>
            <w:vAlign w:val="top"/>
          </w:tcPr>
          <w:p>
            <w:pPr>
              <w:spacing w:after="0"/>
            </w:pPr>
            <w:r>
              <w:rPr>
                <w:sz w:val="17"/>
              </w:rPr>
              <w:t>Who is invited, may accompany, and which routes/checkpoints apply.</w:t>
            </w:r>
          </w:p>
        </w:tc>
      </w:tr>
      <w:tr>
        <w:trPr>
          <w:cantSplit/>
        </w:trPr>
        <w:tc>
          <w:tcPr>
            <w:tcW w:type="dxa" w:w="2520"/>
            <w:tcMar>
              <w:top w:w="80" w:type="dxa"/>
              <w:start w:w="120" w:type="dxa"/>
              <w:bottom w:w="80" w:type="dxa"/>
              <w:end w:w="120" w:type="dxa"/>
            </w:tcMar>
            <w:vAlign w:val="top"/>
          </w:tcPr>
          <w:p>
            <w:pPr>
              <w:spacing w:after="0"/>
            </w:pPr>
            <w:r>
              <w:rPr>
                <w:sz w:val="17"/>
              </w:rPr>
              <w:t>transfer plan</w:t>
            </w:r>
          </w:p>
        </w:tc>
        <w:tc>
          <w:tcPr>
            <w:tcW w:type="dxa" w:w="6840"/>
            <w:tcMar>
              <w:top w:w="80" w:type="dxa"/>
              <w:start w:w="120" w:type="dxa"/>
              <w:bottom w:w="80" w:type="dxa"/>
              <w:end w:w="120" w:type="dxa"/>
            </w:tcMar>
            <w:vAlign w:val="top"/>
          </w:tcPr>
          <w:p>
            <w:pPr>
              <w:spacing w:after="0"/>
            </w:pPr>
            <w:r>
              <w:rPr>
                <w:sz w:val="17"/>
              </w:rPr>
              <w:t>Optional shuttle, convoy, independent arrival or no transfer.</w:t>
            </w:r>
          </w:p>
        </w:tc>
      </w:tr>
      <w:tr>
        <w:trPr>
          <w:cantSplit/>
        </w:trPr>
        <w:tc>
          <w:tcPr>
            <w:tcW w:type="dxa" w:w="2520"/>
            <w:tcMar>
              <w:top w:w="80" w:type="dxa"/>
              <w:start w:w="120" w:type="dxa"/>
              <w:bottom w:w="80" w:type="dxa"/>
              <w:end w:w="120" w:type="dxa"/>
            </w:tcMar>
            <w:vAlign w:val="top"/>
          </w:tcPr>
          <w:p>
            <w:pPr>
              <w:spacing w:after="0"/>
            </w:pPr>
            <w:r>
              <w:rPr>
                <w:sz w:val="17"/>
              </w:rPr>
              <w:t>runtime mapping</w:t>
            </w:r>
          </w:p>
        </w:tc>
        <w:tc>
          <w:tcPr>
            <w:tcW w:type="dxa" w:w="6840"/>
            <w:tcMar>
              <w:top w:w="80" w:type="dxa"/>
              <w:start w:w="120" w:type="dxa"/>
              <w:bottom w:w="80" w:type="dxa"/>
              <w:end w:w="120" w:type="dxa"/>
            </w:tcMar>
            <w:vAlign w:val="top"/>
          </w:tcPr>
          <w:p>
            <w:pPr>
              <w:spacing w:after="0"/>
            </w:pPr>
            <w:r>
              <w:rPr>
                <w:sz w:val="17"/>
              </w:rPr>
              <w:t>Snapshot/session reference; phase admission remains in Slice 8 ledger.</w:t>
            </w:r>
          </w:p>
        </w:tc>
      </w:tr>
    </w:tbl>
    <w:p>
      <w:pPr>
        <w:spacing w:after="20"/>
      </w:pPr>
    </w:p>
    <w:p>
      <w:pPr>
        <w:pStyle w:val="Heading2"/>
      </w:pPr>
      <w:r>
        <w:t>5.1 Default phase</w:t>
      </w:r>
    </w:p>
    <w:p>
      <w:r>
        <w:t>Creating an ordinary event automatically creates one default phase using the event date, time zone and primary venue. The operator sees the familiar event workflow. Additional phase controls appear only when “Add ceremony/day/location” is chosen. Converting to multi-phase preserves the original eventId and guest records and creates explicit phase records through a reversible migration.</w:t>
      </w:r>
    </w:p>
    <w:p>
      <w:pPr>
        <w:pStyle w:val="Heading2"/>
      </w:pPr>
      <w:r>
        <w:t>5.2 Example programme</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rPr>
          <w:tblHeader w:val="true"/>
          <w:cantSplit/>
        </w:trPr>
        <w:tc>
          <w:tcPr>
            <w:tcW w:type="dxa" w:w="2304"/>
            <w:shd w:fill="E8EEF5"/>
            <w:tcMar>
              <w:top w:w="80" w:type="dxa"/>
              <w:start w:w="120" w:type="dxa"/>
              <w:bottom w:w="80" w:type="dxa"/>
              <w:end w:w="120" w:type="dxa"/>
            </w:tcMar>
            <w:vAlign w:val="center"/>
          </w:tcPr>
          <w:p>
            <w:r>
              <w:rPr>
                <w:b/>
                <w:color w:val="0B2545"/>
                <w:sz w:val="18"/>
              </w:rPr>
              <w:t>Phase</w:t>
            </w:r>
          </w:p>
        </w:tc>
        <w:tc>
          <w:tcPr>
            <w:tcW w:type="dxa" w:w="1800"/>
            <w:shd w:fill="E8EEF5"/>
            <w:tcMar>
              <w:top w:w="80" w:type="dxa"/>
              <w:start w:w="120" w:type="dxa"/>
              <w:bottom w:w="80" w:type="dxa"/>
              <w:end w:w="120" w:type="dxa"/>
            </w:tcMar>
            <w:vAlign w:val="center"/>
          </w:tcPr>
          <w:p>
            <w:r>
              <w:rPr>
                <w:b/>
                <w:color w:val="0B2545"/>
                <w:sz w:val="18"/>
              </w:rPr>
              <w:t>When</w:t>
            </w:r>
          </w:p>
        </w:tc>
        <w:tc>
          <w:tcPr>
            <w:tcW w:type="dxa" w:w="2376"/>
            <w:shd w:fill="E8EEF5"/>
            <w:tcMar>
              <w:top w:w="80" w:type="dxa"/>
              <w:start w:w="120" w:type="dxa"/>
              <w:bottom w:w="80" w:type="dxa"/>
              <w:end w:w="120" w:type="dxa"/>
            </w:tcMar>
            <w:vAlign w:val="center"/>
          </w:tcPr>
          <w:p>
            <w:r>
              <w:rPr>
                <w:b/>
                <w:color w:val="0B2545"/>
                <w:sz w:val="18"/>
              </w:rPr>
              <w:t>Place</w:t>
            </w:r>
          </w:p>
        </w:tc>
        <w:tc>
          <w:tcPr>
            <w:tcW w:type="dxa" w:w="2880"/>
            <w:shd w:fill="E8EEF5"/>
            <w:tcMar>
              <w:top w:w="80" w:type="dxa"/>
              <w:start w:w="120" w:type="dxa"/>
              <w:bottom w:w="80" w:type="dxa"/>
              <w:end w:w="120" w:type="dxa"/>
            </w:tcMar>
            <w:vAlign w:val="center"/>
          </w:tcPr>
          <w:p>
            <w:r>
              <w:rPr>
                <w:b/>
                <w:color w:val="0B2545"/>
                <w:sz w:val="18"/>
              </w:rPr>
              <w:t>Illustrative audience</w:t>
            </w:r>
          </w:p>
        </w:tc>
      </w:tr>
      <w:tr>
        <w:trPr>
          <w:cantSplit/>
        </w:trPr>
        <w:tc>
          <w:tcPr>
            <w:tcW w:type="dxa" w:w="2304"/>
            <w:tcMar>
              <w:top w:w="80" w:type="dxa"/>
              <w:start w:w="120" w:type="dxa"/>
              <w:bottom w:w="80" w:type="dxa"/>
              <w:end w:w="120" w:type="dxa"/>
            </w:tcMar>
            <w:vAlign w:val="top"/>
          </w:tcPr>
          <w:p>
            <w:pPr>
              <w:spacing w:after="0"/>
            </w:pPr>
            <w:r>
              <w:rPr>
                <w:sz w:val="17"/>
              </w:rPr>
              <w:t>Registry</w:t>
            </w:r>
          </w:p>
        </w:tc>
        <w:tc>
          <w:tcPr>
            <w:tcW w:type="dxa" w:w="1800"/>
            <w:tcMar>
              <w:top w:w="80" w:type="dxa"/>
              <w:start w:w="120" w:type="dxa"/>
              <w:bottom w:w="80" w:type="dxa"/>
              <w:end w:w="120" w:type="dxa"/>
            </w:tcMar>
            <w:vAlign w:val="top"/>
          </w:tcPr>
          <w:p>
            <w:pPr>
              <w:spacing w:after="0"/>
            </w:pPr>
            <w:r>
              <w:rPr>
                <w:sz w:val="17"/>
              </w:rPr>
              <w:t>Thursday 11:00</w:t>
            </w:r>
          </w:p>
        </w:tc>
        <w:tc>
          <w:tcPr>
            <w:tcW w:type="dxa" w:w="2376"/>
            <w:tcMar>
              <w:top w:w="80" w:type="dxa"/>
              <w:start w:w="120" w:type="dxa"/>
              <w:bottom w:w="80" w:type="dxa"/>
              <w:end w:w="120" w:type="dxa"/>
            </w:tcMar>
            <w:vAlign w:val="top"/>
          </w:tcPr>
          <w:p>
            <w:pPr>
              <w:spacing w:after="0"/>
            </w:pPr>
            <w:r>
              <w:rPr>
                <w:sz w:val="17"/>
              </w:rPr>
              <w:t>Registry office</w:t>
            </w:r>
          </w:p>
        </w:tc>
        <w:tc>
          <w:tcPr>
            <w:tcW w:type="dxa" w:w="2880"/>
            <w:tcMar>
              <w:top w:w="80" w:type="dxa"/>
              <w:start w:w="120" w:type="dxa"/>
              <w:bottom w:w="80" w:type="dxa"/>
              <w:end w:w="120" w:type="dxa"/>
            </w:tcMar>
            <w:vAlign w:val="top"/>
          </w:tcPr>
          <w:p>
            <w:pPr>
              <w:spacing w:after="0"/>
            </w:pPr>
            <w:r>
              <w:rPr>
                <w:sz w:val="17"/>
              </w:rPr>
              <w:t>Couple, witnesses, selected family</w:t>
            </w:r>
          </w:p>
        </w:tc>
      </w:tr>
      <w:tr>
        <w:trPr>
          <w:cantSplit/>
        </w:trPr>
        <w:tc>
          <w:tcPr>
            <w:tcW w:type="dxa" w:w="2304"/>
            <w:tcMar>
              <w:top w:w="80" w:type="dxa"/>
              <w:start w:w="120" w:type="dxa"/>
              <w:bottom w:w="80" w:type="dxa"/>
              <w:end w:w="120" w:type="dxa"/>
            </w:tcMar>
            <w:vAlign w:val="top"/>
          </w:tcPr>
          <w:p>
            <w:pPr>
              <w:spacing w:after="0"/>
            </w:pPr>
            <w:r>
              <w:rPr>
                <w:sz w:val="17"/>
              </w:rPr>
              <w:t>Traditional ceremony</w:t>
            </w:r>
          </w:p>
        </w:tc>
        <w:tc>
          <w:tcPr>
            <w:tcW w:type="dxa" w:w="1800"/>
            <w:tcMar>
              <w:top w:w="80" w:type="dxa"/>
              <w:start w:w="120" w:type="dxa"/>
              <w:bottom w:w="80" w:type="dxa"/>
              <w:end w:w="120" w:type="dxa"/>
            </w:tcMar>
            <w:vAlign w:val="top"/>
          </w:tcPr>
          <w:p>
            <w:pPr>
              <w:spacing w:after="0"/>
            </w:pPr>
            <w:r>
              <w:rPr>
                <w:sz w:val="17"/>
              </w:rPr>
              <w:t>Friday 14:00</w:t>
            </w:r>
          </w:p>
        </w:tc>
        <w:tc>
          <w:tcPr>
            <w:tcW w:type="dxa" w:w="2376"/>
            <w:tcMar>
              <w:top w:w="80" w:type="dxa"/>
              <w:start w:w="120" w:type="dxa"/>
              <w:bottom w:w="80" w:type="dxa"/>
              <w:end w:w="120" w:type="dxa"/>
            </w:tcMar>
            <w:vAlign w:val="top"/>
          </w:tcPr>
          <w:p>
            <w:pPr>
              <w:spacing w:after="0"/>
            </w:pPr>
            <w:r>
              <w:rPr>
                <w:sz w:val="17"/>
              </w:rPr>
              <w:t>Family residence</w:t>
            </w:r>
          </w:p>
        </w:tc>
        <w:tc>
          <w:tcPr>
            <w:tcW w:type="dxa" w:w="2880"/>
            <w:tcMar>
              <w:top w:w="80" w:type="dxa"/>
              <w:start w:w="120" w:type="dxa"/>
              <w:bottom w:w="80" w:type="dxa"/>
              <w:end w:w="120" w:type="dxa"/>
            </w:tcMar>
            <w:vAlign w:val="top"/>
          </w:tcPr>
          <w:p>
            <w:pPr>
              <w:spacing w:after="0"/>
            </w:pPr>
            <w:r>
              <w:rPr>
                <w:sz w:val="17"/>
              </w:rPr>
              <w:t>Configured family and guests</w:t>
            </w:r>
          </w:p>
        </w:tc>
      </w:tr>
      <w:tr>
        <w:trPr>
          <w:cantSplit/>
        </w:trPr>
        <w:tc>
          <w:tcPr>
            <w:tcW w:type="dxa" w:w="2304"/>
            <w:tcMar>
              <w:top w:w="80" w:type="dxa"/>
              <w:start w:w="120" w:type="dxa"/>
              <w:bottom w:w="80" w:type="dxa"/>
              <w:end w:w="120" w:type="dxa"/>
            </w:tcMar>
            <w:vAlign w:val="top"/>
          </w:tcPr>
          <w:p>
            <w:pPr>
              <w:spacing w:after="0"/>
            </w:pPr>
            <w:r>
              <w:rPr>
                <w:sz w:val="17"/>
              </w:rPr>
              <w:t>Church</w:t>
            </w:r>
          </w:p>
        </w:tc>
        <w:tc>
          <w:tcPr>
            <w:tcW w:type="dxa" w:w="1800"/>
            <w:tcMar>
              <w:top w:w="80" w:type="dxa"/>
              <w:start w:w="120" w:type="dxa"/>
              <w:bottom w:w="80" w:type="dxa"/>
              <w:end w:w="120" w:type="dxa"/>
            </w:tcMar>
            <w:vAlign w:val="top"/>
          </w:tcPr>
          <w:p>
            <w:pPr>
              <w:spacing w:after="0"/>
            </w:pPr>
            <w:r>
              <w:rPr>
                <w:sz w:val="17"/>
              </w:rPr>
              <w:t>Saturday 10:00</w:t>
            </w:r>
          </w:p>
        </w:tc>
        <w:tc>
          <w:tcPr>
            <w:tcW w:type="dxa" w:w="2376"/>
            <w:tcMar>
              <w:top w:w="80" w:type="dxa"/>
              <w:start w:w="120" w:type="dxa"/>
              <w:bottom w:w="80" w:type="dxa"/>
              <w:end w:w="120" w:type="dxa"/>
            </w:tcMar>
            <w:vAlign w:val="top"/>
          </w:tcPr>
          <w:p>
            <w:pPr>
              <w:spacing w:after="0"/>
            </w:pPr>
            <w:r>
              <w:rPr>
                <w:sz w:val="17"/>
              </w:rPr>
              <w:t>Church</w:t>
            </w:r>
          </w:p>
        </w:tc>
        <w:tc>
          <w:tcPr>
            <w:tcW w:type="dxa" w:w="2880"/>
            <w:tcMar>
              <w:top w:w="80" w:type="dxa"/>
              <w:start w:w="120" w:type="dxa"/>
              <w:bottom w:w="80" w:type="dxa"/>
              <w:end w:w="120" w:type="dxa"/>
            </w:tcMar>
            <w:vAlign w:val="top"/>
          </w:tcPr>
          <w:p>
            <w:pPr>
              <w:spacing w:after="0"/>
            </w:pPr>
            <w:r>
              <w:rPr>
                <w:sz w:val="17"/>
              </w:rPr>
              <w:t>Broad invited cohort</w:t>
            </w:r>
          </w:p>
        </w:tc>
      </w:tr>
      <w:tr>
        <w:trPr>
          <w:cantSplit/>
        </w:trPr>
        <w:tc>
          <w:tcPr>
            <w:tcW w:type="dxa" w:w="2304"/>
            <w:tcMar>
              <w:top w:w="80" w:type="dxa"/>
              <w:start w:w="120" w:type="dxa"/>
              <w:bottom w:w="80" w:type="dxa"/>
              <w:end w:w="120" w:type="dxa"/>
            </w:tcMar>
            <w:vAlign w:val="top"/>
          </w:tcPr>
          <w:p>
            <w:pPr>
              <w:spacing w:after="0"/>
            </w:pPr>
            <w:r>
              <w:rPr>
                <w:sz w:val="17"/>
              </w:rPr>
              <w:t>Reception</w:t>
            </w:r>
          </w:p>
        </w:tc>
        <w:tc>
          <w:tcPr>
            <w:tcW w:type="dxa" w:w="1800"/>
            <w:tcMar>
              <w:top w:w="80" w:type="dxa"/>
              <w:start w:w="120" w:type="dxa"/>
              <w:bottom w:w="80" w:type="dxa"/>
              <w:end w:w="120" w:type="dxa"/>
            </w:tcMar>
            <w:vAlign w:val="top"/>
          </w:tcPr>
          <w:p>
            <w:pPr>
              <w:spacing w:after="0"/>
            </w:pPr>
            <w:r>
              <w:rPr>
                <w:sz w:val="17"/>
              </w:rPr>
              <w:t>Saturday 14:00</w:t>
            </w:r>
          </w:p>
        </w:tc>
        <w:tc>
          <w:tcPr>
            <w:tcW w:type="dxa" w:w="2376"/>
            <w:tcMar>
              <w:top w:w="80" w:type="dxa"/>
              <w:start w:w="120" w:type="dxa"/>
              <w:bottom w:w="80" w:type="dxa"/>
              <w:end w:w="120" w:type="dxa"/>
            </w:tcMar>
            <w:vAlign w:val="top"/>
          </w:tcPr>
          <w:p>
            <w:pPr>
              <w:spacing w:after="0"/>
            </w:pPr>
            <w:r>
              <w:rPr>
                <w:sz w:val="17"/>
              </w:rPr>
              <w:t>Reception venue</w:t>
            </w:r>
          </w:p>
        </w:tc>
        <w:tc>
          <w:tcPr>
            <w:tcW w:type="dxa" w:w="2880"/>
            <w:tcMar>
              <w:top w:w="80" w:type="dxa"/>
              <w:start w:w="120" w:type="dxa"/>
              <w:bottom w:w="80" w:type="dxa"/>
              <w:end w:w="120" w:type="dxa"/>
            </w:tcMar>
            <w:vAlign w:val="top"/>
          </w:tcPr>
          <w:p>
            <w:pPr>
              <w:spacing w:after="0"/>
            </w:pPr>
            <w:r>
              <w:rPr>
                <w:sz w:val="17"/>
              </w:rPr>
              <w:t>Reception-entitled guests</w:t>
            </w:r>
          </w:p>
        </w:tc>
      </w:tr>
      <w:tr>
        <w:trPr>
          <w:cantSplit/>
        </w:trPr>
        <w:tc>
          <w:tcPr>
            <w:tcW w:type="dxa" w:w="2304"/>
            <w:tcMar>
              <w:top w:w="80" w:type="dxa"/>
              <w:start w:w="120" w:type="dxa"/>
              <w:bottom w:w="80" w:type="dxa"/>
              <w:end w:w="120" w:type="dxa"/>
            </w:tcMar>
            <w:vAlign w:val="top"/>
          </w:tcPr>
          <w:p>
            <w:pPr>
              <w:spacing w:after="0"/>
            </w:pPr>
            <w:r>
              <w:rPr>
                <w:sz w:val="17"/>
              </w:rPr>
              <w:t>After-party</w:t>
            </w:r>
          </w:p>
        </w:tc>
        <w:tc>
          <w:tcPr>
            <w:tcW w:type="dxa" w:w="1800"/>
            <w:tcMar>
              <w:top w:w="80" w:type="dxa"/>
              <w:start w:w="120" w:type="dxa"/>
              <w:bottom w:w="80" w:type="dxa"/>
              <w:end w:w="120" w:type="dxa"/>
            </w:tcMar>
            <w:vAlign w:val="top"/>
          </w:tcPr>
          <w:p>
            <w:pPr>
              <w:spacing w:after="0"/>
            </w:pPr>
            <w:r>
              <w:rPr>
                <w:sz w:val="17"/>
              </w:rPr>
              <w:t>Saturday 22:00</w:t>
            </w:r>
          </w:p>
        </w:tc>
        <w:tc>
          <w:tcPr>
            <w:tcW w:type="dxa" w:w="2376"/>
            <w:tcMar>
              <w:top w:w="80" w:type="dxa"/>
              <w:start w:w="120" w:type="dxa"/>
              <w:bottom w:w="80" w:type="dxa"/>
              <w:end w:w="120" w:type="dxa"/>
            </w:tcMar>
            <w:vAlign w:val="top"/>
          </w:tcPr>
          <w:p>
            <w:pPr>
              <w:spacing w:after="0"/>
            </w:pPr>
            <w:r>
              <w:rPr>
                <w:sz w:val="17"/>
              </w:rPr>
              <w:t>Private venue</w:t>
            </w:r>
          </w:p>
        </w:tc>
        <w:tc>
          <w:tcPr>
            <w:tcW w:type="dxa" w:w="2880"/>
            <w:tcMar>
              <w:top w:w="80" w:type="dxa"/>
              <w:start w:w="120" w:type="dxa"/>
              <w:bottom w:w="80" w:type="dxa"/>
              <w:end w:w="120" w:type="dxa"/>
            </w:tcMar>
            <w:vAlign w:val="top"/>
          </w:tcPr>
          <w:p>
            <w:pPr>
              <w:spacing w:after="0"/>
            </w:pPr>
            <w:r>
              <w:rPr>
                <w:sz w:val="17"/>
              </w:rPr>
              <w:t>Restricted subset</w:t>
            </w:r>
          </w:p>
        </w:tc>
      </w:tr>
      <w:tr>
        <w:trPr>
          <w:cantSplit/>
        </w:trPr>
        <w:tc>
          <w:tcPr>
            <w:tcW w:type="dxa" w:w="2304"/>
            <w:tcMar>
              <w:top w:w="80" w:type="dxa"/>
              <w:start w:w="120" w:type="dxa"/>
              <w:bottom w:w="80" w:type="dxa"/>
              <w:end w:w="120" w:type="dxa"/>
            </w:tcMar>
            <w:vAlign w:val="top"/>
          </w:tcPr>
          <w:p>
            <w:pPr>
              <w:spacing w:after="0"/>
            </w:pPr>
            <w:r>
              <w:rPr>
                <w:sz w:val="17"/>
              </w:rPr>
              <w:t>Thanksgiving brunch</w:t>
            </w:r>
          </w:p>
        </w:tc>
        <w:tc>
          <w:tcPr>
            <w:tcW w:type="dxa" w:w="1800"/>
            <w:tcMar>
              <w:top w:w="80" w:type="dxa"/>
              <w:start w:w="120" w:type="dxa"/>
              <w:bottom w:w="80" w:type="dxa"/>
              <w:end w:w="120" w:type="dxa"/>
            </w:tcMar>
            <w:vAlign w:val="top"/>
          </w:tcPr>
          <w:p>
            <w:pPr>
              <w:spacing w:after="0"/>
            </w:pPr>
            <w:r>
              <w:rPr>
                <w:sz w:val="17"/>
              </w:rPr>
              <w:t>Sunday 11:00</w:t>
            </w:r>
          </w:p>
        </w:tc>
        <w:tc>
          <w:tcPr>
            <w:tcW w:type="dxa" w:w="2376"/>
            <w:tcMar>
              <w:top w:w="80" w:type="dxa"/>
              <w:start w:w="120" w:type="dxa"/>
              <w:bottom w:w="80" w:type="dxa"/>
              <w:end w:w="120" w:type="dxa"/>
            </w:tcMar>
            <w:vAlign w:val="top"/>
          </w:tcPr>
          <w:p>
            <w:pPr>
              <w:spacing w:after="0"/>
            </w:pPr>
            <w:r>
              <w:rPr>
                <w:sz w:val="17"/>
              </w:rPr>
              <w:t>Hotel</w:t>
            </w:r>
          </w:p>
        </w:tc>
        <w:tc>
          <w:tcPr>
            <w:tcW w:type="dxa" w:w="2880"/>
            <w:tcMar>
              <w:top w:w="80" w:type="dxa"/>
              <w:start w:w="120" w:type="dxa"/>
              <w:bottom w:w="80" w:type="dxa"/>
              <w:end w:w="120" w:type="dxa"/>
            </w:tcMar>
            <w:vAlign w:val="top"/>
          </w:tcPr>
          <w:p>
            <w:pPr>
              <w:spacing w:after="0"/>
            </w:pPr>
            <w:r>
              <w:rPr>
                <w:sz w:val="17"/>
              </w:rPr>
              <w:t>Family/VIP cohort</w:t>
            </w:r>
          </w:p>
        </w:tc>
      </w:tr>
    </w:tbl>
    <w:p>
      <w:pPr>
        <w:spacing w:after="20"/>
      </w:pPr>
    </w:p>
    <w:p>
      <w:pPr>
        <w:pStyle w:val="Heading1"/>
      </w:pPr>
      <w:r>
        <w:t>6. Phase-specific guest and party entitlements</w:t>
      </w:r>
    </w:p>
    <w:p>
      <w:pPr>
        <w:pStyle w:val="ListBullet"/>
        <w:spacing w:after="80"/>
      </w:pPr>
      <w:r>
        <w:t>Invite and RSVP each guest per phase; derive overall status without erasing phase detail.</w:t>
      </w:r>
    </w:p>
    <w:p>
      <w:pPr>
        <w:pStyle w:val="ListBullet"/>
        <w:spacing w:after="80"/>
      </w:pPr>
      <w:r>
        <w:t>Permit a household to attend church while only named members hold reception seats.</w:t>
      </w:r>
    </w:p>
    <w:p>
      <w:pPr>
        <w:pStyle w:val="ListBullet"/>
        <w:spacing w:after="80"/>
      </w:pPr>
      <w:r>
        <w:t>Allow children, carers, drivers, aides and protection officers different phase and zone access.</w:t>
      </w:r>
    </w:p>
    <w:p>
      <w:pPr>
        <w:pStyle w:val="ListBullet"/>
        <w:spacing w:after="80"/>
      </w:pPr>
      <w:r>
        <w:t>Keep unnamed companion entitlement under EOS-S03/S04A until nominated; do not issue an unidentified person credential.</w:t>
      </w:r>
    </w:p>
    <w:p>
      <w:pPr>
        <w:pStyle w:val="ListBullet"/>
        <w:spacing w:after="80"/>
      </w:pPr>
      <w:r>
        <w:t>Support invitation party, arrival party, convoy and vehicle grouping independently.</w:t>
      </w:r>
    </w:p>
    <w:p>
      <w:pPr>
        <w:pStyle w:val="ListBullet"/>
        <w:spacing w:after="80"/>
      </w:pPr>
      <w:r>
        <w:t>Require responsible-adult coherence for a child at every phase they attend.</w:t>
      </w:r>
    </w:p>
    <w:p>
      <w:pPr>
        <w:pStyle w:val="ListBullet"/>
        <w:spacing w:after="80"/>
      </w:pPr>
      <w:r>
        <w:t>Recalculate affected phase projections when a guest or party changes; never expand authority through grouping.</w:t>
      </w:r>
    </w:p>
    <w:p>
      <w:pPr>
        <w:pStyle w:val="Heading2"/>
      </w:pPr>
      <w:r>
        <w:t>6.1 Entitlement dimensions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Dimension</w:t>
            </w:r>
          </w:p>
        </w:tc>
        <w:tc>
          <w:tcPr>
            <w:tcW w:type="dxa" w:w="7128"/>
            <w:shd w:fill="E8EEF5"/>
            <w:tcMar>
              <w:top w:w="80" w:type="dxa"/>
              <w:start w:w="120" w:type="dxa"/>
              <w:bottom w:w="80" w:type="dxa"/>
              <w:end w:w="120" w:type="dxa"/>
            </w:tcMar>
            <w:vAlign w:val="center"/>
          </w:tcPr>
          <w:p>
            <w:r>
              <w:rPr>
                <w:b/>
                <w:color w:val="0B2545"/>
                <w:sz w:val="18"/>
              </w:rPr>
              <w:t>Examples</w:t>
            </w:r>
          </w:p>
        </w:tc>
      </w:tr>
      <w:tr>
        <w:trPr>
          <w:cantSplit/>
        </w:trPr>
        <w:tc>
          <w:tcPr>
            <w:tcW w:type="dxa" w:w="2232"/>
            <w:tcMar>
              <w:top w:w="80" w:type="dxa"/>
              <w:start w:w="120" w:type="dxa"/>
              <w:bottom w:w="80" w:type="dxa"/>
              <w:end w:w="120" w:type="dxa"/>
            </w:tcMar>
            <w:vAlign w:val="top"/>
          </w:tcPr>
          <w:p>
            <w:pPr>
              <w:spacing w:after="0"/>
            </w:pPr>
            <w:r>
              <w:rPr>
                <w:sz w:val="17"/>
              </w:rPr>
              <w:t>Subject</w:t>
            </w:r>
          </w:p>
        </w:tc>
        <w:tc>
          <w:tcPr>
            <w:tcW w:type="dxa" w:w="7128"/>
            <w:tcMar>
              <w:top w:w="80" w:type="dxa"/>
              <w:start w:w="120" w:type="dxa"/>
              <w:bottom w:w="80" w:type="dxa"/>
              <w:end w:w="120" w:type="dxa"/>
            </w:tcMar>
            <w:vAlign w:val="top"/>
          </w:tcPr>
          <w:p>
            <w:pPr>
              <w:spacing w:after="0"/>
            </w:pPr>
            <w:r>
              <w:rPr>
                <w:sz w:val="17"/>
              </w:rPr>
              <w:t>guestId, party member, carer, driver, protection officer, staff, vendor, performer, media, vehicleId</w:t>
            </w:r>
          </w:p>
        </w:tc>
      </w:tr>
      <w:tr>
        <w:trPr>
          <w:cantSplit/>
        </w:trPr>
        <w:tc>
          <w:tcPr>
            <w:tcW w:type="dxa" w:w="2232"/>
            <w:tcMar>
              <w:top w:w="80" w:type="dxa"/>
              <w:start w:w="120" w:type="dxa"/>
              <w:bottom w:w="80" w:type="dxa"/>
              <w:end w:w="120" w:type="dxa"/>
            </w:tcMar>
            <w:vAlign w:val="top"/>
          </w:tcPr>
          <w:p>
            <w:pPr>
              <w:spacing w:after="0"/>
            </w:pPr>
            <w:r>
              <w:rPr>
                <w:sz w:val="17"/>
              </w:rPr>
              <w:t>Phase</w:t>
            </w:r>
          </w:p>
        </w:tc>
        <w:tc>
          <w:tcPr>
            <w:tcW w:type="dxa" w:w="7128"/>
            <w:tcMar>
              <w:top w:w="80" w:type="dxa"/>
              <w:start w:w="120" w:type="dxa"/>
              <w:bottom w:w="80" w:type="dxa"/>
              <w:end w:w="120" w:type="dxa"/>
            </w:tcMar>
            <w:vAlign w:val="top"/>
          </w:tcPr>
          <w:p>
            <w:pPr>
              <w:spacing w:after="0"/>
            </w:pPr>
            <w:r>
              <w:rPr>
                <w:sz w:val="17"/>
              </w:rPr>
              <w:t>Church only; reception plus after-party; all programme phases</w:t>
            </w:r>
          </w:p>
        </w:tc>
      </w:tr>
      <w:tr>
        <w:trPr>
          <w:cantSplit/>
        </w:trPr>
        <w:tc>
          <w:tcPr>
            <w:tcW w:type="dxa" w:w="2232"/>
            <w:tcMar>
              <w:top w:w="80" w:type="dxa"/>
              <w:start w:w="120" w:type="dxa"/>
              <w:bottom w:w="80" w:type="dxa"/>
              <w:end w:w="120" w:type="dxa"/>
            </w:tcMar>
            <w:vAlign w:val="top"/>
          </w:tcPr>
          <w:p>
            <w:pPr>
              <w:spacing w:after="0"/>
            </w:pPr>
            <w:r>
              <w:rPr>
                <w:sz w:val="17"/>
              </w:rPr>
              <w:t>Checkpoint</w:t>
            </w:r>
          </w:p>
        </w:tc>
        <w:tc>
          <w:tcPr>
            <w:tcW w:type="dxa" w:w="7128"/>
            <w:tcMar>
              <w:top w:w="80" w:type="dxa"/>
              <w:start w:w="120" w:type="dxa"/>
              <w:bottom w:w="80" w:type="dxa"/>
              <w:end w:w="120" w:type="dxa"/>
            </w:tcMar>
            <w:vAlign w:val="top"/>
          </w:tcPr>
          <w:p>
            <w:pPr>
              <w:spacing w:after="0"/>
            </w:pPr>
            <w:r>
              <w:rPr>
                <w:sz w:val="17"/>
              </w:rPr>
              <w:t>Estate main gate, vehicle screen, car park, venue entrance, VIP/private entrance</w:t>
            </w:r>
          </w:p>
        </w:tc>
      </w:tr>
      <w:tr>
        <w:trPr>
          <w:cantSplit/>
        </w:trPr>
        <w:tc>
          <w:tcPr>
            <w:tcW w:type="dxa" w:w="2232"/>
            <w:tcMar>
              <w:top w:w="80" w:type="dxa"/>
              <w:start w:w="120" w:type="dxa"/>
              <w:bottom w:w="80" w:type="dxa"/>
              <w:end w:w="120" w:type="dxa"/>
            </w:tcMar>
            <w:vAlign w:val="top"/>
          </w:tcPr>
          <w:p>
            <w:pPr>
              <w:spacing w:after="0"/>
            </w:pPr>
            <w:r>
              <w:rPr>
                <w:sz w:val="17"/>
              </w:rPr>
              <w:t>Zone</w:t>
            </w:r>
          </w:p>
        </w:tc>
        <w:tc>
          <w:tcPr>
            <w:tcW w:type="dxa" w:w="7128"/>
            <w:tcMar>
              <w:top w:w="80" w:type="dxa"/>
              <w:start w:w="120" w:type="dxa"/>
              <w:bottom w:w="80" w:type="dxa"/>
              <w:end w:w="120" w:type="dxa"/>
            </w:tcMar>
            <w:vAlign w:val="top"/>
          </w:tcPr>
          <w:p>
            <w:pPr>
              <w:spacing w:after="0"/>
            </w:pPr>
            <w:r>
              <w:rPr>
                <w:sz w:val="17"/>
              </w:rPr>
              <w:t>General floor, VIP lounge, backstage, family/private, service area</w:t>
            </w:r>
          </w:p>
        </w:tc>
      </w:tr>
      <w:tr>
        <w:trPr>
          <w:cantSplit/>
        </w:trPr>
        <w:tc>
          <w:tcPr>
            <w:tcW w:type="dxa" w:w="2232"/>
            <w:tcMar>
              <w:top w:w="80" w:type="dxa"/>
              <w:start w:w="120" w:type="dxa"/>
              <w:bottom w:w="80" w:type="dxa"/>
              <w:end w:w="120" w:type="dxa"/>
            </w:tcMar>
            <w:vAlign w:val="top"/>
          </w:tcPr>
          <w:p>
            <w:pPr>
              <w:spacing w:after="0"/>
            </w:pPr>
            <w:r>
              <w:rPr>
                <w:sz w:val="17"/>
              </w:rPr>
              <w:t>Route</w:t>
            </w:r>
          </w:p>
        </w:tc>
        <w:tc>
          <w:tcPr>
            <w:tcW w:type="dxa" w:w="7128"/>
            <w:tcMar>
              <w:top w:w="80" w:type="dxa"/>
              <w:start w:w="120" w:type="dxa"/>
              <w:bottom w:w="80" w:type="dxa"/>
              <w:end w:w="120" w:type="dxa"/>
            </w:tcMar>
            <w:vAlign w:val="top"/>
          </w:tcPr>
          <w:p>
            <w:pPr>
              <w:spacing w:after="0"/>
            </w:pPr>
            <w:r>
              <w:rPr>
                <w:sz w:val="17"/>
              </w:rPr>
              <w:t>General, discreet fast-track, accessible, service, convoy</w:t>
            </w:r>
          </w:p>
        </w:tc>
      </w:tr>
      <w:tr>
        <w:trPr>
          <w:cantSplit/>
        </w:trPr>
        <w:tc>
          <w:tcPr>
            <w:tcW w:type="dxa" w:w="2232"/>
            <w:tcMar>
              <w:top w:w="80" w:type="dxa"/>
              <w:start w:w="120" w:type="dxa"/>
              <w:bottom w:w="80" w:type="dxa"/>
              <w:end w:w="120" w:type="dxa"/>
            </w:tcMar>
            <w:vAlign w:val="top"/>
          </w:tcPr>
          <w:p>
            <w:pPr>
              <w:spacing w:after="0"/>
            </w:pPr>
            <w:r>
              <w:rPr>
                <w:sz w:val="17"/>
              </w:rPr>
              <w:t>Validity</w:t>
            </w:r>
          </w:p>
        </w:tc>
        <w:tc>
          <w:tcPr>
            <w:tcW w:type="dxa" w:w="7128"/>
            <w:tcMar>
              <w:top w:w="80" w:type="dxa"/>
              <w:start w:w="120" w:type="dxa"/>
              <w:bottom w:w="80" w:type="dxa"/>
              <w:end w:w="120" w:type="dxa"/>
            </w:tcMar>
            <w:vAlign w:val="top"/>
          </w:tcPr>
          <w:p>
            <w:pPr>
              <w:spacing w:after="0"/>
            </w:pPr>
            <w:r>
              <w:rPr>
                <w:sz w:val="17"/>
              </w:rPr>
              <w:t>Date/time window, entry count, re-entry rule, accompanied-only rule</w:t>
            </w:r>
          </w:p>
        </w:tc>
      </w:tr>
      <w:tr>
        <w:trPr>
          <w:cantSplit/>
        </w:trPr>
        <w:tc>
          <w:tcPr>
            <w:tcW w:type="dxa" w:w="2232"/>
            <w:tcMar>
              <w:top w:w="80" w:type="dxa"/>
              <w:start w:w="120" w:type="dxa"/>
              <w:bottom w:w="80" w:type="dxa"/>
              <w:end w:w="120" w:type="dxa"/>
            </w:tcMar>
            <w:vAlign w:val="top"/>
          </w:tcPr>
          <w:p>
            <w:pPr>
              <w:spacing w:after="0"/>
            </w:pPr>
            <w:r>
              <w:rPr>
                <w:sz w:val="17"/>
              </w:rPr>
              <w:t>Conditions</w:t>
            </w:r>
          </w:p>
        </w:tc>
        <w:tc>
          <w:tcPr>
            <w:tcW w:type="dxa" w:w="7128"/>
            <w:tcMar>
              <w:top w:w="80" w:type="dxa"/>
              <w:start w:w="120" w:type="dxa"/>
              <w:bottom w:w="80" w:type="dxa"/>
              <w:end w:w="120" w:type="dxa"/>
            </w:tcMar>
            <w:vAlign w:val="top"/>
          </w:tcPr>
          <w:p>
            <w:pPr>
              <w:spacing w:after="0"/>
            </w:pPr>
            <w:r>
              <w:rPr>
                <w:sz w:val="17"/>
              </w:rPr>
              <w:t>Principal present, named vehicle, assigned duty, supervisor approval</w:t>
            </w:r>
          </w:p>
        </w:tc>
      </w:tr>
      <w:tr>
        <w:trPr>
          <w:cantSplit/>
        </w:trPr>
        <w:tc>
          <w:tcPr>
            <w:tcW w:type="dxa" w:w="2232"/>
            <w:tcMar>
              <w:top w:w="80" w:type="dxa"/>
              <w:start w:w="120" w:type="dxa"/>
              <w:bottom w:w="80" w:type="dxa"/>
              <w:end w:w="120" w:type="dxa"/>
            </w:tcMar>
            <w:vAlign w:val="top"/>
          </w:tcPr>
          <w:p>
            <w:pPr>
              <w:spacing w:after="0"/>
            </w:pPr>
            <w:r>
              <w:rPr>
                <w:sz w:val="17"/>
              </w:rPr>
              <w:t>State</w:t>
            </w:r>
          </w:p>
        </w:tc>
        <w:tc>
          <w:tcPr>
            <w:tcW w:type="dxa" w:w="7128"/>
            <w:tcMar>
              <w:top w:w="80" w:type="dxa"/>
              <w:start w:w="120" w:type="dxa"/>
              <w:bottom w:w="80" w:type="dxa"/>
              <w:end w:w="120" w:type="dxa"/>
            </w:tcMar>
            <w:vAlign w:val="top"/>
          </w:tcPr>
          <w:p>
            <w:pPr>
              <w:spacing w:after="0"/>
            </w:pPr>
            <w:r>
              <w:rPr>
                <w:sz w:val="17"/>
              </w:rPr>
              <w:t>DRAFT, ACTIVE, SUSPENDED, REVOKED, EXPIRED, REPLACED</w:t>
            </w:r>
          </w:p>
        </w:tc>
      </w:tr>
    </w:tbl>
    <w:p>
      <w:pPr>
        <w:spacing w:after="20"/>
      </w:pPr>
    </w:p>
    <w:p>
      <w:pPr>
        <w:pStyle w:val="Heading1"/>
      </w:pPr>
      <w:r>
        <w:t>7. Arrival routing and checkpoints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1944"/>
            <w:shd w:fill="E8EEF5"/>
            <w:tcMar>
              <w:top w:w="80" w:type="dxa"/>
              <w:start w:w="120" w:type="dxa"/>
              <w:bottom w:w="80" w:type="dxa"/>
              <w:end w:w="120" w:type="dxa"/>
            </w:tcMar>
            <w:vAlign w:val="center"/>
          </w:tcPr>
          <w:p>
            <w:r>
              <w:rPr>
                <w:b/>
                <w:color w:val="0B2545"/>
                <w:sz w:val="18"/>
              </w:rPr>
              <w:t>Layer</w:t>
            </w:r>
          </w:p>
        </w:tc>
        <w:tc>
          <w:tcPr>
            <w:tcW w:type="dxa" w:w="7416"/>
            <w:shd w:fill="E8EEF5"/>
            <w:tcMar>
              <w:top w:w="80" w:type="dxa"/>
              <w:start w:w="120" w:type="dxa"/>
              <w:bottom w:w="80" w:type="dxa"/>
              <w:end w:w="120" w:type="dxa"/>
            </w:tcMar>
            <w:vAlign w:val="center"/>
          </w:tcPr>
          <w:p>
            <w:r>
              <w:rPr>
                <w:b/>
                <w:color w:val="0B2545"/>
                <w:sz w:val="18"/>
              </w:rPr>
              <w:t>Optional checkpoint types</w:t>
            </w:r>
          </w:p>
        </w:tc>
      </w:tr>
      <w:tr>
        <w:trPr>
          <w:cantSplit/>
        </w:trPr>
        <w:tc>
          <w:tcPr>
            <w:tcW w:type="dxa" w:w="1944"/>
            <w:tcMar>
              <w:top w:w="80" w:type="dxa"/>
              <w:start w:w="120" w:type="dxa"/>
              <w:bottom w:w="80" w:type="dxa"/>
              <w:end w:w="120" w:type="dxa"/>
            </w:tcMar>
            <w:vAlign w:val="top"/>
          </w:tcPr>
          <w:p>
            <w:pPr>
              <w:spacing w:after="0"/>
            </w:pPr>
            <w:r>
              <w:rPr>
                <w:sz w:val="17"/>
              </w:rPr>
              <w:t>Outer perimeter</w:t>
            </w:r>
          </w:p>
        </w:tc>
        <w:tc>
          <w:tcPr>
            <w:tcW w:type="dxa" w:w="7416"/>
            <w:tcMar>
              <w:top w:w="80" w:type="dxa"/>
              <w:start w:w="120" w:type="dxa"/>
              <w:bottom w:w="80" w:type="dxa"/>
              <w:end w:w="120" w:type="dxa"/>
            </w:tcMar>
            <w:vAlign w:val="top"/>
          </w:tcPr>
          <w:p>
            <w:pPr>
              <w:spacing w:after="0"/>
            </w:pPr>
            <w:r>
              <w:rPr>
                <w:sz w:val="17"/>
              </w:rPr>
              <w:t>Estate main gate, secondary gate, VIP/private gate, service/vendor gate, emergency access.</w:t>
            </w:r>
          </w:p>
        </w:tc>
      </w:tr>
      <w:tr>
        <w:trPr>
          <w:cantSplit/>
        </w:trPr>
        <w:tc>
          <w:tcPr>
            <w:tcW w:type="dxa" w:w="1944"/>
            <w:tcMar>
              <w:top w:w="80" w:type="dxa"/>
              <w:start w:w="120" w:type="dxa"/>
              <w:bottom w:w="80" w:type="dxa"/>
              <w:end w:w="120" w:type="dxa"/>
            </w:tcMar>
            <w:vAlign w:val="top"/>
          </w:tcPr>
          <w:p>
            <w:pPr>
              <w:spacing w:after="0"/>
            </w:pPr>
            <w:r>
              <w:rPr>
                <w:sz w:val="17"/>
              </w:rPr>
              <w:t>Vehicle</w:t>
            </w:r>
          </w:p>
        </w:tc>
        <w:tc>
          <w:tcPr>
            <w:tcW w:type="dxa" w:w="7416"/>
            <w:tcMar>
              <w:top w:w="80" w:type="dxa"/>
              <w:start w:w="120" w:type="dxa"/>
              <w:bottom w:w="80" w:type="dxa"/>
              <w:end w:w="120" w:type="dxa"/>
            </w:tcMar>
            <w:vAlign w:val="top"/>
          </w:tcPr>
          <w:p>
            <w:pPr>
              <w:spacing w:after="0"/>
            </w:pPr>
            <w:r>
              <w:rPr>
                <w:sz w:val="17"/>
              </w:rPr>
              <w:t>Vehicle screening, credential pre-check, convoy holding, drop-off, valet handover.</w:t>
            </w:r>
          </w:p>
        </w:tc>
      </w:tr>
      <w:tr>
        <w:trPr>
          <w:cantSplit/>
        </w:trPr>
        <w:tc>
          <w:tcPr>
            <w:tcW w:type="dxa" w:w="1944"/>
            <w:tcMar>
              <w:top w:w="80" w:type="dxa"/>
              <w:start w:w="120" w:type="dxa"/>
              <w:bottom w:w="80" w:type="dxa"/>
              <w:end w:w="120" w:type="dxa"/>
            </w:tcMar>
            <w:vAlign w:val="top"/>
          </w:tcPr>
          <w:p>
            <w:pPr>
              <w:spacing w:after="0"/>
            </w:pPr>
            <w:r>
              <w:rPr>
                <w:sz w:val="17"/>
              </w:rPr>
              <w:t>Parking</w:t>
            </w:r>
          </w:p>
        </w:tc>
        <w:tc>
          <w:tcPr>
            <w:tcW w:type="dxa" w:w="7416"/>
            <w:tcMar>
              <w:top w:w="80" w:type="dxa"/>
              <w:start w:w="120" w:type="dxa"/>
              <w:bottom w:w="80" w:type="dxa"/>
              <w:end w:w="120" w:type="dxa"/>
            </w:tcMar>
            <w:vAlign w:val="top"/>
          </w:tcPr>
          <w:p>
            <w:pPr>
              <w:spacing w:after="0"/>
            </w:pPr>
            <w:r>
              <w:rPr>
                <w:sz w:val="17"/>
              </w:rPr>
              <w:t>General, VIP, accessible, staff/vendor, chauffeur waiting, overflow.</w:t>
            </w:r>
          </w:p>
        </w:tc>
      </w:tr>
      <w:tr>
        <w:trPr>
          <w:cantSplit/>
        </w:trPr>
        <w:tc>
          <w:tcPr>
            <w:tcW w:type="dxa" w:w="1944"/>
            <w:tcMar>
              <w:top w:w="80" w:type="dxa"/>
              <w:start w:w="120" w:type="dxa"/>
              <w:bottom w:w="80" w:type="dxa"/>
              <w:end w:w="120" w:type="dxa"/>
            </w:tcMar>
            <w:vAlign w:val="top"/>
          </w:tcPr>
          <w:p>
            <w:pPr>
              <w:spacing w:after="0"/>
            </w:pPr>
            <w:r>
              <w:rPr>
                <w:sz w:val="17"/>
              </w:rPr>
              <w:t>Venue</w:t>
            </w:r>
          </w:p>
        </w:tc>
        <w:tc>
          <w:tcPr>
            <w:tcW w:type="dxa" w:w="7416"/>
            <w:tcMar>
              <w:top w:w="80" w:type="dxa"/>
              <w:start w:w="120" w:type="dxa"/>
              <w:bottom w:w="80" w:type="dxa"/>
              <w:end w:w="120" w:type="dxa"/>
            </w:tcMar>
            <w:vAlign w:val="top"/>
          </w:tcPr>
          <w:p>
            <w:pPr>
              <w:spacing w:after="0"/>
            </w:pPr>
            <w:r>
              <w:rPr>
                <w:sz w:val="17"/>
              </w:rPr>
              <w:t>General entrance, discreet fast-track entrance, accessibility entrance, family/private, performer/media, staff/service.</w:t>
            </w:r>
          </w:p>
        </w:tc>
      </w:tr>
      <w:tr>
        <w:trPr>
          <w:cantSplit/>
        </w:trPr>
        <w:tc>
          <w:tcPr>
            <w:tcW w:type="dxa" w:w="1944"/>
            <w:tcMar>
              <w:top w:w="80" w:type="dxa"/>
              <w:start w:w="120" w:type="dxa"/>
              <w:bottom w:w="80" w:type="dxa"/>
              <w:end w:w="120" w:type="dxa"/>
            </w:tcMar>
            <w:vAlign w:val="top"/>
          </w:tcPr>
          <w:p>
            <w:pPr>
              <w:spacing w:after="0"/>
            </w:pPr>
            <w:r>
              <w:rPr>
                <w:sz w:val="17"/>
              </w:rPr>
              <w:t>Internal zones</w:t>
            </w:r>
          </w:p>
        </w:tc>
        <w:tc>
          <w:tcPr>
            <w:tcW w:type="dxa" w:w="7416"/>
            <w:tcMar>
              <w:top w:w="80" w:type="dxa"/>
              <w:start w:w="120" w:type="dxa"/>
              <w:bottom w:w="80" w:type="dxa"/>
              <w:end w:w="120" w:type="dxa"/>
            </w:tcMar>
            <w:vAlign w:val="top"/>
          </w:tcPr>
          <w:p>
            <w:pPr>
              <w:spacing w:after="0"/>
            </w:pPr>
            <w:r>
              <w:rPr>
                <w:sz w:val="17"/>
              </w:rPr>
              <w:t>Reception floor, VIP lounge, backstage, green room, family area, after-party.</w:t>
            </w:r>
          </w:p>
        </w:tc>
      </w:tr>
      <w:tr>
        <w:trPr>
          <w:cantSplit/>
        </w:trPr>
        <w:tc>
          <w:tcPr>
            <w:tcW w:type="dxa" w:w="1944"/>
            <w:tcMar>
              <w:top w:w="80" w:type="dxa"/>
              <w:start w:w="120" w:type="dxa"/>
              <w:bottom w:w="80" w:type="dxa"/>
              <w:end w:w="120" w:type="dxa"/>
            </w:tcMar>
            <w:vAlign w:val="top"/>
          </w:tcPr>
          <w:p>
            <w:pPr>
              <w:spacing w:after="0"/>
            </w:pPr>
            <w:r>
              <w:rPr>
                <w:sz w:val="17"/>
              </w:rPr>
              <w:t>Safety</w:t>
            </w:r>
          </w:p>
        </w:tc>
        <w:tc>
          <w:tcPr>
            <w:tcW w:type="dxa" w:w="7416"/>
            <w:tcMar>
              <w:top w:w="80" w:type="dxa"/>
              <w:start w:w="120" w:type="dxa"/>
              <w:bottom w:w="80" w:type="dxa"/>
              <w:end w:w="120" w:type="dxa"/>
            </w:tcMar>
            <w:vAlign w:val="top"/>
          </w:tcPr>
          <w:p>
            <w:pPr>
              <w:spacing w:after="0"/>
            </w:pPr>
            <w:r>
              <w:rPr>
                <w:sz w:val="17"/>
              </w:rPr>
              <w:t>Incident isolation, evacuation route and muster accounting reference; human security command remains authoritative.</w:t>
            </w:r>
          </w:p>
        </w:tc>
      </w:tr>
    </w:tbl>
    <w:p>
      <w:pPr>
        <w:spacing w:after="20"/>
      </w:pPr>
    </w:p>
    <w:p>
      <w:pPr>
        <w:pStyle w:val="Heading2"/>
      </w:pPr>
      <w:r>
        <w:t>7.1 VIP and fast-track presentation</w:t>
      </w:r>
    </w:p>
    <w:p>
      <w:r>
        <w:t>A guest-facing card may show a discreet configurable symbol, route code or edge treatment. It should not print “VIP” unless the host explicitly approves that language. The machine-readable credential resolves the actual route and zone; the visible marker is an operational aid, not authority. Colour is never the only cue.</w:t>
      </w:r>
    </w:p>
    <w:p>
      <w:pPr>
        <w:pStyle w:val="Heading2"/>
      </w:pPr>
      <w:r>
        <w:t>7.2 Checkpoint independence</w:t>
      </w:r>
    </w:p>
    <w:p>
      <w:r>
        <w:t>Each checkpoint records its own access decision and may consume prior checkpoint evidence without treating it as automatic admission. A vehicle cleared at the estate gate may still be directed to screening; occupants admitted to the estate may still require individual venue resolution; a church admission cannot be reused as reception attendance.</w:t>
      </w:r>
    </w:p>
    <w:p>
      <w:pPr>
        <w:pStyle w:val="Heading1"/>
      </w:pPr>
      <w:r>
        <w:t>8. Vehicles, drivers, protection and entourage</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520"/>
            <w:shd w:fill="E8EEF5"/>
            <w:tcMar>
              <w:top w:w="80" w:type="dxa"/>
              <w:start w:w="120" w:type="dxa"/>
              <w:bottom w:w="80" w:type="dxa"/>
              <w:end w:w="120" w:type="dxa"/>
            </w:tcMar>
            <w:vAlign w:val="center"/>
          </w:tcPr>
          <w:p>
            <w:r>
              <w:rPr>
                <w:b/>
                <w:color w:val="0B2545"/>
                <w:sz w:val="18"/>
              </w:rPr>
              <w:t>Record/workflow</w:t>
            </w:r>
          </w:p>
        </w:tc>
        <w:tc>
          <w:tcPr>
            <w:tcW w:type="dxa" w:w="6840"/>
            <w:shd w:fill="E8EEF5"/>
            <w:tcMar>
              <w:top w:w="80" w:type="dxa"/>
              <w:start w:w="120" w:type="dxa"/>
              <w:bottom w:w="80" w:type="dxa"/>
              <w:end w:w="120" w:type="dxa"/>
            </w:tcMar>
            <w:vAlign w:val="center"/>
          </w:tcPr>
          <w:p>
            <w:r>
              <w:rPr>
                <w:b/>
                <w:color w:val="0B2545"/>
                <w:sz w:val="18"/>
              </w:rPr>
              <w:t>Required handling</w:t>
            </w:r>
          </w:p>
        </w:tc>
      </w:tr>
      <w:tr>
        <w:trPr>
          <w:cantSplit/>
        </w:trPr>
        <w:tc>
          <w:tcPr>
            <w:tcW w:type="dxa" w:w="2520"/>
            <w:tcMar>
              <w:top w:w="80" w:type="dxa"/>
              <w:start w:w="120" w:type="dxa"/>
              <w:bottom w:w="80" w:type="dxa"/>
              <w:end w:w="120" w:type="dxa"/>
            </w:tcMar>
            <w:vAlign w:val="top"/>
          </w:tcPr>
          <w:p>
            <w:pPr>
              <w:spacing w:after="0"/>
            </w:pPr>
            <w:r>
              <w:rPr>
                <w:sz w:val="17"/>
              </w:rPr>
              <w:t>Vehicle</w:t>
            </w:r>
          </w:p>
        </w:tc>
        <w:tc>
          <w:tcPr>
            <w:tcW w:type="dxa" w:w="6840"/>
            <w:tcMar>
              <w:top w:w="80" w:type="dxa"/>
              <w:start w:w="120" w:type="dxa"/>
              <w:bottom w:w="80" w:type="dxa"/>
              <w:end w:w="120" w:type="dxa"/>
            </w:tcMar>
            <w:vAlign w:val="top"/>
          </w:tcPr>
          <w:p>
            <w:pPr>
              <w:spacing w:after="0"/>
            </w:pPr>
            <w:r>
              <w:rPr>
                <w:sz w:val="17"/>
              </w:rPr>
              <w:t>Plate, class, colour/make when justified, assigned route/parking, validity; privacy-limited displays.</w:t>
            </w:r>
          </w:p>
        </w:tc>
      </w:tr>
      <w:tr>
        <w:trPr>
          <w:cantSplit/>
        </w:trPr>
        <w:tc>
          <w:tcPr>
            <w:tcW w:type="dxa" w:w="2520"/>
            <w:tcMar>
              <w:top w:w="80" w:type="dxa"/>
              <w:start w:w="120" w:type="dxa"/>
              <w:bottom w:w="80" w:type="dxa"/>
              <w:end w:w="120" w:type="dxa"/>
            </w:tcMar>
            <w:vAlign w:val="top"/>
          </w:tcPr>
          <w:p>
            <w:pPr>
              <w:spacing w:after="0"/>
            </w:pPr>
            <w:r>
              <w:rPr>
                <w:sz w:val="17"/>
              </w:rPr>
              <w:t>Driver</w:t>
            </w:r>
          </w:p>
        </w:tc>
        <w:tc>
          <w:tcPr>
            <w:tcW w:type="dxa" w:w="6840"/>
            <w:tcMar>
              <w:top w:w="80" w:type="dxa"/>
              <w:start w:w="120" w:type="dxa"/>
              <w:bottom w:w="80" w:type="dxa"/>
              <w:end w:w="120" w:type="dxa"/>
            </w:tcMar>
            <w:vAlign w:val="top"/>
          </w:tcPr>
          <w:p>
            <w:pPr>
              <w:spacing w:after="0"/>
            </w:pPr>
            <w:r>
              <w:rPr>
                <w:sz w:val="17"/>
              </w:rPr>
              <w:t>Independent person identity or event-scoped operational identity; relationship to principal/vehicle; duty window.</w:t>
            </w:r>
          </w:p>
        </w:tc>
      </w:tr>
      <w:tr>
        <w:trPr>
          <w:cantSplit/>
        </w:trPr>
        <w:tc>
          <w:tcPr>
            <w:tcW w:type="dxa" w:w="2520"/>
            <w:tcMar>
              <w:top w:w="80" w:type="dxa"/>
              <w:start w:w="120" w:type="dxa"/>
              <w:bottom w:w="80" w:type="dxa"/>
              <w:end w:w="120" w:type="dxa"/>
            </w:tcMar>
            <w:vAlign w:val="top"/>
          </w:tcPr>
          <w:p>
            <w:pPr>
              <w:spacing w:after="0"/>
            </w:pPr>
            <w:r>
              <w:rPr>
                <w:sz w:val="17"/>
              </w:rPr>
              <w:t>Chauffeur holding</w:t>
            </w:r>
          </w:p>
        </w:tc>
        <w:tc>
          <w:tcPr>
            <w:tcW w:type="dxa" w:w="6840"/>
            <w:tcMar>
              <w:top w:w="80" w:type="dxa"/>
              <w:start w:w="120" w:type="dxa"/>
              <w:bottom w:w="80" w:type="dxa"/>
              <w:end w:w="120" w:type="dxa"/>
            </w:tcMar>
            <w:vAlign w:val="top"/>
          </w:tcPr>
          <w:p>
            <w:pPr>
              <w:spacing w:after="0"/>
            </w:pPr>
            <w:r>
              <w:rPr>
                <w:sz w:val="17"/>
              </w:rPr>
              <w:t>Waiting zone, call-up reference and passenger/party association; no broad guest details.</w:t>
            </w:r>
          </w:p>
        </w:tc>
      </w:tr>
      <w:tr>
        <w:trPr>
          <w:cantSplit/>
        </w:trPr>
        <w:tc>
          <w:tcPr>
            <w:tcW w:type="dxa" w:w="2520"/>
            <w:tcMar>
              <w:top w:w="80" w:type="dxa"/>
              <w:start w:w="120" w:type="dxa"/>
              <w:bottom w:w="80" w:type="dxa"/>
              <w:end w:w="120" w:type="dxa"/>
            </w:tcMar>
            <w:vAlign w:val="top"/>
          </w:tcPr>
          <w:p>
            <w:pPr>
              <w:spacing w:after="0"/>
            </w:pPr>
            <w:r>
              <w:rPr>
                <w:sz w:val="17"/>
              </w:rPr>
              <w:t>Replacement vehicle/driver</w:t>
            </w:r>
          </w:p>
        </w:tc>
        <w:tc>
          <w:tcPr>
            <w:tcW w:type="dxa" w:w="6840"/>
            <w:tcMar>
              <w:top w:w="80" w:type="dxa"/>
              <w:start w:w="120" w:type="dxa"/>
              <w:bottom w:w="80" w:type="dxa"/>
              <w:end w:w="120" w:type="dxa"/>
            </w:tcMar>
            <w:vAlign w:val="top"/>
          </w:tcPr>
          <w:p>
            <w:pPr>
              <w:spacing w:after="0"/>
            </w:pPr>
            <w:r>
              <w:rPr>
                <w:sz w:val="17"/>
              </w:rPr>
              <w:t>Governed substitution preserving original history, authority and reason.</w:t>
            </w:r>
          </w:p>
        </w:tc>
      </w:tr>
      <w:tr>
        <w:trPr>
          <w:cantSplit/>
        </w:trPr>
        <w:tc>
          <w:tcPr>
            <w:tcW w:type="dxa" w:w="2520"/>
            <w:tcMar>
              <w:top w:w="80" w:type="dxa"/>
              <w:start w:w="120" w:type="dxa"/>
              <w:bottom w:w="80" w:type="dxa"/>
              <w:end w:w="120" w:type="dxa"/>
            </w:tcMar>
            <w:vAlign w:val="top"/>
          </w:tcPr>
          <w:p>
            <w:pPr>
              <w:spacing w:after="0"/>
            </w:pPr>
            <w:r>
              <w:rPr>
                <w:sz w:val="17"/>
              </w:rPr>
              <w:t>Convoy</w:t>
            </w:r>
          </w:p>
        </w:tc>
        <w:tc>
          <w:tcPr>
            <w:tcW w:type="dxa" w:w="6840"/>
            <w:tcMar>
              <w:top w:w="80" w:type="dxa"/>
              <w:start w:w="120" w:type="dxa"/>
              <w:bottom w:w="80" w:type="dxa"/>
              <w:end w:w="120" w:type="dxa"/>
            </w:tcMar>
            <w:vAlign w:val="top"/>
          </w:tcPr>
          <w:p>
            <w:pPr>
              <w:spacing w:after="0"/>
            </w:pPr>
            <w:r>
              <w:rPr>
                <w:sz w:val="17"/>
              </w:rPr>
              <w:t>Ordered or unordered vehicle group, lead/contact, route and separation/rejoin exception.</w:t>
            </w:r>
          </w:p>
        </w:tc>
      </w:tr>
      <w:tr>
        <w:trPr>
          <w:cantSplit/>
        </w:trPr>
        <w:tc>
          <w:tcPr>
            <w:tcW w:type="dxa" w:w="2520"/>
            <w:tcMar>
              <w:top w:w="80" w:type="dxa"/>
              <w:start w:w="120" w:type="dxa"/>
              <w:bottom w:w="80" w:type="dxa"/>
              <w:end w:w="120" w:type="dxa"/>
            </w:tcMar>
            <w:vAlign w:val="top"/>
          </w:tcPr>
          <w:p>
            <w:pPr>
              <w:spacing w:after="0"/>
            </w:pPr>
            <w:r>
              <w:rPr>
                <w:sz w:val="17"/>
              </w:rPr>
              <w:t>Protection detail</w:t>
            </w:r>
          </w:p>
        </w:tc>
        <w:tc>
          <w:tcPr>
            <w:tcW w:type="dxa" w:w="6840"/>
            <w:tcMar>
              <w:top w:w="80" w:type="dxa"/>
              <w:start w:w="120" w:type="dxa"/>
              <w:bottom w:w="80" w:type="dxa"/>
              <w:end w:w="120" w:type="dxa"/>
            </w:tcMar>
            <w:vAlign w:val="top"/>
          </w:tcPr>
          <w:p>
            <w:pPr>
              <w:spacing w:after="0"/>
            </w:pPr>
            <w:r>
              <w:rPr>
                <w:sz w:val="17"/>
              </w:rPr>
              <w:t>Restricted party and access projection; minimum necessary visibility; security-led exceptions.</w:t>
            </w:r>
          </w:p>
        </w:tc>
      </w:tr>
      <w:tr>
        <w:trPr>
          <w:cantSplit/>
        </w:trPr>
        <w:tc>
          <w:tcPr>
            <w:tcW w:type="dxa" w:w="2520"/>
            <w:tcMar>
              <w:top w:w="80" w:type="dxa"/>
              <w:start w:w="120" w:type="dxa"/>
              <w:bottom w:w="80" w:type="dxa"/>
              <w:end w:w="120" w:type="dxa"/>
            </w:tcMar>
            <w:vAlign w:val="top"/>
          </w:tcPr>
          <w:p>
            <w:pPr>
              <w:spacing w:after="0"/>
            </w:pPr>
            <w:r>
              <w:rPr>
                <w:sz w:val="17"/>
              </w:rPr>
              <w:t>Entourage</w:t>
            </w:r>
          </w:p>
        </w:tc>
        <w:tc>
          <w:tcPr>
            <w:tcW w:type="dxa" w:w="6840"/>
            <w:tcMar>
              <w:top w:w="80" w:type="dxa"/>
              <w:start w:w="120" w:type="dxa"/>
              <w:bottom w:w="80" w:type="dxa"/>
              <w:end w:w="120" w:type="dxa"/>
            </w:tcMar>
            <w:vAlign w:val="top"/>
          </w:tcPr>
          <w:p>
            <w:pPr>
              <w:spacing w:after="0"/>
            </w:pPr>
            <w:r>
              <w:rPr>
                <w:sz w:val="17"/>
              </w:rPr>
              <w:t>Every attending person identified; role and access explicit; no unlimited “plus entourage” credential.</w:t>
            </w:r>
          </w:p>
        </w:tc>
      </w:tr>
      <w:tr>
        <w:trPr>
          <w:cantSplit/>
        </w:trPr>
        <w:tc>
          <w:tcPr>
            <w:tcW w:type="dxa" w:w="2520"/>
            <w:tcMar>
              <w:top w:w="80" w:type="dxa"/>
              <w:start w:w="120" w:type="dxa"/>
              <w:bottom w:w="80" w:type="dxa"/>
              <w:end w:w="120" w:type="dxa"/>
            </w:tcMar>
            <w:vAlign w:val="top"/>
          </w:tcPr>
          <w:p>
            <w:pPr>
              <w:spacing w:after="0"/>
            </w:pPr>
            <w:r>
              <w:rPr>
                <w:sz w:val="17"/>
              </w:rPr>
              <w:t>Deliveries/vendors</w:t>
            </w:r>
          </w:p>
        </w:tc>
        <w:tc>
          <w:tcPr>
            <w:tcW w:type="dxa" w:w="6840"/>
            <w:tcMar>
              <w:top w:w="80" w:type="dxa"/>
              <w:start w:w="120" w:type="dxa"/>
              <w:bottom w:w="80" w:type="dxa"/>
              <w:end w:w="120" w:type="dxa"/>
            </w:tcMar>
            <w:vAlign w:val="top"/>
          </w:tcPr>
          <w:p>
            <w:pPr>
              <w:spacing w:after="0"/>
            </w:pPr>
            <w:r>
              <w:rPr>
                <w:sz w:val="17"/>
              </w:rPr>
              <w:t>Timed service access, vehicle and zone restrictions; expiry automatic by policy.</w:t>
            </w:r>
          </w:p>
        </w:tc>
      </w:tr>
    </w:tbl>
    <w:p>
      <w:pPr>
        <w:spacing w:after="20"/>
      </w:pPr>
    </w:p>
    <w:p>
      <w:pPr>
        <w:pStyle w:val="Heading1"/>
      </w:pPr>
      <w:r>
        <w:t>9. Credential and offline projection contract</w:t>
      </w:r>
    </w:p>
    <w:p>
      <w:pPr>
        <w:pStyle w:val="Heading2"/>
      </w:pPr>
      <w:r>
        <w:t>9.1 Presentation</w:t>
      </w:r>
    </w:p>
    <w:p>
      <w:pPr>
        <w:pStyle w:val="ListBullet"/>
        <w:spacing w:after="80"/>
      </w:pPr>
      <w:r>
        <w:t>Support signed QR and human-enterable alphanumeric reference.</w:t>
      </w:r>
    </w:p>
    <w:p>
      <w:pPr>
        <w:pStyle w:val="ListBullet"/>
        <w:spacing w:after="80"/>
      </w:pPr>
      <w:r>
        <w:t>Store no directly readable PII in the QR payload.</w:t>
      </w:r>
    </w:p>
    <w:p>
      <w:pPr>
        <w:pStyle w:val="ListBullet"/>
        <w:spacing w:after="80"/>
      </w:pPr>
      <w:r>
        <w:t>Allow one guest credential to resolve current phase/checkpoint rights; do not require separate cards unless policy chooses it.</w:t>
      </w:r>
    </w:p>
    <w:p>
      <w:pPr>
        <w:pStyle w:val="ListBullet"/>
        <w:spacing w:after="80"/>
      </w:pPr>
      <w:r>
        <w:t>Support party presentation only where Slice 8 shows each member and records per-person outcomes.</w:t>
      </w:r>
    </w:p>
    <w:p>
      <w:pPr>
        <w:pStyle w:val="ListBullet"/>
        <w:spacing w:after="80"/>
      </w:pPr>
      <w:r>
        <w:t>Provide printable and mobile-safe layouts with accessible visible fallback text.</w:t>
      </w:r>
    </w:p>
    <w:p>
      <w:pPr>
        <w:pStyle w:val="Heading2"/>
      </w:pPr>
      <w:r>
        <w:t>9.2 Offline package supplied to Slice 8</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232"/>
            <w:shd w:fill="E8EEF5"/>
            <w:tcMar>
              <w:top w:w="80" w:type="dxa"/>
              <w:start w:w="120" w:type="dxa"/>
              <w:bottom w:w="80" w:type="dxa"/>
              <w:end w:w="120" w:type="dxa"/>
            </w:tcMar>
            <w:vAlign w:val="center"/>
          </w:tcPr>
          <w:p>
            <w:r>
              <w:rPr>
                <w:b/>
                <w:color w:val="0B2545"/>
                <w:sz w:val="18"/>
              </w:rPr>
              <w:t>Projection</w:t>
            </w:r>
          </w:p>
        </w:tc>
        <w:tc>
          <w:tcPr>
            <w:tcW w:type="dxa" w:w="7128"/>
            <w:shd w:fill="E8EEF5"/>
            <w:tcMar>
              <w:top w:w="80" w:type="dxa"/>
              <w:start w:w="120" w:type="dxa"/>
              <w:bottom w:w="80" w:type="dxa"/>
              <w:end w:w="120" w:type="dxa"/>
            </w:tcMar>
            <w:vAlign w:val="center"/>
          </w:tcPr>
          <w:p>
            <w:r>
              <w:rPr>
                <w:b/>
                <w:color w:val="0B2545"/>
                <w:sz w:val="18"/>
              </w:rPr>
              <w:t>Minimum content</w:t>
            </w:r>
          </w:p>
        </w:tc>
      </w:tr>
      <w:tr>
        <w:trPr>
          <w:cantSplit/>
        </w:trPr>
        <w:tc>
          <w:tcPr>
            <w:tcW w:type="dxa" w:w="2232"/>
            <w:tcMar>
              <w:top w:w="80" w:type="dxa"/>
              <w:start w:w="120" w:type="dxa"/>
              <w:bottom w:w="80" w:type="dxa"/>
              <w:end w:w="120" w:type="dxa"/>
            </w:tcMar>
            <w:vAlign w:val="top"/>
          </w:tcPr>
          <w:p>
            <w:pPr>
              <w:spacing w:after="0"/>
            </w:pPr>
            <w:r>
              <w:rPr>
                <w:sz w:val="17"/>
              </w:rPr>
              <w:t>Envelope</w:t>
            </w:r>
          </w:p>
        </w:tc>
        <w:tc>
          <w:tcPr>
            <w:tcW w:type="dxa" w:w="7128"/>
            <w:tcMar>
              <w:top w:w="80" w:type="dxa"/>
              <w:start w:w="120" w:type="dxa"/>
              <w:bottom w:w="80" w:type="dxa"/>
              <w:end w:w="120" w:type="dxa"/>
            </w:tcMar>
            <w:vAlign w:val="top"/>
          </w:tcPr>
          <w:p>
            <w:pPr>
              <w:spacing w:after="0"/>
            </w:pPr>
            <w:r>
              <w:rPr>
                <w:sz w:val="17"/>
              </w:rPr>
              <w:t>programme/phase/checkpoint/version, generated/valid dates, checksum, signature/key reference.</w:t>
            </w:r>
          </w:p>
        </w:tc>
      </w:tr>
      <w:tr>
        <w:trPr>
          <w:cantSplit/>
        </w:trPr>
        <w:tc>
          <w:tcPr>
            <w:tcW w:type="dxa" w:w="2232"/>
            <w:tcMar>
              <w:top w:w="80" w:type="dxa"/>
              <w:start w:w="120" w:type="dxa"/>
              <w:bottom w:w="80" w:type="dxa"/>
              <w:end w:w="120" w:type="dxa"/>
            </w:tcMar>
            <w:vAlign w:val="top"/>
          </w:tcPr>
          <w:p>
            <w:pPr>
              <w:spacing w:after="0"/>
            </w:pPr>
            <w:r>
              <w:rPr>
                <w:sz w:val="17"/>
              </w:rPr>
              <w:t>Credential resolution</w:t>
            </w:r>
          </w:p>
        </w:tc>
        <w:tc>
          <w:tcPr>
            <w:tcW w:type="dxa" w:w="7128"/>
            <w:tcMar>
              <w:top w:w="80" w:type="dxa"/>
              <w:start w:w="120" w:type="dxa"/>
              <w:bottom w:w="80" w:type="dxa"/>
              <w:end w:w="120" w:type="dxa"/>
            </w:tcMar>
            <w:vAlign w:val="top"/>
          </w:tcPr>
          <w:p>
            <w:pPr>
              <w:spacing w:after="0"/>
            </w:pPr>
            <w:r>
              <w:rPr>
                <w:sz w:val="17"/>
              </w:rPr>
              <w:t>Digest/reference to subject and active entitlement codes; no raw secret or unnecessary PII.</w:t>
            </w:r>
          </w:p>
        </w:tc>
      </w:tr>
      <w:tr>
        <w:trPr>
          <w:cantSplit/>
        </w:trPr>
        <w:tc>
          <w:tcPr>
            <w:tcW w:type="dxa" w:w="2232"/>
            <w:tcMar>
              <w:top w:w="80" w:type="dxa"/>
              <w:start w:w="120" w:type="dxa"/>
              <w:bottom w:w="80" w:type="dxa"/>
              <w:end w:w="120" w:type="dxa"/>
            </w:tcMar>
            <w:vAlign w:val="top"/>
          </w:tcPr>
          <w:p>
            <w:pPr>
              <w:spacing w:after="0"/>
            </w:pPr>
            <w:r>
              <w:rPr>
                <w:sz w:val="17"/>
              </w:rPr>
              <w:t>Display</w:t>
            </w:r>
          </w:p>
        </w:tc>
        <w:tc>
          <w:tcPr>
            <w:tcW w:type="dxa" w:w="7128"/>
            <w:tcMar>
              <w:top w:w="80" w:type="dxa"/>
              <w:start w:w="120" w:type="dxa"/>
              <w:bottom w:w="80" w:type="dxa"/>
              <w:end w:w="120" w:type="dxa"/>
            </w:tcMar>
            <w:vAlign w:val="top"/>
          </w:tcPr>
          <w:p>
            <w:pPr>
              <w:spacing w:after="0"/>
            </w:pPr>
            <w:r>
              <w:rPr>
                <w:sz w:val="17"/>
              </w:rPr>
              <w:t>Minimum permitted name tokens, party context, masked vehicle/contact hint where justified.</w:t>
            </w:r>
          </w:p>
        </w:tc>
      </w:tr>
      <w:tr>
        <w:trPr>
          <w:cantSplit/>
        </w:trPr>
        <w:tc>
          <w:tcPr>
            <w:tcW w:type="dxa" w:w="2232"/>
            <w:tcMar>
              <w:top w:w="80" w:type="dxa"/>
              <w:start w:w="120" w:type="dxa"/>
              <w:bottom w:w="80" w:type="dxa"/>
              <w:end w:w="120" w:type="dxa"/>
            </w:tcMar>
            <w:vAlign w:val="top"/>
          </w:tcPr>
          <w:p>
            <w:pPr>
              <w:spacing w:after="0"/>
            </w:pPr>
            <w:r>
              <w:rPr>
                <w:sz w:val="17"/>
              </w:rPr>
              <w:t>Routing</w:t>
            </w:r>
          </w:p>
        </w:tc>
        <w:tc>
          <w:tcPr>
            <w:tcW w:type="dxa" w:w="7128"/>
            <w:tcMar>
              <w:top w:w="80" w:type="dxa"/>
              <w:start w:w="120" w:type="dxa"/>
              <w:bottom w:w="80" w:type="dxa"/>
              <w:end w:w="120" w:type="dxa"/>
            </w:tcMar>
            <w:vAlign w:val="top"/>
          </w:tcPr>
          <w:p>
            <w:pPr>
              <w:spacing w:after="0"/>
            </w:pPr>
            <w:r>
              <w:rPr>
                <w:sz w:val="17"/>
              </w:rPr>
              <w:t>Allowed checkpoint/route/zone, next operational direction and escalation code.</w:t>
            </w:r>
          </w:p>
        </w:tc>
      </w:tr>
      <w:tr>
        <w:trPr>
          <w:cantSplit/>
        </w:trPr>
        <w:tc>
          <w:tcPr>
            <w:tcW w:type="dxa" w:w="2232"/>
            <w:tcMar>
              <w:top w:w="80" w:type="dxa"/>
              <w:start w:w="120" w:type="dxa"/>
              <w:bottom w:w="80" w:type="dxa"/>
              <w:end w:w="120" w:type="dxa"/>
            </w:tcMar>
            <w:vAlign w:val="top"/>
          </w:tcPr>
          <w:p>
            <w:pPr>
              <w:spacing w:after="0"/>
            </w:pPr>
            <w:r>
              <w:rPr>
                <w:sz w:val="17"/>
              </w:rPr>
              <w:t>Policy</w:t>
            </w:r>
          </w:p>
        </w:tc>
        <w:tc>
          <w:tcPr>
            <w:tcW w:type="dxa" w:w="7128"/>
            <w:tcMar>
              <w:top w:w="80" w:type="dxa"/>
              <w:start w:w="120" w:type="dxa"/>
              <w:bottom w:w="80" w:type="dxa"/>
              <w:end w:w="120" w:type="dxa"/>
            </w:tcMar>
            <w:vAlign w:val="top"/>
          </w:tcPr>
          <w:p>
            <w:pPr>
              <w:spacing w:after="0"/>
            </w:pPr>
            <w:r>
              <w:rPr>
                <w:sz w:val="17"/>
              </w:rPr>
              <w:t>Validity, re-entry, party, vehicle, stale snapshot, revocation and fallback versions.</w:t>
            </w:r>
          </w:p>
        </w:tc>
      </w:tr>
      <w:tr>
        <w:trPr>
          <w:cantSplit/>
        </w:trPr>
        <w:tc>
          <w:tcPr>
            <w:tcW w:type="dxa" w:w="2232"/>
            <w:tcMar>
              <w:top w:w="80" w:type="dxa"/>
              <w:start w:w="120" w:type="dxa"/>
              <w:bottom w:w="80" w:type="dxa"/>
              <w:end w:w="120" w:type="dxa"/>
            </w:tcMar>
            <w:vAlign w:val="top"/>
          </w:tcPr>
          <w:p>
            <w:pPr>
              <w:spacing w:after="0"/>
            </w:pPr>
            <w:r>
              <w:rPr>
                <w:sz w:val="17"/>
              </w:rPr>
              <w:t>Integrity</w:t>
            </w:r>
          </w:p>
        </w:tc>
        <w:tc>
          <w:tcPr>
            <w:tcW w:type="dxa" w:w="7128"/>
            <w:tcMar>
              <w:top w:w="80" w:type="dxa"/>
              <w:start w:w="120" w:type="dxa"/>
              <w:bottom w:w="80" w:type="dxa"/>
              <w:end w:w="120" w:type="dxa"/>
            </w:tcMar>
            <w:vAlign w:val="top"/>
          </w:tcPr>
          <w:p>
            <w:pPr>
              <w:spacing w:after="0"/>
            </w:pPr>
            <w:r>
              <w:rPr>
                <w:sz w:val="17"/>
              </w:rPr>
              <w:t>Per-section counts/hashes, compatibility minimum and supersession behaviour.</w:t>
            </w:r>
          </w:p>
        </w:tc>
      </w:tr>
    </w:tbl>
    <w:p>
      <w:pPr>
        <w:spacing w:after="20"/>
      </w:pP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RUNTIME OWNERSHIP  </w:t>
            </w:r>
            <w:r>
              <w:t>Slice 8 downloads/verifies the package, operates offline, appends scans/actions, synchronises idempotently, manages conflicts and closes. S04B never writes attendance directly.</w:t>
            </w:r>
          </w:p>
        </w:tc>
      </w:tr>
    </w:tbl>
    <w:p>
      <w:pPr>
        <w:spacing w:after="20"/>
      </w:pPr>
    </w:p>
    <w:p>
      <w:pPr>
        <w:pStyle w:val="Heading1"/>
      </w:pPr>
      <w:r>
        <w:t>10. Roles, permissions and decisions</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b/>
                <w:color w:val="0B2545"/>
                <w:sz w:val="18"/>
              </w:rPr>
              <w:t>Role</w:t>
            </w:r>
          </w:p>
        </w:tc>
        <w:tc>
          <w:tcPr>
            <w:tcW w:type="dxa" w:w="6984"/>
            <w:shd w:fill="E8EEF5"/>
            <w:tcMar>
              <w:top w:w="80" w:type="dxa"/>
              <w:start w:w="120" w:type="dxa"/>
              <w:bottom w:w="80" w:type="dxa"/>
              <w:end w:w="120" w:type="dxa"/>
            </w:tcMar>
            <w:vAlign w:val="center"/>
          </w:tcPr>
          <w:p>
            <w:r>
              <w:rPr>
                <w:b/>
                <w:color w:val="0B2545"/>
                <w:sz w:val="18"/>
              </w:rPr>
              <w:t>Planning/runtime intent</w:t>
            </w:r>
          </w:p>
        </w:tc>
      </w:tr>
      <w:tr>
        <w:trPr>
          <w:cantSplit/>
        </w:trPr>
        <w:tc>
          <w:tcPr>
            <w:tcW w:type="dxa" w:w="2376"/>
            <w:tcMar>
              <w:top w:w="80" w:type="dxa"/>
              <w:start w:w="120" w:type="dxa"/>
              <w:bottom w:w="80" w:type="dxa"/>
              <w:end w:w="120" w:type="dxa"/>
            </w:tcMar>
            <w:vAlign w:val="top"/>
          </w:tcPr>
          <w:p>
            <w:pPr>
              <w:spacing w:after="0"/>
            </w:pPr>
            <w:r>
              <w:rPr>
                <w:sz w:val="17"/>
              </w:rPr>
              <w:t>CEO</w:t>
            </w:r>
          </w:p>
        </w:tc>
        <w:tc>
          <w:tcPr>
            <w:tcW w:type="dxa" w:w="6984"/>
            <w:tcMar>
              <w:top w:w="80" w:type="dxa"/>
              <w:start w:w="120" w:type="dxa"/>
              <w:bottom w:w="80" w:type="dxa"/>
              <w:end w:w="120" w:type="dxa"/>
            </w:tcMar>
            <w:vAlign w:val="top"/>
          </w:tcPr>
          <w:p>
            <w:pPr>
              <w:spacing w:after="0"/>
            </w:pPr>
            <w:r>
              <w:rPr>
                <w:sz w:val="17"/>
              </w:rPr>
              <w:t>Governance, protected exceptions and approval where policy requires; no self-approval shortcut.</w:t>
            </w:r>
          </w:p>
        </w:tc>
      </w:tr>
      <w:tr>
        <w:trPr>
          <w:cantSplit/>
        </w:trPr>
        <w:tc>
          <w:tcPr>
            <w:tcW w:type="dxa" w:w="2376"/>
            <w:tcMar>
              <w:top w:w="80" w:type="dxa"/>
              <w:start w:w="120" w:type="dxa"/>
              <w:bottom w:w="80" w:type="dxa"/>
              <w:end w:w="120" w:type="dxa"/>
            </w:tcMar>
            <w:vAlign w:val="top"/>
          </w:tcPr>
          <w:p>
            <w:pPr>
              <w:spacing w:after="0"/>
            </w:pPr>
            <w:r>
              <w:rPr>
                <w:sz w:val="17"/>
              </w:rPr>
              <w:t>Event Director</w:t>
            </w:r>
          </w:p>
        </w:tc>
        <w:tc>
          <w:tcPr>
            <w:tcW w:type="dxa" w:w="6984"/>
            <w:tcMar>
              <w:top w:w="80" w:type="dxa"/>
              <w:start w:w="120" w:type="dxa"/>
              <w:bottom w:w="80" w:type="dxa"/>
              <w:end w:w="120" w:type="dxa"/>
            </w:tcMar>
            <w:vAlign w:val="top"/>
          </w:tcPr>
          <w:p>
            <w:pPr>
              <w:spacing w:after="0"/>
            </w:pPr>
            <w:r>
              <w:rPr>
                <w:sz w:val="17"/>
              </w:rPr>
              <w:t>Programme/phase readiness, operational routing approval and event-day command.</w:t>
            </w:r>
          </w:p>
        </w:tc>
      </w:tr>
      <w:tr>
        <w:trPr>
          <w:cantSplit/>
        </w:trPr>
        <w:tc>
          <w:tcPr>
            <w:tcW w:type="dxa" w:w="2376"/>
            <w:tcMar>
              <w:top w:w="80" w:type="dxa"/>
              <w:start w:w="120" w:type="dxa"/>
              <w:bottom w:w="80" w:type="dxa"/>
              <w:end w:w="120" w:type="dxa"/>
            </w:tcMar>
            <w:vAlign w:val="top"/>
          </w:tcPr>
          <w:p>
            <w:pPr>
              <w:spacing w:after="0"/>
            </w:pPr>
            <w:r>
              <w:rPr>
                <w:sz w:val="17"/>
              </w:rPr>
              <w:t>Protocol Lead</w:t>
            </w:r>
          </w:p>
        </w:tc>
        <w:tc>
          <w:tcPr>
            <w:tcW w:type="dxa" w:w="6984"/>
            <w:tcMar>
              <w:top w:w="80" w:type="dxa"/>
              <w:start w:w="120" w:type="dxa"/>
              <w:bottom w:w="80" w:type="dxa"/>
              <w:end w:w="120" w:type="dxa"/>
            </w:tcMar>
            <w:vAlign w:val="top"/>
          </w:tcPr>
          <w:p>
            <w:pPr>
              <w:spacing w:after="0"/>
            </w:pPr>
            <w:r>
              <w:rPr>
                <w:sz w:val="17"/>
              </w:rPr>
              <w:t>Protocol-sensitive party/route review; restricted data only.</w:t>
            </w:r>
          </w:p>
        </w:tc>
      </w:tr>
      <w:tr>
        <w:trPr>
          <w:cantSplit/>
        </w:trPr>
        <w:tc>
          <w:tcPr>
            <w:tcW w:type="dxa" w:w="2376"/>
            <w:tcMar>
              <w:top w:w="80" w:type="dxa"/>
              <w:start w:w="120" w:type="dxa"/>
              <w:bottom w:w="80" w:type="dxa"/>
              <w:end w:w="120" w:type="dxa"/>
            </w:tcMar>
            <w:vAlign w:val="top"/>
          </w:tcPr>
          <w:p>
            <w:pPr>
              <w:spacing w:after="0"/>
            </w:pPr>
            <w:r>
              <w:rPr>
                <w:sz w:val="17"/>
              </w:rPr>
              <w:t>Security Lead</w:t>
            </w:r>
          </w:p>
        </w:tc>
        <w:tc>
          <w:tcPr>
            <w:tcW w:type="dxa" w:w="6984"/>
            <w:tcMar>
              <w:top w:w="80" w:type="dxa"/>
              <w:start w:w="120" w:type="dxa"/>
              <w:bottom w:w="80" w:type="dxa"/>
              <w:end w:w="120" w:type="dxa"/>
            </w:tcMar>
            <w:vAlign w:val="top"/>
          </w:tcPr>
          <w:p>
            <w:pPr>
              <w:spacing w:after="0"/>
            </w:pPr>
            <w:r>
              <w:rPr>
                <w:sz w:val="17"/>
              </w:rPr>
              <w:t>Checkpoint security configuration and protected-access decisions.</w:t>
            </w:r>
          </w:p>
        </w:tc>
      </w:tr>
      <w:tr>
        <w:trPr>
          <w:cantSplit/>
        </w:trPr>
        <w:tc>
          <w:tcPr>
            <w:tcW w:type="dxa" w:w="2376"/>
            <w:tcMar>
              <w:top w:w="80" w:type="dxa"/>
              <w:start w:w="120" w:type="dxa"/>
              <w:bottom w:w="80" w:type="dxa"/>
              <w:end w:w="120" w:type="dxa"/>
            </w:tcMar>
            <w:vAlign w:val="top"/>
          </w:tcPr>
          <w:p>
            <w:pPr>
              <w:spacing w:after="0"/>
            </w:pPr>
            <w:r>
              <w:rPr>
                <w:sz w:val="17"/>
              </w:rPr>
              <w:t>Transport/Parking Lead</w:t>
            </w:r>
          </w:p>
        </w:tc>
        <w:tc>
          <w:tcPr>
            <w:tcW w:type="dxa" w:w="6984"/>
            <w:tcMar>
              <w:top w:w="80" w:type="dxa"/>
              <w:start w:w="120" w:type="dxa"/>
              <w:bottom w:w="80" w:type="dxa"/>
              <w:end w:w="120" w:type="dxa"/>
            </w:tcMar>
            <w:vAlign w:val="top"/>
          </w:tcPr>
          <w:p>
            <w:pPr>
              <w:spacing w:after="0"/>
            </w:pPr>
            <w:r>
              <w:rPr>
                <w:sz w:val="17"/>
              </w:rPr>
              <w:t>Vehicles, parking, shuttle, convoy and call-up operations.</w:t>
            </w:r>
          </w:p>
        </w:tc>
      </w:tr>
      <w:tr>
        <w:trPr>
          <w:cantSplit/>
        </w:trPr>
        <w:tc>
          <w:tcPr>
            <w:tcW w:type="dxa" w:w="2376"/>
            <w:tcMar>
              <w:top w:w="80" w:type="dxa"/>
              <w:start w:w="120" w:type="dxa"/>
              <w:bottom w:w="80" w:type="dxa"/>
              <w:end w:w="120" w:type="dxa"/>
            </w:tcMar>
            <w:vAlign w:val="top"/>
          </w:tcPr>
          <w:p>
            <w:pPr>
              <w:spacing w:after="0"/>
            </w:pPr>
            <w:r>
              <w:rPr>
                <w:sz w:val="17"/>
              </w:rPr>
              <w:t>Planner</w:t>
            </w:r>
          </w:p>
        </w:tc>
        <w:tc>
          <w:tcPr>
            <w:tcW w:type="dxa" w:w="6984"/>
            <w:tcMar>
              <w:top w:w="80" w:type="dxa"/>
              <w:start w:w="120" w:type="dxa"/>
              <w:bottom w:w="80" w:type="dxa"/>
              <w:end w:w="120" w:type="dxa"/>
            </w:tcMar>
            <w:vAlign w:val="top"/>
          </w:tcPr>
          <w:p>
            <w:pPr>
              <w:spacing w:after="0"/>
            </w:pPr>
            <w:r>
              <w:rPr>
                <w:sz w:val="17"/>
              </w:rPr>
              <w:t>Routine phase, cohort and logistics preparation; cannot grant protected access.</w:t>
            </w:r>
          </w:p>
        </w:tc>
      </w:tr>
      <w:tr>
        <w:trPr>
          <w:cantSplit/>
        </w:trPr>
        <w:tc>
          <w:tcPr>
            <w:tcW w:type="dxa" w:w="2376"/>
            <w:tcMar>
              <w:top w:w="80" w:type="dxa"/>
              <w:start w:w="120" w:type="dxa"/>
              <w:bottom w:w="80" w:type="dxa"/>
              <w:end w:w="120" w:type="dxa"/>
            </w:tcMar>
            <w:vAlign w:val="top"/>
          </w:tcPr>
          <w:p>
            <w:pPr>
              <w:spacing w:after="0"/>
            </w:pPr>
            <w:r>
              <w:rPr>
                <w:sz w:val="17"/>
              </w:rPr>
              <w:t>Gate Supervisor</w:t>
            </w:r>
          </w:p>
        </w:tc>
        <w:tc>
          <w:tcPr>
            <w:tcW w:type="dxa" w:w="6984"/>
            <w:tcMar>
              <w:top w:w="80" w:type="dxa"/>
              <w:start w:w="120" w:type="dxa"/>
              <w:bottom w:w="80" w:type="dxa"/>
              <w:end w:w="120" w:type="dxa"/>
            </w:tcMar>
            <w:vAlign w:val="top"/>
          </w:tcPr>
          <w:p>
            <w:pPr>
              <w:spacing w:after="0"/>
            </w:pPr>
            <w:r>
              <w:rPr>
                <w:sz w:val="17"/>
              </w:rPr>
              <w:t>Runtime exception and route resolution within Slice 8 policy.</w:t>
            </w:r>
          </w:p>
        </w:tc>
      </w:tr>
      <w:tr>
        <w:trPr>
          <w:cantSplit/>
        </w:trPr>
        <w:tc>
          <w:tcPr>
            <w:tcW w:type="dxa" w:w="2376"/>
            <w:tcMar>
              <w:top w:w="80" w:type="dxa"/>
              <w:start w:w="120" w:type="dxa"/>
              <w:bottom w:w="80" w:type="dxa"/>
              <w:end w:w="120" w:type="dxa"/>
            </w:tcMar>
            <w:vAlign w:val="top"/>
          </w:tcPr>
          <w:p>
            <w:pPr>
              <w:spacing w:after="0"/>
            </w:pPr>
            <w:r>
              <w:rPr>
                <w:sz w:val="17"/>
              </w:rPr>
              <w:t>Gate Operator</w:t>
            </w:r>
          </w:p>
        </w:tc>
        <w:tc>
          <w:tcPr>
            <w:tcW w:type="dxa" w:w="6984"/>
            <w:tcMar>
              <w:top w:w="80" w:type="dxa"/>
              <w:start w:w="120" w:type="dxa"/>
              <w:bottom w:w="80" w:type="dxa"/>
              <w:end w:w="120" w:type="dxa"/>
            </w:tcMar>
            <w:vAlign w:val="top"/>
          </w:tcPr>
          <w:p>
            <w:pPr>
              <w:spacing w:after="0"/>
            </w:pPr>
            <w:r>
              <w:rPr>
                <w:sz w:val="17"/>
              </w:rPr>
              <w:t>Minimum-data resolve and one primary action; no broad directory.</w:t>
            </w:r>
          </w:p>
        </w:tc>
      </w:tr>
      <w:tr>
        <w:trPr>
          <w:cantSplit/>
        </w:trPr>
        <w:tc>
          <w:tcPr>
            <w:tcW w:type="dxa" w:w="2376"/>
            <w:tcMar>
              <w:top w:w="80" w:type="dxa"/>
              <w:start w:w="120" w:type="dxa"/>
              <w:bottom w:w="80" w:type="dxa"/>
              <w:end w:w="120" w:type="dxa"/>
            </w:tcMar>
            <w:vAlign w:val="top"/>
          </w:tcPr>
          <w:p>
            <w:pPr>
              <w:spacing w:after="0"/>
            </w:pPr>
            <w:r>
              <w:rPr>
                <w:sz w:val="17"/>
              </w:rPr>
              <w:t>Read-only Auditor</w:t>
            </w:r>
          </w:p>
        </w:tc>
        <w:tc>
          <w:tcPr>
            <w:tcW w:type="dxa" w:w="6984"/>
            <w:tcMar>
              <w:top w:w="80" w:type="dxa"/>
              <w:start w:w="120" w:type="dxa"/>
              <w:bottom w:w="80" w:type="dxa"/>
              <w:end w:w="120" w:type="dxa"/>
            </w:tcMar>
            <w:vAlign w:val="top"/>
          </w:tcPr>
          <w:p>
            <w:pPr>
              <w:spacing w:after="0"/>
            </w:pPr>
            <w:r>
              <w:rPr>
                <w:sz w:val="17"/>
              </w:rPr>
              <w:t>Authorised plans, publications and audit only; no mutation.</w:t>
            </w:r>
          </w:p>
        </w:tc>
      </w:tr>
      <w:tr>
        <w:trPr>
          <w:cantSplit/>
        </w:trPr>
        <w:tc>
          <w:tcPr>
            <w:tcW w:type="dxa" w:w="2376"/>
            <w:tcMar>
              <w:top w:w="80" w:type="dxa"/>
              <w:start w:w="120" w:type="dxa"/>
              <w:bottom w:w="80" w:type="dxa"/>
              <w:end w:w="120" w:type="dxa"/>
            </w:tcMar>
            <w:vAlign w:val="top"/>
          </w:tcPr>
          <w:p>
            <w:pPr>
              <w:spacing w:after="0"/>
            </w:pPr>
            <w:r>
              <w:rPr>
                <w:sz w:val="17"/>
              </w:rPr>
              <w:t>System Administrator</w:t>
            </w:r>
          </w:p>
        </w:tc>
        <w:tc>
          <w:tcPr>
            <w:tcW w:type="dxa" w:w="6984"/>
            <w:tcMar>
              <w:top w:w="80" w:type="dxa"/>
              <w:start w:w="120" w:type="dxa"/>
              <w:bottom w:w="80" w:type="dxa"/>
              <w:end w:w="120" w:type="dxa"/>
            </w:tcMar>
            <w:vAlign w:val="top"/>
          </w:tcPr>
          <w:p>
            <w:pPr>
              <w:spacing w:after="0"/>
            </w:pPr>
            <w:r>
              <w:rPr>
                <w:sz w:val="17"/>
              </w:rPr>
              <w:t>Technical support only; no business access authority by default.</w:t>
            </w:r>
          </w:p>
        </w:tc>
      </w:tr>
    </w:tbl>
    <w:p>
      <w:pPr>
        <w:spacing w:after="20"/>
      </w:pPr>
    </w:p>
    <w:p>
      <w:pPr>
        <w:pStyle w:val="Heading2"/>
      </w:pPr>
      <w:r>
        <w:t>10.1 Consequential actions</w:t>
      </w:r>
    </w:p>
    <w:p>
      <w:r>
        <w:t>Publishing or superseding a phase access plan, granting protected zones, overriding capacity/validity, linking an ambiguous credential, replacing a vehicle/driver, and emergency route changes require explicit authority, reason, scope, time and audit. Maker/checker is configurable and mandatory for protected-access publications.</w:t>
      </w:r>
    </w:p>
    <w:p>
      <w:pPr>
        <w:pStyle w:val="Heading1"/>
      </w:pPr>
      <w:r>
        <w:t>11. User experience</w:t>
      </w:r>
    </w:p>
    <w:p>
      <w:pPr>
        <w:pStyle w:val="Heading3"/>
      </w:pPr>
      <w:r>
        <w:t>Event overview</w:t>
      </w:r>
    </w:p>
    <w:p>
      <w:pPr>
        <w:pStyle w:val="ListBullet"/>
        <w:spacing w:after="80"/>
      </w:pPr>
      <w:r>
        <w:t>Show one clean event card for the default single phase.</w:t>
      </w:r>
    </w:p>
    <w:p>
      <w:pPr>
        <w:pStyle w:val="ListBullet"/>
        <w:spacing w:after="80"/>
      </w:pPr>
      <w:r>
        <w:t>For multi-phase programmes, show a chronological programme with day, time, location, readiness and audience count.</w:t>
      </w:r>
    </w:p>
    <w:p>
      <w:pPr>
        <w:pStyle w:val="ListBullet"/>
        <w:spacing w:after="80"/>
      </w:pPr>
      <w:r>
        <w:t>Surface collisions, impossible transfers, missing checkpoint ownership and unpublished changes.</w:t>
      </w:r>
    </w:p>
    <w:p>
      <w:pPr>
        <w:pStyle w:val="Heading3"/>
      </w:pPr>
      <w:r>
        <w:t>Phase workspace</w:t>
      </w:r>
    </w:p>
    <w:p>
      <w:pPr>
        <w:pStyle w:val="ListBullet"/>
        <w:spacing w:after="80"/>
      </w:pPr>
      <w:r>
        <w:t>Configure venue, operating window, cohort, capacity, zones, routes and transfers.</w:t>
      </w:r>
    </w:p>
    <w:p>
      <w:pPr>
        <w:pStyle w:val="ListBullet"/>
        <w:spacing w:after="80"/>
      </w:pPr>
      <w:r>
        <w:t>Copy configuration as a draft to another phase without copying attendance or approval evidence.</w:t>
      </w:r>
    </w:p>
    <w:p>
      <w:pPr>
        <w:pStyle w:val="ListBullet"/>
        <w:spacing w:after="80"/>
      </w:pPr>
      <w:r>
        <w:t>Preview exactly what each guest cohort will receive and what each checkpoint will resolve.</w:t>
      </w:r>
    </w:p>
    <w:p>
      <w:pPr>
        <w:pStyle w:val="Heading3"/>
      </w:pPr>
      <w:r>
        <w:t>Guest profile and pass</w:t>
      </w:r>
    </w:p>
    <w:p>
      <w:pPr>
        <w:pStyle w:val="ListBullet"/>
        <w:spacing w:after="80"/>
      </w:pPr>
      <w:r>
        <w:t>Show phase invitations/RSVP separately and a derived programme summary.</w:t>
      </w:r>
    </w:p>
    <w:p>
      <w:pPr>
        <w:pStyle w:val="ListBullet"/>
        <w:spacing w:after="80"/>
      </w:pPr>
      <w:r>
        <w:t>Show only authorised route wording and accessible instructions; conceal security classifications.</w:t>
      </w:r>
    </w:p>
    <w:p>
      <w:pPr>
        <w:pStyle w:val="ListBullet"/>
        <w:spacing w:after="80"/>
      </w:pPr>
      <w:r>
        <w:t>Offer one consolidated credential by default with phase-specific validity behind it.</w:t>
      </w:r>
    </w:p>
    <w:p>
      <w:pPr>
        <w:pStyle w:val="Heading3"/>
      </w:pPr>
      <w:r>
        <w:t>Command handoff</w:t>
      </w:r>
    </w:p>
    <w:p>
      <w:pPr>
        <w:pStyle w:val="ListBullet"/>
        <w:spacing w:after="80"/>
      </w:pPr>
      <w:r>
        <w:t>Publish a signed immutable snapshot diff to Slice 8.</w:t>
      </w:r>
    </w:p>
    <w:p>
      <w:pPr>
        <w:pStyle w:val="ListBullet"/>
        <w:spacing w:after="80"/>
      </w:pPr>
      <w:r>
        <w:t>Show which phases/checkpoints/devices are prepared without opening runtime.</w:t>
      </w:r>
    </w:p>
    <w:p>
      <w:pPr>
        <w:pStyle w:val="ListBullet"/>
        <w:spacing w:after="80"/>
      </w:pPr>
      <w:r>
        <w:t>Deployment never activates a phase, opens a runtime or authorises production automatically.</w:t>
      </w:r>
    </w:p>
    <w:p>
      <w:pPr>
        <w:pStyle w:val="Heading1"/>
      </w:pPr>
      <w:r>
        <w:t>12. APIs, persistence and migration</w:t>
      </w:r>
    </w:p>
    <w:p>
      <w:pPr>
        <w:pStyle w:val="Heading2"/>
      </w:pPr>
      <w:r>
        <w:t>12.1 Service rules</w:t>
      </w:r>
    </w:p>
    <w:p>
      <w:pPr>
        <w:pStyle w:val="ListBullet"/>
        <w:spacing w:after="80"/>
      </w:pPr>
      <w:r>
        <w:t>All reads and mutations enforce organisation, programme, phase and event scope server-side.</w:t>
      </w:r>
    </w:p>
    <w:p>
      <w:pPr>
        <w:pStyle w:val="ListBullet"/>
        <w:spacing w:after="80"/>
      </w:pPr>
      <w:r>
        <w:t>Use optimistic versions and idempotency keys for phase, route, entitlement and vehicle mutations.</w:t>
      </w:r>
    </w:p>
    <w:p>
      <w:pPr>
        <w:pStyle w:val="ListBullet"/>
        <w:spacing w:after="80"/>
      </w:pPr>
      <w:r>
        <w:t>Validate time-zone-aware windows, checkpoint ownership and route graph integrity.</w:t>
      </w:r>
    </w:p>
    <w:p>
      <w:pPr>
        <w:pStyle w:val="ListBullet"/>
        <w:spacing w:after="80"/>
      </w:pPr>
      <w:r>
        <w:t>Publish immutable versioned access plans with human-readable diffs and rollback/supersession.</w:t>
      </w:r>
    </w:p>
    <w:p>
      <w:pPr>
        <w:pStyle w:val="ListBullet"/>
        <w:spacing w:after="80"/>
      </w:pPr>
      <w:r>
        <w:t>Audit attempted and completed consequential actions without logging credential secrets or restricted protection details.</w:t>
      </w:r>
    </w:p>
    <w:p>
      <w:pPr>
        <w:pStyle w:val="ListBullet"/>
        <w:spacing w:after="80"/>
      </w:pPr>
      <w:r>
        <w:t>Expose versioned projections to Communications, credentials and Slice 8; prohibit shared-table attendance writes.</w:t>
      </w:r>
    </w:p>
    <w:p>
      <w:pPr>
        <w:pStyle w:val="Heading2"/>
      </w:pPr>
      <w:r>
        <w:t>12.2 Migration</w:t>
      </w:r>
    </w:p>
    <w:p>
      <w:pPr>
        <w:pStyle w:val="ListNumber"/>
        <w:spacing w:after="100"/>
      </w:pPr>
      <w:r>
        <w:t>Add programme/phase structures without rewriting existing eventId, guestId, partyId or credential history.</w:t>
      </w:r>
    </w:p>
    <w:p>
      <w:pPr>
        <w:pStyle w:val="ListNumber"/>
        <w:spacing w:after="100"/>
      </w:pPr>
      <w:r>
        <w:t>Create exactly one default phase for each existing operational event through deterministic, reversible migration.</w:t>
      </w:r>
    </w:p>
    <w:p>
      <w:pPr>
        <w:pStyle w:val="ListNumber"/>
        <w:spacing w:after="100"/>
      </w:pPr>
      <w:r>
        <w:t>Map existing venue/gate fields to draft phase/checkpoint records only when mechanically trustworthy.</w:t>
      </w:r>
    </w:p>
    <w:p>
      <w:pPr>
        <w:pStyle w:val="ListNumber"/>
        <w:spacing w:after="100"/>
      </w:pPr>
      <w:r>
        <w:t>Quarantine ambiguous dates, venues, time zones and access labels for human review; never guess.</w:t>
      </w:r>
    </w:p>
    <w:p>
      <w:pPr>
        <w:pStyle w:val="ListNumber"/>
        <w:spacing w:after="100"/>
      </w:pPr>
      <w:r>
        <w:t>Preserve current routes/APIs through compatibility projection until controlled removal.</w:t>
      </w:r>
    </w:p>
    <w:p>
      <w:pPr>
        <w:pStyle w:val="ListNumber"/>
        <w:spacing w:after="100"/>
      </w:pPr>
      <w:r>
        <w:t>Prove rollback, migration idempotency and no duplicate default phases.</w:t>
      </w:r>
    </w:p>
    <w:p>
      <w:pPr>
        <w:pStyle w:val="Heading1"/>
      </w:pPr>
      <w:r>
        <w:t>13. Failure, exception and recovery</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736"/>
            <w:shd w:fill="E8EEF5"/>
            <w:tcMar>
              <w:top w:w="80" w:type="dxa"/>
              <w:start w:w="120" w:type="dxa"/>
              <w:bottom w:w="80" w:type="dxa"/>
              <w:end w:w="120" w:type="dxa"/>
            </w:tcMar>
            <w:vAlign w:val="center"/>
          </w:tcPr>
          <w:p>
            <w:r>
              <w:rPr>
                <w:b/>
                <w:color w:val="0B2545"/>
                <w:sz w:val="18"/>
              </w:rPr>
              <w:t>Condition</w:t>
            </w:r>
          </w:p>
        </w:tc>
        <w:tc>
          <w:tcPr>
            <w:tcW w:type="dxa" w:w="6624"/>
            <w:shd w:fill="E8EEF5"/>
            <w:tcMar>
              <w:top w:w="80" w:type="dxa"/>
              <w:start w:w="120" w:type="dxa"/>
              <w:bottom w:w="80" w:type="dxa"/>
              <w:end w:w="120" w:type="dxa"/>
            </w:tcMar>
            <w:vAlign w:val="center"/>
          </w:tcPr>
          <w:p>
            <w:r>
              <w:rPr>
                <w:b/>
                <w:color w:val="0B2545"/>
                <w:sz w:val="18"/>
              </w:rPr>
              <w:t>Required response</w:t>
            </w:r>
          </w:p>
        </w:tc>
      </w:tr>
      <w:tr>
        <w:trPr>
          <w:cantSplit/>
        </w:trPr>
        <w:tc>
          <w:tcPr>
            <w:tcW w:type="dxa" w:w="2736"/>
            <w:tcMar>
              <w:top w:w="80" w:type="dxa"/>
              <w:start w:w="120" w:type="dxa"/>
              <w:bottom w:w="80" w:type="dxa"/>
              <w:end w:w="120" w:type="dxa"/>
            </w:tcMar>
            <w:vAlign w:val="top"/>
          </w:tcPr>
          <w:p>
            <w:pPr>
              <w:spacing w:after="0"/>
            </w:pPr>
            <w:r>
              <w:rPr>
                <w:sz w:val="17"/>
              </w:rPr>
              <w:t>Single event converted to multi-phase</w:t>
            </w:r>
          </w:p>
        </w:tc>
        <w:tc>
          <w:tcPr>
            <w:tcW w:type="dxa" w:w="6624"/>
            <w:tcMar>
              <w:top w:w="80" w:type="dxa"/>
              <w:start w:w="120" w:type="dxa"/>
              <w:bottom w:w="80" w:type="dxa"/>
              <w:end w:w="120" w:type="dxa"/>
            </w:tcMar>
            <w:vAlign w:val="top"/>
          </w:tcPr>
          <w:p>
            <w:pPr>
              <w:spacing w:after="0"/>
            </w:pPr>
            <w:r>
              <w:rPr>
                <w:sz w:val="17"/>
              </w:rPr>
              <w:t>Preserve IDs and default phase lineage; require preview before publication.</w:t>
            </w:r>
          </w:p>
        </w:tc>
      </w:tr>
      <w:tr>
        <w:trPr>
          <w:cantSplit/>
        </w:trPr>
        <w:tc>
          <w:tcPr>
            <w:tcW w:type="dxa" w:w="2736"/>
            <w:tcMar>
              <w:top w:w="80" w:type="dxa"/>
              <w:start w:w="120" w:type="dxa"/>
              <w:bottom w:w="80" w:type="dxa"/>
              <w:end w:w="120" w:type="dxa"/>
            </w:tcMar>
            <w:vAlign w:val="top"/>
          </w:tcPr>
          <w:p>
            <w:pPr>
              <w:spacing w:after="0"/>
            </w:pPr>
            <w:r>
              <w:rPr>
                <w:sz w:val="17"/>
              </w:rPr>
              <w:t>Overlapping phase windows</w:t>
            </w:r>
          </w:p>
        </w:tc>
        <w:tc>
          <w:tcPr>
            <w:tcW w:type="dxa" w:w="6624"/>
            <w:tcMar>
              <w:top w:w="80" w:type="dxa"/>
              <w:start w:w="120" w:type="dxa"/>
              <w:bottom w:w="80" w:type="dxa"/>
              <w:end w:w="120" w:type="dxa"/>
            </w:tcMar>
            <w:vAlign w:val="top"/>
          </w:tcPr>
          <w:p>
            <w:pPr>
              <w:spacing w:after="0"/>
            </w:pPr>
            <w:r>
              <w:rPr>
                <w:sz w:val="17"/>
              </w:rPr>
              <w:t>Warn; permit only with acknowledged operating model and assigned teams.</w:t>
            </w:r>
          </w:p>
        </w:tc>
      </w:tr>
      <w:tr>
        <w:trPr>
          <w:cantSplit/>
        </w:trPr>
        <w:tc>
          <w:tcPr>
            <w:tcW w:type="dxa" w:w="2736"/>
            <w:tcMar>
              <w:top w:w="80" w:type="dxa"/>
              <w:start w:w="120" w:type="dxa"/>
              <w:bottom w:w="80" w:type="dxa"/>
              <w:end w:w="120" w:type="dxa"/>
            </w:tcMar>
            <w:vAlign w:val="top"/>
          </w:tcPr>
          <w:p>
            <w:pPr>
              <w:spacing w:after="0"/>
            </w:pPr>
            <w:r>
              <w:rPr>
                <w:sz w:val="17"/>
              </w:rPr>
              <w:t>Impossible transfer time</w:t>
            </w:r>
          </w:p>
        </w:tc>
        <w:tc>
          <w:tcPr>
            <w:tcW w:type="dxa" w:w="6624"/>
            <w:tcMar>
              <w:top w:w="80" w:type="dxa"/>
              <w:start w:w="120" w:type="dxa"/>
              <w:bottom w:w="80" w:type="dxa"/>
              <w:end w:w="120" w:type="dxa"/>
            </w:tcMar>
            <w:vAlign w:val="top"/>
          </w:tcPr>
          <w:p>
            <w:pPr>
              <w:spacing w:after="0"/>
            </w:pPr>
            <w:r>
              <w:rPr>
                <w:sz w:val="17"/>
              </w:rPr>
              <w:t>Block readiness or obtain authorised operational exception.</w:t>
            </w:r>
          </w:p>
        </w:tc>
      </w:tr>
      <w:tr>
        <w:trPr>
          <w:cantSplit/>
        </w:trPr>
        <w:tc>
          <w:tcPr>
            <w:tcW w:type="dxa" w:w="2736"/>
            <w:tcMar>
              <w:top w:w="80" w:type="dxa"/>
              <w:start w:w="120" w:type="dxa"/>
              <w:bottom w:w="80" w:type="dxa"/>
              <w:end w:w="120" w:type="dxa"/>
            </w:tcMar>
            <w:vAlign w:val="top"/>
          </w:tcPr>
          <w:p>
            <w:pPr>
              <w:spacing w:after="0"/>
            </w:pPr>
            <w:r>
              <w:rPr>
                <w:sz w:val="17"/>
              </w:rPr>
              <w:t>Guest lacks phase entitlement</w:t>
            </w:r>
          </w:p>
        </w:tc>
        <w:tc>
          <w:tcPr>
            <w:tcW w:type="dxa" w:w="6624"/>
            <w:tcMar>
              <w:top w:w="80" w:type="dxa"/>
              <w:start w:w="120" w:type="dxa"/>
              <w:bottom w:w="80" w:type="dxa"/>
              <w:end w:w="120" w:type="dxa"/>
            </w:tcMar>
            <w:vAlign w:val="top"/>
          </w:tcPr>
          <w:p>
            <w:pPr>
              <w:spacing w:after="0"/>
            </w:pPr>
            <w:r>
              <w:rPr>
                <w:sz w:val="17"/>
              </w:rPr>
              <w:t>Refer; do not infer entitlement from another phase or party member.</w:t>
            </w:r>
          </w:p>
        </w:tc>
      </w:tr>
      <w:tr>
        <w:trPr>
          <w:cantSplit/>
        </w:trPr>
        <w:tc>
          <w:tcPr>
            <w:tcW w:type="dxa" w:w="2736"/>
            <w:tcMar>
              <w:top w:w="80" w:type="dxa"/>
              <w:start w:w="120" w:type="dxa"/>
              <w:bottom w:w="80" w:type="dxa"/>
              <w:end w:w="120" w:type="dxa"/>
            </w:tcMar>
            <w:vAlign w:val="top"/>
          </w:tcPr>
          <w:p>
            <w:pPr>
              <w:spacing w:after="0"/>
            </w:pPr>
            <w:r>
              <w:rPr>
                <w:sz w:val="17"/>
              </w:rPr>
              <w:t>Party partially entitled</w:t>
            </w:r>
          </w:p>
        </w:tc>
        <w:tc>
          <w:tcPr>
            <w:tcW w:type="dxa" w:w="6624"/>
            <w:tcMar>
              <w:top w:w="80" w:type="dxa"/>
              <w:start w:w="120" w:type="dxa"/>
              <w:bottom w:w="80" w:type="dxa"/>
              <w:end w:w="120" w:type="dxa"/>
            </w:tcMar>
            <w:vAlign w:val="top"/>
          </w:tcPr>
          <w:p>
            <w:pPr>
              <w:spacing w:after="0"/>
            </w:pPr>
            <w:r>
              <w:rPr>
                <w:sz w:val="17"/>
              </w:rPr>
              <w:t>Display entitled members individually; never admit whole party silently.</w:t>
            </w:r>
          </w:p>
        </w:tc>
      </w:tr>
      <w:tr>
        <w:trPr>
          <w:cantSplit/>
        </w:trPr>
        <w:tc>
          <w:tcPr>
            <w:tcW w:type="dxa" w:w="2736"/>
            <w:tcMar>
              <w:top w:w="80" w:type="dxa"/>
              <w:start w:w="120" w:type="dxa"/>
              <w:bottom w:w="80" w:type="dxa"/>
              <w:end w:w="120" w:type="dxa"/>
            </w:tcMar>
            <w:vAlign w:val="top"/>
          </w:tcPr>
          <w:p>
            <w:pPr>
              <w:spacing w:after="0"/>
            </w:pPr>
            <w:r>
              <w:rPr>
                <w:sz w:val="17"/>
              </w:rPr>
              <w:t>Stale/offline package</w:t>
            </w:r>
          </w:p>
        </w:tc>
        <w:tc>
          <w:tcPr>
            <w:tcW w:type="dxa" w:w="6624"/>
            <w:tcMar>
              <w:top w:w="80" w:type="dxa"/>
              <w:start w:w="120" w:type="dxa"/>
              <w:bottom w:w="80" w:type="dxa"/>
              <w:end w:w="120" w:type="dxa"/>
            </w:tcMar>
            <w:vAlign w:val="top"/>
          </w:tcPr>
          <w:p>
            <w:pPr>
              <w:spacing w:after="0"/>
            </w:pPr>
            <w:r>
              <w:rPr>
                <w:sz w:val="17"/>
              </w:rPr>
              <w:t>Apply Slice 8 freshness policy and visible uncertainty; never fake current status.</w:t>
            </w:r>
          </w:p>
        </w:tc>
      </w:tr>
      <w:tr>
        <w:trPr>
          <w:cantSplit/>
        </w:trPr>
        <w:tc>
          <w:tcPr>
            <w:tcW w:type="dxa" w:w="2736"/>
            <w:tcMar>
              <w:top w:w="80" w:type="dxa"/>
              <w:start w:w="120" w:type="dxa"/>
              <w:bottom w:w="80" w:type="dxa"/>
              <w:end w:w="120" w:type="dxa"/>
            </w:tcMar>
            <w:vAlign w:val="top"/>
          </w:tcPr>
          <w:p>
            <w:pPr>
              <w:spacing w:after="0"/>
            </w:pPr>
            <w:r>
              <w:rPr>
                <w:sz w:val="17"/>
              </w:rPr>
              <w:t>Revocation while device offline</w:t>
            </w:r>
          </w:p>
        </w:tc>
        <w:tc>
          <w:tcPr>
            <w:tcW w:type="dxa" w:w="6624"/>
            <w:tcMar>
              <w:top w:w="80" w:type="dxa"/>
              <w:start w:w="120" w:type="dxa"/>
              <w:bottom w:w="80" w:type="dxa"/>
              <w:end w:w="120" w:type="dxa"/>
            </w:tcMar>
            <w:vAlign w:val="top"/>
          </w:tcPr>
          <w:p>
            <w:pPr>
              <w:spacing w:after="0"/>
            </w:pPr>
            <w:r>
              <w:rPr>
                <w:sz w:val="17"/>
              </w:rPr>
              <w:t>Record local decision evidence; reconcile and surface conflict on reconnect.</w:t>
            </w:r>
          </w:p>
        </w:tc>
      </w:tr>
      <w:tr>
        <w:trPr>
          <w:cantSplit/>
        </w:trPr>
        <w:tc>
          <w:tcPr>
            <w:tcW w:type="dxa" w:w="2736"/>
            <w:tcMar>
              <w:top w:w="80" w:type="dxa"/>
              <w:start w:w="120" w:type="dxa"/>
              <w:bottom w:w="80" w:type="dxa"/>
              <w:end w:w="120" w:type="dxa"/>
            </w:tcMar>
            <w:vAlign w:val="top"/>
          </w:tcPr>
          <w:p>
            <w:pPr>
              <w:spacing w:after="0"/>
            </w:pPr>
            <w:r>
              <w:rPr>
                <w:sz w:val="17"/>
              </w:rPr>
              <w:t>Vehicle/person mismatch</w:t>
            </w:r>
          </w:p>
        </w:tc>
        <w:tc>
          <w:tcPr>
            <w:tcW w:type="dxa" w:w="6624"/>
            <w:tcMar>
              <w:top w:w="80" w:type="dxa"/>
              <w:start w:w="120" w:type="dxa"/>
              <w:bottom w:w="80" w:type="dxa"/>
              <w:end w:w="120" w:type="dxa"/>
            </w:tcMar>
            <w:vAlign w:val="top"/>
          </w:tcPr>
          <w:p>
            <w:pPr>
              <w:spacing w:after="0"/>
            </w:pPr>
            <w:r>
              <w:rPr>
                <w:sz w:val="17"/>
              </w:rPr>
              <w:t>Refer to authorised supervisor; vehicle access does not establish occupant identity.</w:t>
            </w:r>
          </w:p>
        </w:tc>
      </w:tr>
      <w:tr>
        <w:trPr>
          <w:cantSplit/>
        </w:trPr>
        <w:tc>
          <w:tcPr>
            <w:tcW w:type="dxa" w:w="2736"/>
            <w:tcMar>
              <w:top w:w="80" w:type="dxa"/>
              <w:start w:w="120" w:type="dxa"/>
              <w:bottom w:w="80" w:type="dxa"/>
              <w:end w:w="120" w:type="dxa"/>
            </w:tcMar>
            <w:vAlign w:val="top"/>
          </w:tcPr>
          <w:p>
            <w:pPr>
              <w:spacing w:after="0"/>
            </w:pPr>
            <w:r>
              <w:rPr>
                <w:sz w:val="17"/>
              </w:rPr>
              <w:t>Lost credential</w:t>
            </w:r>
          </w:p>
        </w:tc>
        <w:tc>
          <w:tcPr>
            <w:tcW w:type="dxa" w:w="6624"/>
            <w:tcMar>
              <w:top w:w="80" w:type="dxa"/>
              <w:start w:w="120" w:type="dxa"/>
              <w:bottom w:w="80" w:type="dxa"/>
              <w:end w:w="120" w:type="dxa"/>
            </w:tcMar>
            <w:vAlign w:val="top"/>
          </w:tcPr>
          <w:p>
            <w:pPr>
              <w:spacing w:after="0"/>
            </w:pPr>
            <w:r>
              <w:rPr>
                <w:sz w:val="17"/>
              </w:rPr>
              <w:t>Revoke/replace through credential authority; preserve linkage and audit.</w:t>
            </w:r>
          </w:p>
        </w:tc>
      </w:tr>
      <w:tr>
        <w:trPr>
          <w:cantSplit/>
        </w:trPr>
        <w:tc>
          <w:tcPr>
            <w:tcW w:type="dxa" w:w="2736"/>
            <w:tcMar>
              <w:top w:w="80" w:type="dxa"/>
              <w:start w:w="120" w:type="dxa"/>
              <w:bottom w:w="80" w:type="dxa"/>
              <w:end w:w="120" w:type="dxa"/>
            </w:tcMar>
            <w:vAlign w:val="top"/>
          </w:tcPr>
          <w:p>
            <w:pPr>
              <w:spacing w:after="0"/>
            </w:pPr>
            <w:r>
              <w:rPr>
                <w:sz w:val="17"/>
              </w:rPr>
              <w:t>Venue or gate changes late</w:t>
            </w:r>
          </w:p>
        </w:tc>
        <w:tc>
          <w:tcPr>
            <w:tcW w:type="dxa" w:w="6624"/>
            <w:tcMar>
              <w:top w:w="80" w:type="dxa"/>
              <w:start w:w="120" w:type="dxa"/>
              <w:bottom w:w="80" w:type="dxa"/>
              <w:end w:w="120" w:type="dxa"/>
            </w:tcMar>
            <w:vAlign w:val="top"/>
          </w:tcPr>
          <w:p>
            <w:pPr>
              <w:spacing w:after="0"/>
            </w:pPr>
            <w:r>
              <w:rPr>
                <w:sz w:val="17"/>
              </w:rPr>
              <w:t>Publish superseding version and guest/operator communications; old snapshot behaviour explicit.</w:t>
            </w:r>
          </w:p>
        </w:tc>
      </w:tr>
      <w:tr>
        <w:trPr>
          <w:cantSplit/>
        </w:trPr>
        <w:tc>
          <w:tcPr>
            <w:tcW w:type="dxa" w:w="2736"/>
            <w:tcMar>
              <w:top w:w="80" w:type="dxa"/>
              <w:start w:w="120" w:type="dxa"/>
              <w:bottom w:w="80" w:type="dxa"/>
              <w:end w:w="120" w:type="dxa"/>
            </w:tcMar>
            <w:vAlign w:val="top"/>
          </w:tcPr>
          <w:p>
            <w:pPr>
              <w:spacing w:after="0"/>
            </w:pPr>
            <w:r>
              <w:rPr>
                <w:sz w:val="17"/>
              </w:rPr>
              <w:t>Cross-phase duplicate scan</w:t>
            </w:r>
          </w:p>
        </w:tc>
        <w:tc>
          <w:tcPr>
            <w:tcW w:type="dxa" w:w="6624"/>
            <w:tcMar>
              <w:top w:w="80" w:type="dxa"/>
              <w:start w:w="120" w:type="dxa"/>
              <w:bottom w:w="80" w:type="dxa"/>
              <w:end w:w="120" w:type="dxa"/>
            </w:tcMar>
            <w:vAlign w:val="top"/>
          </w:tcPr>
          <w:p>
            <w:pPr>
              <w:spacing w:after="0"/>
            </w:pPr>
            <w:r>
              <w:rPr>
                <w:sz w:val="17"/>
              </w:rPr>
              <w:t>Record phase/checkpoint fact independently; classify duplicate/re-entry only within policy.</w:t>
            </w:r>
          </w:p>
        </w:tc>
      </w:tr>
      <w:tr>
        <w:trPr>
          <w:cantSplit/>
        </w:trPr>
        <w:tc>
          <w:tcPr>
            <w:tcW w:type="dxa" w:w="2736"/>
            <w:tcMar>
              <w:top w:w="80" w:type="dxa"/>
              <w:start w:w="120" w:type="dxa"/>
              <w:bottom w:w="80" w:type="dxa"/>
              <w:end w:w="120" w:type="dxa"/>
            </w:tcMar>
            <w:vAlign w:val="top"/>
          </w:tcPr>
          <w:p>
            <w:pPr>
              <w:spacing w:after="0"/>
            </w:pPr>
            <w:r>
              <w:rPr>
                <w:sz w:val="17"/>
              </w:rPr>
              <w:t>Emergency</w:t>
            </w:r>
          </w:p>
        </w:tc>
        <w:tc>
          <w:tcPr>
            <w:tcW w:type="dxa" w:w="6624"/>
            <w:tcMar>
              <w:top w:w="80" w:type="dxa"/>
              <w:start w:w="120" w:type="dxa"/>
              <w:bottom w:w="80" w:type="dxa"/>
              <w:end w:w="120" w:type="dxa"/>
            </w:tcMar>
            <w:vAlign w:val="top"/>
          </w:tcPr>
          <w:p>
            <w:pPr>
              <w:spacing w:after="0"/>
            </w:pPr>
            <w:r>
              <w:rPr>
                <w:sz w:val="17"/>
              </w:rPr>
              <w:t>Human security command overrides ordinary routing; append evidence and reconcile afterward.</w:t>
            </w:r>
          </w:p>
        </w:tc>
      </w:tr>
    </w:tbl>
    <w:p>
      <w:pPr>
        <w:spacing w:after="20"/>
      </w:pPr>
    </w:p>
    <w:p>
      <w:pPr>
        <w:pStyle w:val="Heading1"/>
      </w:pPr>
      <w:r>
        <w:t>14. Acceptance criteria and tests</w:t>
      </w:r>
    </w:p>
    <w:p>
      <w:pPr>
        <w:pStyle w:val="ListBullet"/>
        <w:spacing w:after="80"/>
      </w:pPr>
      <w:r>
        <w:t>A legacy single-day event operates with one default phase and no additional operator burden.</w:t>
      </w:r>
    </w:p>
    <w:p>
      <w:pPr>
        <w:pStyle w:val="ListBullet"/>
        <w:spacing w:after="80"/>
      </w:pPr>
      <w:r>
        <w:t>A same-day church-to-reception programme enforces separate phase entitlements and attendance.</w:t>
      </w:r>
    </w:p>
    <w:p>
      <w:pPr>
        <w:pStyle w:val="ListBullet"/>
        <w:spacing w:after="80"/>
      </w:pPr>
      <w:r>
        <w:t>A multi-day programme preserves correct dates, time zones, locations and checkpoint packages.</w:t>
      </w:r>
    </w:p>
    <w:p>
      <w:pPr>
        <w:pStyle w:val="ListBullet"/>
        <w:spacing w:after="80"/>
      </w:pPr>
      <w:r>
        <w:t>A household may be admitted to church while only named members are eligible for reception.</w:t>
      </w:r>
    </w:p>
    <w:p>
      <w:pPr>
        <w:pStyle w:val="ListBullet"/>
        <w:spacing w:after="80"/>
      </w:pPr>
      <w:r>
        <w:t>Estate, vehicle, parking and venue decisions remain independent ledger facts in Slice 8.</w:t>
      </w:r>
    </w:p>
    <w:p>
      <w:pPr>
        <w:pStyle w:val="ListBullet"/>
        <w:spacing w:after="80"/>
      </w:pPr>
      <w:r>
        <w:t>One credential resolves different authorised rights by phase, checkpoint and time.</w:t>
      </w:r>
    </w:p>
    <w:p>
      <w:pPr>
        <w:pStyle w:val="ListBullet"/>
        <w:spacing w:after="80"/>
      </w:pPr>
      <w:r>
        <w:t>Fast-track marking is discreet, configurable, accessible and cannot grant authority by itself.</w:t>
      </w:r>
    </w:p>
    <w:p>
      <w:pPr>
        <w:pStyle w:val="ListBullet"/>
        <w:spacing w:after="80"/>
      </w:pPr>
      <w:r>
        <w:t>Party scan produces per-person outcomes; children retain responsible-adult constraints.</w:t>
      </w:r>
    </w:p>
    <w:p>
      <w:pPr>
        <w:pStyle w:val="ListBullet"/>
        <w:spacing w:after="80"/>
      </w:pPr>
      <w:r>
        <w:t>Driver, vehicle, protection and entourage identities/access remain explicit and bounded.</w:t>
      </w:r>
    </w:p>
    <w:p>
      <w:pPr>
        <w:pStyle w:val="ListBullet"/>
        <w:spacing w:after="80"/>
      </w:pPr>
      <w:r>
        <w:t>Offline packages are signed, minimal, versioned and conflict-safe.</w:t>
      </w:r>
    </w:p>
    <w:p>
      <w:pPr>
        <w:pStyle w:val="ListBullet"/>
        <w:spacing w:after="80"/>
      </w:pPr>
      <w:r>
        <w:t>No second attendance writer, scanner, outbox, device service or close workflow exists.</w:t>
      </w:r>
    </w:p>
    <w:p>
      <w:pPr>
        <w:pStyle w:val="ListBullet"/>
        <w:spacing w:after="80"/>
      </w:pPr>
      <w:r>
        <w:t>EOS-S05 is absent; production remains unauthorised and all protected gates unsigned.</w:t>
      </w:r>
    </w:p>
    <w:p>
      <w:pPr>
        <w:pStyle w:val="Heading2"/>
      </w:pPr>
      <w:r>
        <w:t>14.1 Automated verification</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1944"/>
            <w:shd w:fill="E8EEF5"/>
            <w:tcMar>
              <w:top w:w="80" w:type="dxa"/>
              <w:start w:w="120" w:type="dxa"/>
              <w:bottom w:w="80" w:type="dxa"/>
              <w:end w:w="120" w:type="dxa"/>
            </w:tcMar>
            <w:vAlign w:val="center"/>
          </w:tcPr>
          <w:p>
            <w:r>
              <w:rPr>
                <w:b/>
                <w:color w:val="0B2545"/>
                <w:sz w:val="18"/>
              </w:rPr>
              <w:t>Layer</w:t>
            </w:r>
          </w:p>
        </w:tc>
        <w:tc>
          <w:tcPr>
            <w:tcW w:type="dxa" w:w="7416"/>
            <w:shd w:fill="E8EEF5"/>
            <w:tcMar>
              <w:top w:w="80" w:type="dxa"/>
              <w:start w:w="120" w:type="dxa"/>
              <w:bottom w:w="80" w:type="dxa"/>
              <w:end w:w="120" w:type="dxa"/>
            </w:tcMar>
            <w:vAlign w:val="center"/>
          </w:tcPr>
          <w:p>
            <w:r>
              <w:rPr>
                <w:b/>
                <w:color w:val="0B2545"/>
                <w:sz w:val="18"/>
              </w:rPr>
              <w:t>Minimum verification</w:t>
            </w:r>
          </w:p>
        </w:tc>
      </w:tr>
      <w:tr>
        <w:trPr>
          <w:cantSplit/>
        </w:trPr>
        <w:tc>
          <w:tcPr>
            <w:tcW w:type="dxa" w:w="1944"/>
            <w:tcMar>
              <w:top w:w="80" w:type="dxa"/>
              <w:start w:w="120" w:type="dxa"/>
              <w:bottom w:w="80" w:type="dxa"/>
              <w:end w:w="120" w:type="dxa"/>
            </w:tcMar>
            <w:vAlign w:val="top"/>
          </w:tcPr>
          <w:p>
            <w:pPr>
              <w:spacing w:after="0"/>
            </w:pPr>
            <w:r>
              <w:rPr>
                <w:sz w:val="17"/>
              </w:rPr>
              <w:t>Domain</w:t>
            </w:r>
          </w:p>
        </w:tc>
        <w:tc>
          <w:tcPr>
            <w:tcW w:type="dxa" w:w="7416"/>
            <w:tcMar>
              <w:top w:w="80" w:type="dxa"/>
              <w:start w:w="120" w:type="dxa"/>
              <w:bottom w:w="80" w:type="dxa"/>
              <w:end w:w="120" w:type="dxa"/>
            </w:tcMar>
            <w:vAlign w:val="top"/>
          </w:tcPr>
          <w:p>
            <w:pPr>
              <w:spacing w:after="0"/>
            </w:pPr>
            <w:r>
              <w:rPr>
                <w:sz w:val="17"/>
              </w:rPr>
              <w:t>Programme/phase/checkpoint/route/entitlement lifecycles and invariants.</w:t>
            </w:r>
          </w:p>
        </w:tc>
      </w:tr>
      <w:tr>
        <w:trPr>
          <w:cantSplit/>
        </w:trPr>
        <w:tc>
          <w:tcPr>
            <w:tcW w:type="dxa" w:w="1944"/>
            <w:tcMar>
              <w:top w:w="80" w:type="dxa"/>
              <w:start w:w="120" w:type="dxa"/>
              <w:bottom w:w="80" w:type="dxa"/>
              <w:end w:w="120" w:type="dxa"/>
            </w:tcMar>
            <w:vAlign w:val="top"/>
          </w:tcPr>
          <w:p>
            <w:pPr>
              <w:spacing w:after="0"/>
            </w:pPr>
            <w:r>
              <w:rPr>
                <w:sz w:val="17"/>
              </w:rPr>
              <w:t>Migration</w:t>
            </w:r>
          </w:p>
        </w:tc>
        <w:tc>
          <w:tcPr>
            <w:tcW w:type="dxa" w:w="7416"/>
            <w:tcMar>
              <w:top w:w="80" w:type="dxa"/>
              <w:start w:w="120" w:type="dxa"/>
              <w:bottom w:w="80" w:type="dxa"/>
              <w:end w:w="120" w:type="dxa"/>
            </w:tcMar>
            <w:vAlign w:val="top"/>
          </w:tcPr>
          <w:p>
            <w:pPr>
              <w:spacing w:after="0"/>
            </w:pPr>
            <w:r>
              <w:rPr>
                <w:sz w:val="17"/>
              </w:rPr>
              <w:t>One default phase, stable IDs, idempotency, rollback and compatibility.</w:t>
            </w:r>
          </w:p>
        </w:tc>
      </w:tr>
      <w:tr>
        <w:trPr>
          <w:cantSplit/>
        </w:trPr>
        <w:tc>
          <w:tcPr>
            <w:tcW w:type="dxa" w:w="1944"/>
            <w:tcMar>
              <w:top w:w="80" w:type="dxa"/>
              <w:start w:w="120" w:type="dxa"/>
              <w:bottom w:w="80" w:type="dxa"/>
              <w:end w:w="120" w:type="dxa"/>
            </w:tcMar>
            <w:vAlign w:val="top"/>
          </w:tcPr>
          <w:p>
            <w:pPr>
              <w:spacing w:after="0"/>
            </w:pPr>
            <w:r>
              <w:rPr>
                <w:sz w:val="17"/>
              </w:rPr>
              <w:t>Permissions</w:t>
            </w:r>
          </w:p>
        </w:tc>
        <w:tc>
          <w:tcPr>
            <w:tcW w:type="dxa" w:w="7416"/>
            <w:tcMar>
              <w:top w:w="80" w:type="dxa"/>
              <w:start w:w="120" w:type="dxa"/>
              <w:bottom w:w="80" w:type="dxa"/>
              <w:end w:w="120" w:type="dxa"/>
            </w:tcMar>
            <w:vAlign w:val="top"/>
          </w:tcPr>
          <w:p>
            <w:pPr>
              <w:spacing w:after="0"/>
            </w:pPr>
            <w:r>
              <w:rPr>
                <w:sz w:val="17"/>
              </w:rPr>
              <w:t>Role matrix, protected route approval, event/phase isolation and masked fields.</w:t>
            </w:r>
          </w:p>
        </w:tc>
      </w:tr>
      <w:tr>
        <w:trPr>
          <w:cantSplit/>
        </w:trPr>
        <w:tc>
          <w:tcPr>
            <w:tcW w:type="dxa" w:w="1944"/>
            <w:tcMar>
              <w:top w:w="80" w:type="dxa"/>
              <w:start w:w="120" w:type="dxa"/>
              <w:bottom w:w="80" w:type="dxa"/>
              <w:end w:w="120" w:type="dxa"/>
            </w:tcMar>
            <w:vAlign w:val="top"/>
          </w:tcPr>
          <w:p>
            <w:pPr>
              <w:spacing w:after="0"/>
            </w:pPr>
            <w:r>
              <w:rPr>
                <w:sz w:val="17"/>
              </w:rPr>
              <w:t>Contracts</w:t>
            </w:r>
          </w:p>
        </w:tc>
        <w:tc>
          <w:tcPr>
            <w:tcW w:type="dxa" w:w="7416"/>
            <w:tcMar>
              <w:top w:w="80" w:type="dxa"/>
              <w:start w:w="120" w:type="dxa"/>
              <w:bottom w:w="80" w:type="dxa"/>
              <w:end w:w="120" w:type="dxa"/>
            </w:tcMar>
            <w:vAlign w:val="top"/>
          </w:tcPr>
          <w:p>
            <w:pPr>
              <w:spacing w:after="0"/>
            </w:pPr>
            <w:r>
              <w:rPr>
                <w:sz w:val="17"/>
              </w:rPr>
              <w:t>Credential and Slice 8 snapshot schemas, version compatibility and negative shared-write tests.</w:t>
            </w:r>
          </w:p>
        </w:tc>
      </w:tr>
      <w:tr>
        <w:trPr>
          <w:cantSplit/>
        </w:trPr>
        <w:tc>
          <w:tcPr>
            <w:tcW w:type="dxa" w:w="1944"/>
            <w:tcMar>
              <w:top w:w="80" w:type="dxa"/>
              <w:start w:w="120" w:type="dxa"/>
              <w:bottom w:w="80" w:type="dxa"/>
              <w:end w:w="120" w:type="dxa"/>
            </w:tcMar>
            <w:vAlign w:val="top"/>
          </w:tcPr>
          <w:p>
            <w:pPr>
              <w:spacing w:after="0"/>
            </w:pPr>
            <w:r>
              <w:rPr>
                <w:sz w:val="17"/>
              </w:rPr>
              <w:t>Offline</w:t>
            </w:r>
          </w:p>
        </w:tc>
        <w:tc>
          <w:tcPr>
            <w:tcW w:type="dxa" w:w="7416"/>
            <w:tcMar>
              <w:top w:w="80" w:type="dxa"/>
              <w:start w:w="120" w:type="dxa"/>
              <w:bottom w:w="80" w:type="dxa"/>
              <w:end w:w="120" w:type="dxa"/>
            </w:tcMar>
            <w:vAlign w:val="top"/>
          </w:tcPr>
          <w:p>
            <w:pPr>
              <w:spacing w:after="0"/>
            </w:pPr>
            <w:r>
              <w:rPr>
                <w:sz w:val="17"/>
              </w:rPr>
              <w:t>Signed package, stale/superseded behaviour, revocation conflict and reconciliation.</w:t>
            </w:r>
          </w:p>
        </w:tc>
      </w:tr>
      <w:tr>
        <w:trPr>
          <w:cantSplit/>
        </w:trPr>
        <w:tc>
          <w:tcPr>
            <w:tcW w:type="dxa" w:w="1944"/>
            <w:tcMar>
              <w:top w:w="80" w:type="dxa"/>
              <w:start w:w="120" w:type="dxa"/>
              <w:bottom w:w="80" w:type="dxa"/>
              <w:end w:w="120" w:type="dxa"/>
            </w:tcMar>
            <w:vAlign w:val="top"/>
          </w:tcPr>
          <w:p>
            <w:pPr>
              <w:spacing w:after="0"/>
            </w:pPr>
            <w:r>
              <w:rPr>
                <w:sz w:val="17"/>
              </w:rPr>
              <w:t>UI</w:t>
            </w:r>
          </w:p>
        </w:tc>
        <w:tc>
          <w:tcPr>
            <w:tcW w:type="dxa" w:w="7416"/>
            <w:tcMar>
              <w:top w:w="80" w:type="dxa"/>
              <w:start w:w="120" w:type="dxa"/>
              <w:bottom w:w="80" w:type="dxa"/>
              <w:end w:w="120" w:type="dxa"/>
            </w:tcMar>
            <w:vAlign w:val="top"/>
          </w:tcPr>
          <w:p>
            <w:pPr>
              <w:spacing w:after="0"/>
            </w:pPr>
            <w:r>
              <w:rPr>
                <w:sz w:val="17"/>
              </w:rPr>
              <w:t>Single-phase simplicity; same-day/multi-day editors; phase RSVP; masked gate views.</w:t>
            </w:r>
          </w:p>
        </w:tc>
      </w:tr>
      <w:tr>
        <w:trPr>
          <w:cantSplit/>
        </w:trPr>
        <w:tc>
          <w:tcPr>
            <w:tcW w:type="dxa" w:w="1944"/>
            <w:tcMar>
              <w:top w:w="80" w:type="dxa"/>
              <w:start w:w="120" w:type="dxa"/>
              <w:bottom w:w="80" w:type="dxa"/>
              <w:end w:w="120" w:type="dxa"/>
            </w:tcMar>
            <w:vAlign w:val="top"/>
          </w:tcPr>
          <w:p>
            <w:pPr>
              <w:spacing w:after="0"/>
            </w:pPr>
            <w:r>
              <w:rPr>
                <w:sz w:val="17"/>
              </w:rPr>
              <w:t>E2E</w:t>
            </w:r>
          </w:p>
        </w:tc>
        <w:tc>
          <w:tcPr>
            <w:tcW w:type="dxa" w:w="7416"/>
            <w:tcMar>
              <w:top w:w="80" w:type="dxa"/>
              <w:start w:w="120" w:type="dxa"/>
              <w:bottom w:w="80" w:type="dxa"/>
              <w:end w:w="120" w:type="dxa"/>
            </w:tcMar>
            <w:vAlign w:val="top"/>
          </w:tcPr>
          <w:p>
            <w:pPr>
              <w:spacing w:after="0"/>
            </w:pPr>
            <w:r>
              <w:rPr>
                <w:sz w:val="17"/>
              </w:rPr>
              <w:t>Church + reception, multi-day programme, partial household, vehicle/driver and fast-track.</w:t>
            </w:r>
          </w:p>
        </w:tc>
      </w:tr>
      <w:tr>
        <w:trPr>
          <w:cantSplit/>
        </w:trPr>
        <w:tc>
          <w:tcPr>
            <w:tcW w:type="dxa" w:w="1944"/>
            <w:tcMar>
              <w:top w:w="80" w:type="dxa"/>
              <w:start w:w="120" w:type="dxa"/>
              <w:bottom w:w="80" w:type="dxa"/>
              <w:end w:w="120" w:type="dxa"/>
            </w:tcMar>
            <w:vAlign w:val="top"/>
          </w:tcPr>
          <w:p>
            <w:pPr>
              <w:spacing w:after="0"/>
            </w:pPr>
            <w:r>
              <w:rPr>
                <w:sz w:val="17"/>
              </w:rPr>
              <w:t>Regression</w:t>
            </w:r>
          </w:p>
        </w:tc>
        <w:tc>
          <w:tcPr>
            <w:tcW w:type="dxa" w:w="7416"/>
            <w:tcMar>
              <w:top w:w="80" w:type="dxa"/>
              <w:start w:w="120" w:type="dxa"/>
              <w:bottom w:w="80" w:type="dxa"/>
              <w:end w:w="120" w:type="dxa"/>
            </w:tcMar>
            <w:vAlign w:val="top"/>
          </w:tcPr>
          <w:p>
            <w:pPr>
              <w:spacing w:after="0"/>
            </w:pPr>
            <w:r>
              <w:rPr>
                <w:sz w:val="17"/>
              </w:rPr>
              <w:t>EOS-S01–S04A, credential and Slice 8 suites; programme validation and production build.</w:t>
            </w:r>
          </w:p>
        </w:tc>
      </w:tr>
    </w:tbl>
    <w:p>
      <w:pPr>
        <w:spacing w:after="20"/>
      </w:pPr>
    </w:p>
    <w:p>
      <w:pPr>
        <w:pStyle w:val="Heading1"/>
      </w:pPr>
      <w:r>
        <w:t>15. Claude human-verification plan</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ROLE BOUNDARY  </w:t>
            </w:r>
            <w:r>
              <w:t>Claude may simulate a human operator in the browser and report evidence. Claude cannot change source or infrastructure, accept the slice, sign gates or authorise production.</w:t>
            </w:r>
          </w:p>
        </w:tc>
      </w:tr>
    </w:tbl>
    <w:p>
      <w:pPr>
        <w:spacing w:after="20"/>
      </w:pPr>
    </w:p>
    <w:p>
      <w:pPr>
        <w:pStyle w:val="ListBullet"/>
        <w:spacing w:after="80"/>
      </w:pPr>
      <w:r>
        <w:t>Confirm fixtures are enabled and productionAuthorised:false.</w:t>
      </w:r>
    </w:p>
    <w:p>
      <w:pPr>
        <w:pStyle w:val="ListBullet"/>
        <w:spacing w:after="80"/>
      </w:pPr>
      <w:r>
        <w:t>Create/inspect a normal single-phase event and verify the simple workflow.</w:t>
      </w:r>
    </w:p>
    <w:p>
      <w:pPr>
        <w:pStyle w:val="ListBullet"/>
        <w:spacing w:after="80"/>
      </w:pPr>
      <w:r>
        <w:t>Configure synthetic church and reception phases on the same day at different locations.</w:t>
      </w:r>
    </w:p>
    <w:p>
      <w:pPr>
        <w:pStyle w:val="ListBullet"/>
        <w:spacing w:after="80"/>
      </w:pPr>
      <w:r>
        <w:t>Configure a synthetic registry/ceremony/reception/brunch across several days.</w:t>
      </w:r>
    </w:p>
    <w:p>
      <w:pPr>
        <w:pStyle w:val="ListBullet"/>
        <w:spacing w:after="80"/>
      </w:pPr>
      <w:r>
        <w:t>Give a household church access but reception access to selected members only.</w:t>
      </w:r>
    </w:p>
    <w:p>
      <w:pPr>
        <w:pStyle w:val="ListBullet"/>
        <w:spacing w:after="80"/>
      </w:pPr>
      <w:r>
        <w:t>Verify phase-specific RSVP and communications audiences.</w:t>
      </w:r>
    </w:p>
    <w:p>
      <w:pPr>
        <w:pStyle w:val="ListBullet"/>
        <w:spacing w:after="80"/>
      </w:pPr>
      <w:r>
        <w:t>Issue/preview one synthetic credential covering different phase rights; inspect QR/alphanumeric fallback without disclosing secrets.</w:t>
      </w:r>
    </w:p>
    <w:p>
      <w:pPr>
        <w:pStyle w:val="ListBullet"/>
        <w:spacing w:after="80"/>
      </w:pPr>
      <w:r>
        <w:t>Verify estate gate, parking and venue entry remain separate checkpoints.</w:t>
      </w:r>
    </w:p>
    <w:p>
      <w:pPr>
        <w:pStyle w:val="ListBullet"/>
        <w:spacing w:after="80"/>
      </w:pPr>
      <w:r>
        <w:t>Verify a discreet fast-track marker routes correctly but grants no unconfigured zone.</w:t>
      </w:r>
    </w:p>
    <w:p>
      <w:pPr>
        <w:pStyle w:val="ListBullet"/>
        <w:spacing w:after="80"/>
      </w:pPr>
      <w:r>
        <w:t>Test vehicle, driver, carer, child and protection/entourage projections with masked displays.</w:t>
      </w:r>
    </w:p>
    <w:p>
      <w:pPr>
        <w:pStyle w:val="ListBullet"/>
        <w:spacing w:after="80"/>
      </w:pPr>
      <w:r>
        <w:t>Take a checkpoint package offline, scan synthetic cases and confirm Slice 8 ledger/sync/conflict behaviour.</w:t>
      </w:r>
    </w:p>
    <w:p>
      <w:pPr>
        <w:pStyle w:val="ListBullet"/>
        <w:spacing w:after="80"/>
      </w:pPr>
      <w:r>
        <w:t>Confirm auditor read-only, cross-event/phase access denied, no real message, EOS-S05 absent and production unauthorised.</w:t>
      </w:r>
    </w:p>
    <w:p>
      <w:r>
        <w:br w:type="page"/>
      </w:r>
    </w:p>
    <w:p>
      <w:pPr>
        <w:pStyle w:val="Heading1"/>
      </w:pPr>
      <w:r>
        <w:t>16. Academy training delta — ACA-S04B</w:t>
      </w:r>
    </w:p>
    <w:p>
      <w:pPr>
        <w:pStyle w:val="Heading2"/>
      </w:pPr>
      <w:r>
        <w:t>16.1 Learners</w:t>
      </w:r>
    </w:p>
    <w:p>
      <w:r>
        <w:t>Event Directors, planners, protocol teams, security leads, transport/parking leads, gate supervisors/operators, guest-experience staff, device managers, reconciliation leads and auditors. Training is role-tiered and event-specific briefing remains required for live posts.</w:t>
      </w:r>
    </w:p>
    <w:p>
      <w:pPr>
        <w:pStyle w:val="Heading2"/>
      </w:pPr>
      <w:r>
        <w:t>16.2 Learning outcomes</w:t>
      </w:r>
    </w:p>
    <w:p>
      <w:pPr>
        <w:pStyle w:val="ListBullet"/>
        <w:spacing w:after="80"/>
      </w:pPr>
      <w:r>
        <w:t>Distinguish programme, phase, checkpoint, route, zone, entitlement, credential and attendance.</w:t>
      </w:r>
    </w:p>
    <w:p>
      <w:pPr>
        <w:pStyle w:val="ListBullet"/>
        <w:spacing w:after="80"/>
      </w:pPr>
      <w:r>
        <w:t>Prepare single-phase, same-day multi-phase and multi-day events.</w:t>
      </w:r>
    </w:p>
    <w:p>
      <w:pPr>
        <w:pStyle w:val="ListBullet"/>
        <w:spacing w:after="80"/>
      </w:pPr>
      <w:r>
        <w:t>Apply phase-specific guest, party, child, carer, driver, vehicle and entourage rules.</w:t>
      </w:r>
    </w:p>
    <w:p>
      <w:pPr>
        <w:pStyle w:val="ListBullet"/>
        <w:spacing w:after="80"/>
      </w:pPr>
      <w:r>
        <w:t>Operate estate, parking, venue and internal checkpoints without conflating their decisions.</w:t>
      </w:r>
    </w:p>
    <w:p>
      <w:pPr>
        <w:pStyle w:val="ListBullet"/>
        <w:spacing w:after="80"/>
      </w:pPr>
      <w:r>
        <w:t>Use fast-track discreetly and preserve dignity.</w:t>
      </w:r>
    </w:p>
    <w:p>
      <w:pPr>
        <w:pStyle w:val="ListBullet"/>
        <w:spacing w:after="80"/>
      </w:pPr>
      <w:r>
        <w:t>Work safely offline using published snapshots, uncertainty states and escalation.</w:t>
      </w:r>
    </w:p>
    <w:p>
      <w:pPr>
        <w:pStyle w:val="ListBullet"/>
        <w:spacing w:after="80"/>
      </w:pPr>
      <w:r>
        <w:t>Reconcile duplicates, substitutions, revocations and late route changes without deleting evidence.</w:t>
      </w:r>
    </w:p>
    <w:p>
      <w:pPr>
        <w:pStyle w:val="ListBullet"/>
        <w:spacing w:after="80"/>
      </w:pPr>
      <w:r>
        <w:t>Maintain least privilege, restricted protection information and human decision authority.</w:t>
      </w:r>
    </w:p>
    <w:p>
      <w:pPr>
        <w:pStyle w:val="Heading2"/>
      </w:pPr>
      <w:r>
        <w:t>16.3 Assessment</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376"/>
            <w:shd w:fill="E8EEF5"/>
            <w:tcMar>
              <w:top w:w="80" w:type="dxa"/>
              <w:start w:w="120" w:type="dxa"/>
              <w:bottom w:w="80" w:type="dxa"/>
              <w:end w:w="120" w:type="dxa"/>
            </w:tcMar>
            <w:vAlign w:val="center"/>
          </w:tcPr>
          <w:p>
            <w:r>
              <w:rPr>
                <w:b/>
                <w:color w:val="0B2545"/>
                <w:sz w:val="18"/>
              </w:rPr>
              <w:t>Component</w:t>
            </w:r>
          </w:p>
        </w:tc>
        <w:tc>
          <w:tcPr>
            <w:tcW w:type="dxa" w:w="6984"/>
            <w:shd w:fill="E8EEF5"/>
            <w:tcMar>
              <w:top w:w="80" w:type="dxa"/>
              <w:start w:w="120" w:type="dxa"/>
              <w:bottom w:w="80" w:type="dxa"/>
              <w:end w:w="120" w:type="dxa"/>
            </w:tcMar>
            <w:vAlign w:val="center"/>
          </w:tcPr>
          <w:p>
            <w:r>
              <w:rPr>
                <w:b/>
                <w:color w:val="0B2545"/>
                <w:sz w:val="18"/>
              </w:rPr>
              <w:t>Requirement</w:t>
            </w:r>
          </w:p>
        </w:tc>
      </w:tr>
      <w:tr>
        <w:trPr>
          <w:cantSplit/>
        </w:trPr>
        <w:tc>
          <w:tcPr>
            <w:tcW w:type="dxa" w:w="2376"/>
            <w:tcMar>
              <w:top w:w="80" w:type="dxa"/>
              <w:start w:w="120" w:type="dxa"/>
              <w:bottom w:w="80" w:type="dxa"/>
              <w:end w:w="120" w:type="dxa"/>
            </w:tcMar>
            <w:vAlign w:val="top"/>
          </w:tcPr>
          <w:p>
            <w:pPr>
              <w:spacing w:after="0"/>
            </w:pPr>
            <w:r>
              <w:rPr>
                <w:sz w:val="17"/>
              </w:rPr>
              <w:t>Knowledge check</w:t>
            </w:r>
          </w:p>
        </w:tc>
        <w:tc>
          <w:tcPr>
            <w:tcW w:type="dxa" w:w="6984"/>
            <w:tcMar>
              <w:top w:w="80" w:type="dxa"/>
              <w:start w:w="120" w:type="dxa"/>
              <w:bottom w:w="80" w:type="dxa"/>
              <w:end w:w="120" w:type="dxa"/>
            </w:tcMar>
            <w:vAlign w:val="top"/>
          </w:tcPr>
          <w:p>
            <w:pPr>
              <w:spacing w:after="0"/>
            </w:pPr>
            <w:r>
              <w:rPr>
                <w:sz w:val="17"/>
              </w:rPr>
              <w:t>Role-specific; pass at 80%, distinction at 90%.</w:t>
            </w:r>
          </w:p>
        </w:tc>
      </w:tr>
      <w:tr>
        <w:trPr>
          <w:cantSplit/>
        </w:trPr>
        <w:tc>
          <w:tcPr>
            <w:tcW w:type="dxa" w:w="2376"/>
            <w:tcMar>
              <w:top w:w="80" w:type="dxa"/>
              <w:start w:w="120" w:type="dxa"/>
              <w:bottom w:w="80" w:type="dxa"/>
              <w:end w:w="120" w:type="dxa"/>
            </w:tcMar>
            <w:vAlign w:val="top"/>
          </w:tcPr>
          <w:p>
            <w:pPr>
              <w:spacing w:after="0"/>
            </w:pPr>
            <w:r>
              <w:rPr>
                <w:sz w:val="17"/>
              </w:rPr>
              <w:t>Planning simulation</w:t>
            </w:r>
          </w:p>
        </w:tc>
        <w:tc>
          <w:tcPr>
            <w:tcW w:type="dxa" w:w="6984"/>
            <w:tcMar>
              <w:top w:w="80" w:type="dxa"/>
              <w:start w:w="120" w:type="dxa"/>
              <w:bottom w:w="80" w:type="dxa"/>
              <w:end w:w="120" w:type="dxa"/>
            </w:tcMar>
            <w:vAlign w:val="top"/>
          </w:tcPr>
          <w:p>
            <w:pPr>
              <w:spacing w:after="0"/>
            </w:pPr>
            <w:r>
              <w:rPr>
                <w:sz w:val="17"/>
              </w:rPr>
              <w:t>Build one same-day and one multi-day synthetic programme.</w:t>
            </w:r>
          </w:p>
        </w:tc>
      </w:tr>
      <w:tr>
        <w:trPr>
          <w:cantSplit/>
        </w:trPr>
        <w:tc>
          <w:tcPr>
            <w:tcW w:type="dxa" w:w="2376"/>
            <w:tcMar>
              <w:top w:w="80" w:type="dxa"/>
              <w:start w:w="120" w:type="dxa"/>
              <w:bottom w:w="80" w:type="dxa"/>
              <w:end w:w="120" w:type="dxa"/>
            </w:tcMar>
            <w:vAlign w:val="top"/>
          </w:tcPr>
          <w:p>
            <w:pPr>
              <w:spacing w:after="0"/>
            </w:pPr>
            <w:r>
              <w:rPr>
                <w:sz w:val="17"/>
              </w:rPr>
              <w:t>Gate simulation</w:t>
            </w:r>
          </w:p>
        </w:tc>
        <w:tc>
          <w:tcPr>
            <w:tcW w:type="dxa" w:w="6984"/>
            <w:tcMar>
              <w:top w:w="80" w:type="dxa"/>
              <w:start w:w="120" w:type="dxa"/>
              <w:bottom w:w="80" w:type="dxa"/>
              <w:end w:w="120" w:type="dxa"/>
            </w:tcMar>
            <w:vAlign w:val="top"/>
          </w:tcPr>
          <w:p>
            <w:pPr>
              <w:spacing w:after="0"/>
            </w:pPr>
            <w:r>
              <w:rPr>
                <w:sz w:val="17"/>
              </w:rPr>
              <w:t>Operate general, vehicle, fast-track and exception checkpoints offline.</w:t>
            </w:r>
          </w:p>
        </w:tc>
      </w:tr>
      <w:tr>
        <w:trPr>
          <w:cantSplit/>
        </w:trPr>
        <w:tc>
          <w:tcPr>
            <w:tcW w:type="dxa" w:w="2376"/>
            <w:tcMar>
              <w:top w:w="80" w:type="dxa"/>
              <w:start w:w="120" w:type="dxa"/>
              <w:bottom w:w="80" w:type="dxa"/>
              <w:end w:w="120" w:type="dxa"/>
            </w:tcMar>
            <w:vAlign w:val="top"/>
          </w:tcPr>
          <w:p>
            <w:pPr>
              <w:spacing w:after="0"/>
            </w:pPr>
            <w:r>
              <w:rPr>
                <w:sz w:val="17"/>
              </w:rPr>
              <w:t>Boundary test</w:t>
            </w:r>
          </w:p>
        </w:tc>
        <w:tc>
          <w:tcPr>
            <w:tcW w:type="dxa" w:w="6984"/>
            <w:tcMar>
              <w:top w:w="80" w:type="dxa"/>
              <w:start w:w="120" w:type="dxa"/>
              <w:bottom w:w="80" w:type="dxa"/>
              <w:end w:w="120" w:type="dxa"/>
            </w:tcMar>
            <w:vAlign w:val="top"/>
          </w:tcPr>
          <w:p>
            <w:pPr>
              <w:spacing w:after="0"/>
            </w:pPr>
            <w:r>
              <w:rPr>
                <w:sz w:val="17"/>
              </w:rPr>
              <w:t>Reject cross-phase inference, party-wide silent admission and unauthorised protected access.</w:t>
            </w:r>
          </w:p>
        </w:tc>
      </w:tr>
      <w:tr>
        <w:trPr>
          <w:cantSplit/>
        </w:trPr>
        <w:tc>
          <w:tcPr>
            <w:tcW w:type="dxa" w:w="2376"/>
            <w:tcMar>
              <w:top w:w="80" w:type="dxa"/>
              <w:start w:w="120" w:type="dxa"/>
              <w:bottom w:w="80" w:type="dxa"/>
              <w:end w:w="120" w:type="dxa"/>
            </w:tcMar>
            <w:vAlign w:val="top"/>
          </w:tcPr>
          <w:p>
            <w:pPr>
              <w:spacing w:after="0"/>
            </w:pPr>
            <w:r>
              <w:rPr>
                <w:sz w:val="17"/>
              </w:rPr>
              <w:t>Reconciliation exercise</w:t>
            </w:r>
          </w:p>
        </w:tc>
        <w:tc>
          <w:tcPr>
            <w:tcW w:type="dxa" w:w="6984"/>
            <w:tcMar>
              <w:top w:w="80" w:type="dxa"/>
              <w:start w:w="120" w:type="dxa"/>
              <w:bottom w:w="80" w:type="dxa"/>
              <w:end w:w="120" w:type="dxa"/>
            </w:tcMar>
            <w:vAlign w:val="top"/>
          </w:tcPr>
          <w:p>
            <w:pPr>
              <w:spacing w:after="0"/>
            </w:pPr>
            <w:r>
              <w:rPr>
                <w:sz w:val="17"/>
              </w:rPr>
              <w:t>Resolve duplicate/revocation/vehicle replacement evidence through superseding entries.</w:t>
            </w:r>
          </w:p>
        </w:tc>
      </w:tr>
      <w:tr>
        <w:trPr>
          <w:cantSplit/>
        </w:trPr>
        <w:tc>
          <w:tcPr>
            <w:tcW w:type="dxa" w:w="2376"/>
            <w:tcMar>
              <w:top w:w="80" w:type="dxa"/>
              <w:start w:w="120" w:type="dxa"/>
              <w:bottom w:w="80" w:type="dxa"/>
              <w:end w:w="120" w:type="dxa"/>
            </w:tcMar>
            <w:vAlign w:val="top"/>
          </w:tcPr>
          <w:p>
            <w:pPr>
              <w:spacing w:after="0"/>
            </w:pPr>
            <w:r>
              <w:rPr>
                <w:sz w:val="17"/>
              </w:rPr>
              <w:t>Operational authorisation</w:t>
            </w:r>
          </w:p>
        </w:tc>
        <w:tc>
          <w:tcPr>
            <w:tcW w:type="dxa" w:w="6984"/>
            <w:tcMar>
              <w:top w:w="80" w:type="dxa"/>
              <w:start w:w="120" w:type="dxa"/>
              <w:bottom w:w="80" w:type="dxa"/>
              <w:end w:w="120" w:type="dxa"/>
            </w:tcMar>
            <w:vAlign w:val="top"/>
          </w:tcPr>
          <w:p>
            <w:pPr>
              <w:spacing w:after="0"/>
            </w:pPr>
            <w:r>
              <w:rPr>
                <w:sz w:val="17"/>
              </w:rPr>
              <w:t>Requires role competence plus event-specific route/checkpoint briefing and supervised rehearsal where applicable.</w:t>
            </w:r>
          </w:p>
        </w:tc>
      </w:tr>
    </w:tbl>
    <w:p>
      <w:pPr>
        <w:spacing w:after="20"/>
      </w:pPr>
    </w:p>
    <w:p>
      <w:r>
        <w:br w:type="page"/>
      </w:r>
    </w:p>
    <w:p>
      <w:pPr>
        <w:pStyle w:val="Heading1"/>
      </w:pPr>
      <w:r>
        <w:t>17. Controlled Cursor prompt — issue only after ratification</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CONTROL  </w:t>
            </w:r>
            <w:r>
              <w:t>This prompt is held inside the draft pack. It must not be executed until the CEO separately authorises EOS-S04B implementation after EOS-S04A sequencing and repository reconciliation are confirmed.</w:t>
            </w:r>
          </w:p>
        </w:tc>
      </w:tr>
    </w:tbl>
    <w:p>
      <w:pPr>
        <w:spacing w:after="20"/>
      </w:pPr>
    </w:p>
    <w:p>
      <w:r>
        <w:t>Implement EOS-S04B — Multi-Phase Events, Arrival Routing &amp; Perimeter Access in kglaw-Oluseyi/atelier-doclar only. Railway scope, if later authorised, is project atelier-doclar only. Start from the exact CEO-approved HEAD and stop on origin, branch, HEAD or worktree mismatch. Do not implement EOS-S05, FaceGate, merchandise/payments, physical hardware procurement, production activation or protected gates.</w:t>
      </w:r>
    </w:p>
    <w:p>
      <w:pPr>
        <w:pStyle w:val="Heading2"/>
      </w:pPr>
      <w:r>
        <w:t>Required implementation</w:t>
      </w:r>
    </w:p>
    <w:p>
      <w:pPr>
        <w:pStyle w:val="ListBullet"/>
        <w:spacing w:after="80"/>
      </w:pPr>
      <w:r>
        <w:t>Reconcile current Event/EventSeries, credential and Event Day Runtime contracts before adding schema.</w:t>
      </w:r>
    </w:p>
    <w:p>
      <w:pPr>
        <w:pStyle w:val="ListBullet"/>
        <w:spacing w:after="80"/>
      </w:pPr>
      <w:r>
        <w:t>Implement programme/phase/checkpoint/route/zone/access-entitlement/vehicle models and reversible default-phase migration.</w:t>
      </w:r>
    </w:p>
    <w:p>
      <w:pPr>
        <w:pStyle w:val="ListBullet"/>
        <w:spacing w:after="80"/>
      </w:pPr>
      <w:r>
        <w:t>Preserve existing eventId, guestId, partyId and credential history.</w:t>
      </w:r>
    </w:p>
    <w:p>
      <w:pPr>
        <w:pStyle w:val="ListBullet"/>
        <w:spacing w:after="80"/>
      </w:pPr>
      <w:r>
        <w:t>Keep EOS-S03 authoritative for invitation counts, S04A authoritative for party/person relationships, credential authority for credential lifecycle, and Slice 8 as sole live attendance writer.</w:t>
      </w:r>
    </w:p>
    <w:p>
      <w:pPr>
        <w:pStyle w:val="ListBullet"/>
        <w:spacing w:after="80"/>
      </w:pPr>
      <w:r>
        <w:t>Add phase-aware Event OS planning, guest, RSVP, communications and access-plan surfaces.</w:t>
      </w:r>
    </w:p>
    <w:p>
      <w:pPr>
        <w:pStyle w:val="ListBullet"/>
        <w:spacing w:after="80"/>
      </w:pPr>
      <w:r>
        <w:t>Publish signed, minimal, immutable versioned projections to Slice 8; do not duplicate device/runtime machinery.</w:t>
      </w:r>
    </w:p>
    <w:p>
      <w:pPr>
        <w:pStyle w:val="ListBullet"/>
        <w:spacing w:after="80"/>
      </w:pPr>
      <w:r>
        <w:t>Add unit, permission, migration, contract, UI, offline and Playwright E2E coverage for all three event patterns.</w:t>
      </w:r>
    </w:p>
    <w:p>
      <w:pPr>
        <w:pStyle w:val="ListBullet"/>
        <w:spacing w:after="80"/>
      </w:pPr>
      <w:r>
        <w:t>Run typecheck, full tests, programme validation, production build and relevant E2E suites.</w:t>
      </w:r>
    </w:p>
    <w:p>
      <w:pPr>
        <w:pStyle w:val="ListBullet"/>
        <w:spacing w:after="80"/>
      </w:pPr>
      <w:r>
        <w:t>Return evidence and stop before commit/push/deployment unless each is separately authorised.</w:t>
      </w:r>
    </w:p>
    <w:p>
      <w:pPr>
        <w:pStyle w:val="Heading2"/>
      </w:pPr>
      <w:r>
        <w:t>Mandatory STOP conditions</w:t>
      </w:r>
    </w:p>
    <w:p>
      <w:pPr>
        <w:pStyle w:val="ListBullet"/>
        <w:spacing w:after="80"/>
      </w:pPr>
      <w:r>
        <w:t>EOS-S04A or required credential/runtime contract is unavailable or contradictory.</w:t>
      </w:r>
    </w:p>
    <w:p>
      <w:pPr>
        <w:pStyle w:val="ListBullet"/>
        <w:spacing w:after="80"/>
      </w:pPr>
      <w:r>
        <w:t>Migration would rewrite accepted identifiers or create guessed phases/venues/routes.</w:t>
      </w:r>
    </w:p>
    <w:p>
      <w:pPr>
        <w:pStyle w:val="ListBullet"/>
        <w:spacing w:after="80"/>
      </w:pPr>
      <w:r>
        <w:t>Implementation creates a second attendance writer, scanner, offline outbox or runtime close path.</w:t>
      </w:r>
    </w:p>
    <w:p>
      <w:pPr>
        <w:pStyle w:val="ListBullet"/>
        <w:spacing w:after="80"/>
      </w:pPr>
      <w:r>
        <w:t>A route grants access by visible symbol alone or exposes restricted protocol/security information.</w:t>
      </w:r>
    </w:p>
    <w:p>
      <w:pPr>
        <w:pStyle w:val="ListBullet"/>
        <w:spacing w:after="80"/>
      </w:pPr>
      <w:r>
        <w:t>Repository scope differs, worktree is unexpectedly dirty, tests cannot run, productionAuthorised becomes true, or EOS-S05 is required.</w:t>
      </w:r>
    </w:p>
    <w:p>
      <w:r>
        <w:br w:type="page"/>
      </w:r>
    </w:p>
    <w:p>
      <w:pPr>
        <w:pStyle w:val="Heading1"/>
      </w:pPr>
      <w:r>
        <w:t>18. Governance record and decisions required</w:t>
      </w:r>
    </w:p>
    <w:tbl>
      <w:tblPr>
        <w:tblStyle w:val="TableGrid"/>
        <w:tblW w:type="dxa" w:w="9360"/>
        <w:jc w:val="left"/>
        <w:tblLayout w:type="fixed"/>
        <w:tblLook w:firstColumn="1" w:firstRow="1" w:lastColumn="0" w:lastRow="0" w:noHBand="0" w:noVBand="1" w:val="04A0"/>
      </w:tblPr>
      <w:tblGrid>
        <w:gridCol w:w="9360"/>
      </w:tblGrid>
      <w:tr>
        <w:trPr>
          <w:tblHeader w:val="true"/>
          <w:cantSplit/>
        </w:trPr>
        <w:tc>
          <w:tcPr>
            <w:tcW w:type="dxa" w:w="9360"/>
            <w:shd w:fill="F2F4F7"/>
            <w:tcMar>
              <w:top w:w="130" w:type="dxa"/>
              <w:start w:w="180" w:type="dxa"/>
              <w:bottom w:w="130" w:type="dxa"/>
              <w:end w:w="180" w:type="dxa"/>
            </w:tcMar>
          </w:tcPr>
          <w:p>
            <w:pPr>
              <w:spacing w:after="0"/>
            </w:pPr>
            <w:r>
              <w:rPr>
                <w:b/>
                <w:color w:val="0B2545"/>
              </w:rPr>
              <w:t xml:space="preserve">RATIFICATION EFFECT  </w:t>
            </w:r>
            <w:r>
              <w:t>Approval of this draft establishes the intended slice and permits controlled repository reconciliation/prompt preparation only. It does not itself authorise implementation, commit, push, deployment, production, hardware procurement, EOS-S05 or any protected gate.</w:t>
            </w:r>
          </w:p>
        </w:tc>
      </w:tr>
    </w:tbl>
    <w:p>
      <w:pPr>
        <w:spacing w:after="20"/>
      </w:pP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448"/>
            <w:shd w:fill="E8EEF5"/>
            <w:tcMar>
              <w:top w:w="80" w:type="dxa"/>
              <w:start w:w="120" w:type="dxa"/>
              <w:bottom w:w="80" w:type="dxa"/>
              <w:end w:w="120" w:type="dxa"/>
            </w:tcMar>
            <w:vAlign w:val="center"/>
          </w:tcPr>
          <w:p>
            <w:r>
              <w:rPr>
                <w:b/>
                <w:color w:val="0B2545"/>
                <w:sz w:val="18"/>
              </w:rPr>
              <w:t>Decision</w:t>
            </w:r>
          </w:p>
        </w:tc>
        <w:tc>
          <w:tcPr>
            <w:tcW w:type="dxa" w:w="6912"/>
            <w:shd w:fill="E8EEF5"/>
            <w:tcMar>
              <w:top w:w="80" w:type="dxa"/>
              <w:start w:w="120" w:type="dxa"/>
              <w:bottom w:w="80" w:type="dxa"/>
              <w:end w:w="120" w:type="dxa"/>
            </w:tcMar>
            <w:vAlign w:val="center"/>
          </w:tcPr>
          <w:p>
            <w:r>
              <w:rPr>
                <w:b/>
                <w:color w:val="0B2545"/>
                <w:sz w:val="18"/>
              </w:rPr>
              <w:t>Draft ruling</w:t>
            </w:r>
          </w:p>
        </w:tc>
      </w:tr>
      <w:tr>
        <w:trPr>
          <w:cantSplit/>
        </w:trPr>
        <w:tc>
          <w:tcPr>
            <w:tcW w:type="dxa" w:w="2448"/>
            <w:tcMar>
              <w:top w:w="80" w:type="dxa"/>
              <w:start w:w="120" w:type="dxa"/>
              <w:bottom w:w="80" w:type="dxa"/>
              <w:end w:w="120" w:type="dxa"/>
            </w:tcMar>
            <w:vAlign w:val="top"/>
          </w:tcPr>
          <w:p>
            <w:pPr>
              <w:spacing w:after="0"/>
            </w:pPr>
            <w:r>
              <w:rPr>
                <w:sz w:val="17"/>
              </w:rPr>
              <w:t>Slice insertion</w:t>
            </w:r>
          </w:p>
        </w:tc>
        <w:tc>
          <w:tcPr>
            <w:tcW w:type="dxa" w:w="6912"/>
            <w:tcMar>
              <w:top w:w="80" w:type="dxa"/>
              <w:start w:w="120" w:type="dxa"/>
              <w:bottom w:w="80" w:type="dxa"/>
              <w:end w:w="120" w:type="dxa"/>
            </w:tcMar>
            <w:vAlign w:val="top"/>
          </w:tcPr>
          <w:p>
            <w:pPr>
              <w:spacing w:after="0"/>
            </w:pPr>
            <w:r>
              <w:rPr>
                <w:sz w:val="17"/>
              </w:rPr>
              <w:t>EOS-S04B after EOS-S04A and before EOS-S05.</w:t>
            </w:r>
          </w:p>
        </w:tc>
      </w:tr>
      <w:tr>
        <w:trPr>
          <w:cantSplit/>
        </w:trPr>
        <w:tc>
          <w:tcPr>
            <w:tcW w:type="dxa" w:w="2448"/>
            <w:tcMar>
              <w:top w:w="80" w:type="dxa"/>
              <w:start w:w="120" w:type="dxa"/>
              <w:bottom w:w="80" w:type="dxa"/>
              <w:end w:w="120" w:type="dxa"/>
            </w:tcMar>
            <w:vAlign w:val="top"/>
          </w:tcPr>
          <w:p>
            <w:pPr>
              <w:spacing w:after="0"/>
            </w:pPr>
            <w:r>
              <w:rPr>
                <w:sz w:val="17"/>
              </w:rPr>
              <w:t>Academy insertion</w:t>
            </w:r>
          </w:p>
        </w:tc>
        <w:tc>
          <w:tcPr>
            <w:tcW w:type="dxa" w:w="6912"/>
            <w:tcMar>
              <w:top w:w="80" w:type="dxa"/>
              <w:start w:w="120" w:type="dxa"/>
              <w:bottom w:w="80" w:type="dxa"/>
              <w:end w:w="120" w:type="dxa"/>
            </w:tcMar>
            <w:vAlign w:val="top"/>
          </w:tcPr>
          <w:p>
            <w:pPr>
              <w:spacing w:after="0"/>
            </w:pPr>
            <w:r>
              <w:rPr>
                <w:sz w:val="17"/>
              </w:rPr>
              <w:t>ACA-S04B aligned with EOS-S04B.</w:t>
            </w:r>
          </w:p>
        </w:tc>
      </w:tr>
      <w:tr>
        <w:trPr>
          <w:cantSplit/>
        </w:trPr>
        <w:tc>
          <w:tcPr>
            <w:tcW w:type="dxa" w:w="2448"/>
            <w:tcMar>
              <w:top w:w="80" w:type="dxa"/>
              <w:start w:w="120" w:type="dxa"/>
              <w:bottom w:w="80" w:type="dxa"/>
              <w:end w:w="120" w:type="dxa"/>
            </w:tcMar>
            <w:vAlign w:val="top"/>
          </w:tcPr>
          <w:p>
            <w:pPr>
              <w:spacing w:after="0"/>
            </w:pPr>
            <w:r>
              <w:rPr>
                <w:sz w:val="17"/>
              </w:rPr>
              <w:t>Event patterns</w:t>
            </w:r>
          </w:p>
        </w:tc>
        <w:tc>
          <w:tcPr>
            <w:tcW w:type="dxa" w:w="6912"/>
            <w:tcMar>
              <w:top w:w="80" w:type="dxa"/>
              <w:start w:w="120" w:type="dxa"/>
              <w:bottom w:w="80" w:type="dxa"/>
              <w:end w:w="120" w:type="dxa"/>
            </w:tcMar>
            <w:vAlign w:val="top"/>
          </w:tcPr>
          <w:p>
            <w:pPr>
              <w:spacing w:after="0"/>
            </w:pPr>
            <w:r>
              <w:rPr>
                <w:sz w:val="17"/>
              </w:rPr>
              <w:t>Single-phase one-day default; same-day multi-phase; multi-day multi-phase.</w:t>
            </w:r>
          </w:p>
        </w:tc>
      </w:tr>
      <w:tr>
        <w:trPr>
          <w:cantSplit/>
        </w:trPr>
        <w:tc>
          <w:tcPr>
            <w:tcW w:type="dxa" w:w="2448"/>
            <w:tcMar>
              <w:top w:w="80" w:type="dxa"/>
              <w:start w:w="120" w:type="dxa"/>
              <w:bottom w:w="80" w:type="dxa"/>
              <w:end w:w="120" w:type="dxa"/>
            </w:tcMar>
            <w:vAlign w:val="top"/>
          </w:tcPr>
          <w:p>
            <w:pPr>
              <w:spacing w:after="0"/>
            </w:pPr>
            <w:r>
              <w:rPr>
                <w:sz w:val="17"/>
              </w:rPr>
              <w:t>Hierarchy</w:t>
            </w:r>
          </w:p>
        </w:tc>
        <w:tc>
          <w:tcPr>
            <w:tcW w:type="dxa" w:w="6912"/>
            <w:tcMar>
              <w:top w:w="80" w:type="dxa"/>
              <w:start w:w="120" w:type="dxa"/>
              <w:bottom w:w="80" w:type="dxa"/>
              <w:end w:w="120" w:type="dxa"/>
            </w:tcMar>
            <w:vAlign w:val="top"/>
          </w:tcPr>
          <w:p>
            <w:pPr>
              <w:spacing w:after="0"/>
            </w:pPr>
            <w:r>
              <w:rPr>
                <w:sz w:val="17"/>
              </w:rPr>
              <w:t>Programme → phase → checkpoint/route/zone; identifiers remain independent.</w:t>
            </w:r>
          </w:p>
        </w:tc>
      </w:tr>
      <w:tr>
        <w:trPr>
          <w:cantSplit/>
        </w:trPr>
        <w:tc>
          <w:tcPr>
            <w:tcW w:type="dxa" w:w="2448"/>
            <w:tcMar>
              <w:top w:w="80" w:type="dxa"/>
              <w:start w:w="120" w:type="dxa"/>
              <w:bottom w:w="80" w:type="dxa"/>
              <w:end w:w="120" w:type="dxa"/>
            </w:tcMar>
            <w:vAlign w:val="top"/>
          </w:tcPr>
          <w:p>
            <w:pPr>
              <w:spacing w:after="0"/>
            </w:pPr>
            <w:r>
              <w:rPr>
                <w:sz w:val="17"/>
              </w:rPr>
              <w:t>Access presentation</w:t>
            </w:r>
          </w:p>
        </w:tc>
        <w:tc>
          <w:tcPr>
            <w:tcW w:type="dxa" w:w="6912"/>
            <w:tcMar>
              <w:top w:w="80" w:type="dxa"/>
              <w:start w:w="120" w:type="dxa"/>
              <w:bottom w:w="80" w:type="dxa"/>
              <w:end w:w="120" w:type="dxa"/>
            </w:tcMar>
            <w:vAlign w:val="top"/>
          </w:tcPr>
          <w:p>
            <w:pPr>
              <w:spacing w:after="0"/>
            </w:pPr>
            <w:r>
              <w:rPr>
                <w:sz w:val="17"/>
              </w:rPr>
              <w:t>Signed QR plus alphanumeric fallback; discreet optional fast-track marker.</w:t>
            </w:r>
          </w:p>
        </w:tc>
      </w:tr>
      <w:tr>
        <w:trPr>
          <w:cantSplit/>
        </w:trPr>
        <w:tc>
          <w:tcPr>
            <w:tcW w:type="dxa" w:w="2448"/>
            <w:tcMar>
              <w:top w:w="80" w:type="dxa"/>
              <w:start w:w="120" w:type="dxa"/>
              <w:bottom w:w="80" w:type="dxa"/>
              <w:end w:w="120" w:type="dxa"/>
            </w:tcMar>
            <w:vAlign w:val="top"/>
          </w:tcPr>
          <w:p>
            <w:pPr>
              <w:spacing w:after="0"/>
            </w:pPr>
            <w:r>
              <w:rPr>
                <w:sz w:val="17"/>
              </w:rPr>
              <w:t>Live attendance</w:t>
            </w:r>
          </w:p>
        </w:tc>
        <w:tc>
          <w:tcPr>
            <w:tcW w:type="dxa" w:w="6912"/>
            <w:tcMar>
              <w:top w:w="80" w:type="dxa"/>
              <w:start w:w="120" w:type="dxa"/>
              <w:bottom w:w="80" w:type="dxa"/>
              <w:end w:w="120" w:type="dxa"/>
            </w:tcMar>
            <w:vAlign w:val="top"/>
          </w:tcPr>
          <w:p>
            <w:pPr>
              <w:spacing w:after="0"/>
            </w:pPr>
            <w:r>
              <w:rPr>
                <w:sz w:val="17"/>
              </w:rPr>
              <w:t>Slice 8 remains sole writer and owns offline operation/reconciliation.</w:t>
            </w:r>
          </w:p>
        </w:tc>
      </w:tr>
      <w:tr>
        <w:trPr>
          <w:cantSplit/>
        </w:trPr>
        <w:tc>
          <w:tcPr>
            <w:tcW w:type="dxa" w:w="2448"/>
            <w:tcMar>
              <w:top w:w="80" w:type="dxa"/>
              <w:start w:w="120" w:type="dxa"/>
              <w:bottom w:w="80" w:type="dxa"/>
              <w:end w:w="120" w:type="dxa"/>
            </w:tcMar>
            <w:vAlign w:val="top"/>
          </w:tcPr>
          <w:p>
            <w:pPr>
              <w:spacing w:after="0"/>
            </w:pPr>
            <w:r>
              <w:rPr>
                <w:sz w:val="17"/>
              </w:rPr>
              <w:t>Hardware</w:t>
            </w:r>
          </w:p>
        </w:tc>
        <w:tc>
          <w:tcPr>
            <w:tcW w:type="dxa" w:w="6912"/>
            <w:tcMar>
              <w:top w:w="80" w:type="dxa"/>
              <w:start w:w="120" w:type="dxa"/>
              <w:bottom w:w="80" w:type="dxa"/>
              <w:end w:w="120" w:type="dxa"/>
            </w:tcMar>
            <w:vAlign w:val="top"/>
          </w:tcPr>
          <w:p>
            <w:pPr>
              <w:spacing w:after="0"/>
            </w:pPr>
            <w:r>
              <w:rPr>
                <w:sz w:val="17"/>
              </w:rPr>
              <w:t>Requirements and compatibility only; procurement excluded.</w:t>
            </w:r>
          </w:p>
        </w:tc>
      </w:tr>
      <w:tr>
        <w:trPr>
          <w:cantSplit/>
        </w:trPr>
        <w:tc>
          <w:tcPr>
            <w:tcW w:type="dxa" w:w="2448"/>
            <w:tcMar>
              <w:top w:w="80" w:type="dxa"/>
              <w:start w:w="120" w:type="dxa"/>
              <w:bottom w:w="80" w:type="dxa"/>
              <w:end w:w="120" w:type="dxa"/>
            </w:tcMar>
            <w:vAlign w:val="top"/>
          </w:tcPr>
          <w:p>
            <w:pPr>
              <w:spacing w:after="0"/>
            </w:pPr>
            <w:r>
              <w:rPr>
                <w:sz w:val="17"/>
              </w:rPr>
              <w:t>Implementation</w:t>
            </w:r>
          </w:p>
        </w:tc>
        <w:tc>
          <w:tcPr>
            <w:tcW w:type="dxa" w:w="6912"/>
            <w:tcMar>
              <w:top w:w="80" w:type="dxa"/>
              <w:start w:w="120" w:type="dxa"/>
              <w:bottom w:w="80" w:type="dxa"/>
              <w:end w:w="120" w:type="dxa"/>
            </w:tcMar>
            <w:vAlign w:val="top"/>
          </w:tcPr>
          <w:p>
            <w:pPr>
              <w:spacing w:after="0"/>
            </w:pPr>
            <w:r>
              <w:rPr>
                <w:sz w:val="17"/>
              </w:rPr>
              <w:t>Not authorised by this draft.</w:t>
            </w:r>
          </w:p>
        </w:tc>
      </w:tr>
      <w:tr>
        <w:trPr>
          <w:cantSplit/>
        </w:trPr>
        <w:tc>
          <w:tcPr>
            <w:tcW w:type="dxa" w:w="2448"/>
            <w:tcMar>
              <w:top w:w="80" w:type="dxa"/>
              <w:start w:w="120" w:type="dxa"/>
              <w:bottom w:w="80" w:type="dxa"/>
              <w:end w:w="120" w:type="dxa"/>
            </w:tcMar>
            <w:vAlign w:val="top"/>
          </w:tcPr>
          <w:p>
            <w:pPr>
              <w:spacing w:after="0"/>
            </w:pPr>
            <w:r>
              <w:rPr>
                <w:sz w:val="17"/>
              </w:rPr>
              <w:t>Deployment/production</w:t>
            </w:r>
          </w:p>
        </w:tc>
        <w:tc>
          <w:tcPr>
            <w:tcW w:type="dxa" w:w="6912"/>
            <w:tcMar>
              <w:top w:w="80" w:type="dxa"/>
              <w:start w:w="120" w:type="dxa"/>
              <w:bottom w:w="80" w:type="dxa"/>
              <w:end w:w="120" w:type="dxa"/>
            </w:tcMar>
            <w:vAlign w:val="top"/>
          </w:tcPr>
          <w:p>
            <w:pPr>
              <w:spacing w:after="0"/>
            </w:pPr>
            <w:r>
              <w:rPr>
                <w:sz w:val="17"/>
              </w:rPr>
              <w:t>Not authorised; production remains false and gates unsigned.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626C"/>
        <w:sz w:val="16"/>
      </w:rPr>
      <w:t>MAISON DOCLAR  |  EVENT OS CONTROLLED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EOS-S04B Controlled Slice Pack v1.0 Draft</dc:title>
  <dc:subject>Multi-Phase Events, Arrival Routing &amp; Perimeter Access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