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jc w:val="center"/>
      </w:pPr>
      <w:r>
        <w:rPr>
          <w:b/>
          <w:color w:val="B79F85"/>
          <w:sz w:val="24"/>
        </w:rPr>
        <w:t>MAISON DOCLAR</w:t>
      </w:r>
    </w:p>
    <w:p>
      <w:pPr>
        <w:pStyle w:val="Title"/>
        <w:jc w:val="center"/>
      </w:pPr>
      <w:r>
        <w:rPr>
          <w:b/>
        </w:rPr>
        <w:t>EOS-S04C</w:t>
      </w:r>
    </w:p>
    <w:p>
      <w:pPr>
        <w:pStyle w:val="Subtitle"/>
        <w:jc w:val="center"/>
      </w:pPr>
      <w:r>
        <w:t>Aso-Ebi, Aso-Oke &amp; Event Merchandise Coordination</w:t>
      </w:r>
    </w:p>
    <w:p>
      <w:pPr>
        <w:jc w:val="center"/>
      </w:pPr>
      <w:r>
        <w:rPr>
          <w:b/>
          <w:color w:val="5A626C"/>
          <w:sz w:val="20"/>
        </w:rPr>
        <w:t>CONTROLLED SLICE PACK · VERSION 1.0 DRAFT</w:t>
      </w:r>
    </w:p>
    <w:p>
      <w:pPr>
        <w:spacing w:after="840"/>
      </w:pP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b/>
                <w:color w:val="0B2545"/>
                <w:sz w:val="18"/>
              </w:rPr>
              <w:t>Control</w:t>
            </w:r>
          </w:p>
        </w:tc>
        <w:tc>
          <w:tcPr>
            <w:tcW w:type="dxa" w:w="7128"/>
            <w:shd w:fill="E8EEF5"/>
            <w:tcMar>
              <w:top w:w="80" w:type="dxa"/>
              <w:start w:w="120" w:type="dxa"/>
              <w:bottom w:w="80" w:type="dxa"/>
              <w:end w:w="120" w:type="dxa"/>
            </w:tcMar>
            <w:vAlign w:val="center"/>
          </w:tcPr>
          <w:p>
            <w:r>
              <w:rPr>
                <w:b/>
                <w:color w:val="0B2545"/>
                <w:sz w:val="18"/>
              </w:rPr>
              <w:t>Value</w:t>
            </w:r>
          </w:p>
        </w:tc>
      </w:tr>
      <w:tr>
        <w:trPr>
          <w:cantSplit/>
        </w:trPr>
        <w:tc>
          <w:tcPr>
            <w:tcW w:type="dxa" w:w="2232"/>
            <w:tcMar>
              <w:top w:w="80" w:type="dxa"/>
              <w:start w:w="120" w:type="dxa"/>
              <w:bottom w:w="80" w:type="dxa"/>
              <w:end w:w="120" w:type="dxa"/>
            </w:tcMar>
            <w:vAlign w:val="top"/>
          </w:tcPr>
          <w:p>
            <w:pPr>
              <w:spacing w:after="0"/>
            </w:pPr>
            <w:r>
              <w:rPr>
                <w:sz w:val="17"/>
              </w:rPr>
              <w:t>Product</w:t>
            </w:r>
          </w:p>
        </w:tc>
        <w:tc>
          <w:tcPr>
            <w:tcW w:type="dxa" w:w="7128"/>
            <w:tcMar>
              <w:top w:w="80" w:type="dxa"/>
              <w:start w:w="120" w:type="dxa"/>
              <w:bottom w:w="80" w:type="dxa"/>
              <w:end w:w="120" w:type="dxa"/>
            </w:tcMar>
            <w:vAlign w:val="top"/>
          </w:tcPr>
          <w:p>
            <w:pPr>
              <w:spacing w:after="0"/>
            </w:pPr>
            <w:r>
              <w:rPr>
                <w:sz w:val="17"/>
              </w:rPr>
              <w:t>Maison Doclar Event OS</w:t>
            </w:r>
          </w:p>
        </w:tc>
      </w:tr>
      <w:tr>
        <w:trPr>
          <w:cantSplit/>
        </w:trPr>
        <w:tc>
          <w:tcPr>
            <w:tcW w:type="dxa" w:w="2232"/>
            <w:tcMar>
              <w:top w:w="80" w:type="dxa"/>
              <w:start w:w="120" w:type="dxa"/>
              <w:bottom w:w="80" w:type="dxa"/>
              <w:end w:w="120" w:type="dxa"/>
            </w:tcMar>
            <w:vAlign w:val="top"/>
          </w:tcPr>
          <w:p>
            <w:pPr>
              <w:spacing w:after="0"/>
            </w:pPr>
            <w:r>
              <w:rPr>
                <w:sz w:val="17"/>
              </w:rPr>
              <w:t>Proposed slice</w:t>
            </w:r>
          </w:p>
        </w:tc>
        <w:tc>
          <w:tcPr>
            <w:tcW w:type="dxa" w:w="7128"/>
            <w:tcMar>
              <w:top w:w="80" w:type="dxa"/>
              <w:start w:w="120" w:type="dxa"/>
              <w:bottom w:w="80" w:type="dxa"/>
              <w:end w:w="120" w:type="dxa"/>
            </w:tcMar>
            <w:vAlign w:val="top"/>
          </w:tcPr>
          <w:p>
            <w:pPr>
              <w:spacing w:after="0"/>
            </w:pPr>
            <w:r>
              <w:rPr>
                <w:sz w:val="17"/>
              </w:rPr>
              <w:t>EOS-S04C — after EOS-S04B and before EOS-S05</w:t>
            </w:r>
          </w:p>
        </w:tc>
      </w:tr>
      <w:tr>
        <w:trPr>
          <w:cantSplit/>
        </w:trPr>
        <w:tc>
          <w:tcPr>
            <w:tcW w:type="dxa" w:w="2232"/>
            <w:tcMar>
              <w:top w:w="80" w:type="dxa"/>
              <w:start w:w="120" w:type="dxa"/>
              <w:bottom w:w="80" w:type="dxa"/>
              <w:end w:w="120" w:type="dxa"/>
            </w:tcMar>
            <w:vAlign w:val="top"/>
          </w:tcPr>
          <w:p>
            <w:pPr>
              <w:spacing w:after="0"/>
            </w:pPr>
            <w:r>
              <w:rPr>
                <w:sz w:val="17"/>
              </w:rPr>
              <w:t>Status</w:t>
            </w:r>
          </w:p>
        </w:tc>
        <w:tc>
          <w:tcPr>
            <w:tcW w:type="dxa" w:w="7128"/>
            <w:tcMar>
              <w:top w:w="80" w:type="dxa"/>
              <w:start w:w="120" w:type="dxa"/>
              <w:bottom w:w="80" w:type="dxa"/>
              <w:end w:w="120" w:type="dxa"/>
            </w:tcMar>
            <w:vAlign w:val="top"/>
          </w:tcPr>
          <w:p>
            <w:pPr>
              <w:spacing w:after="0"/>
            </w:pPr>
            <w:r>
              <w:rPr>
                <w:sz w:val="17"/>
              </w:rPr>
              <w:t>DRAFT FOR CEO RATIFICATION — implementation not authorised</w:t>
            </w:r>
          </w:p>
        </w:tc>
      </w:tr>
      <w:tr>
        <w:trPr>
          <w:cantSplit/>
        </w:trPr>
        <w:tc>
          <w:tcPr>
            <w:tcW w:type="dxa" w:w="2232"/>
            <w:tcMar>
              <w:top w:w="80" w:type="dxa"/>
              <w:start w:w="120" w:type="dxa"/>
              <w:bottom w:w="80" w:type="dxa"/>
              <w:end w:w="120" w:type="dxa"/>
            </w:tcMar>
            <w:vAlign w:val="top"/>
          </w:tcPr>
          <w:p>
            <w:pPr>
              <w:spacing w:after="0"/>
            </w:pPr>
            <w:r>
              <w:rPr>
                <w:sz w:val="17"/>
              </w:rPr>
              <w:t>Repository</w:t>
            </w:r>
          </w:p>
        </w:tc>
        <w:tc>
          <w:tcPr>
            <w:tcW w:type="dxa" w:w="7128"/>
            <w:tcMar>
              <w:top w:w="80" w:type="dxa"/>
              <w:start w:w="120" w:type="dxa"/>
              <w:bottom w:w="80" w:type="dxa"/>
              <w:end w:w="120" w:type="dxa"/>
            </w:tcMar>
            <w:vAlign w:val="top"/>
          </w:tcPr>
          <w:p>
            <w:pPr>
              <w:spacing w:after="0"/>
            </w:pPr>
            <w:r>
              <w:rPr>
                <w:sz w:val="17"/>
              </w:rPr>
              <w:t>kglaw-Oluseyi/atelier-doclar only</w:t>
            </w:r>
          </w:p>
        </w:tc>
      </w:tr>
      <w:tr>
        <w:trPr>
          <w:cantSplit/>
        </w:trPr>
        <w:tc>
          <w:tcPr>
            <w:tcW w:type="dxa" w:w="2232"/>
            <w:tcMar>
              <w:top w:w="80" w:type="dxa"/>
              <w:start w:w="120" w:type="dxa"/>
              <w:bottom w:w="80" w:type="dxa"/>
              <w:end w:w="120" w:type="dxa"/>
            </w:tcMar>
            <w:vAlign w:val="top"/>
          </w:tcPr>
          <w:p>
            <w:pPr>
              <w:spacing w:after="0"/>
            </w:pPr>
            <w:r>
              <w:rPr>
                <w:sz w:val="17"/>
              </w:rPr>
              <w:t>Railway</w:t>
            </w:r>
          </w:p>
        </w:tc>
        <w:tc>
          <w:tcPr>
            <w:tcW w:type="dxa" w:w="7128"/>
            <w:tcMar>
              <w:top w:w="80" w:type="dxa"/>
              <w:start w:w="120" w:type="dxa"/>
              <w:bottom w:w="80" w:type="dxa"/>
              <w:end w:w="120" w:type="dxa"/>
            </w:tcMar>
            <w:vAlign w:val="top"/>
          </w:tcPr>
          <w:p>
            <w:pPr>
              <w:spacing w:after="0"/>
            </w:pPr>
            <w:r>
              <w:rPr>
                <w:sz w:val="17"/>
              </w:rPr>
              <w:t>atelier-doclar only; no deployment authorised</w:t>
            </w:r>
          </w:p>
        </w:tc>
      </w:tr>
      <w:tr>
        <w:trPr>
          <w:cantSplit/>
        </w:trPr>
        <w:tc>
          <w:tcPr>
            <w:tcW w:type="dxa" w:w="2232"/>
            <w:tcMar>
              <w:top w:w="80" w:type="dxa"/>
              <w:start w:w="120" w:type="dxa"/>
              <w:bottom w:w="80" w:type="dxa"/>
              <w:end w:w="120" w:type="dxa"/>
            </w:tcMar>
            <w:vAlign w:val="top"/>
          </w:tcPr>
          <w:p>
            <w:pPr>
              <w:spacing w:after="0"/>
            </w:pPr>
            <w:r>
              <w:rPr>
                <w:sz w:val="17"/>
              </w:rPr>
              <w:t>Production</w:t>
            </w:r>
          </w:p>
        </w:tc>
        <w:tc>
          <w:tcPr>
            <w:tcW w:type="dxa" w:w="7128"/>
            <w:tcMar>
              <w:top w:w="80" w:type="dxa"/>
              <w:start w:w="120" w:type="dxa"/>
              <w:bottom w:w="80" w:type="dxa"/>
              <w:end w:w="120" w:type="dxa"/>
            </w:tcMar>
            <w:vAlign w:val="top"/>
          </w:tcPr>
          <w:p>
            <w:pPr>
              <w:spacing w:after="0"/>
            </w:pPr>
            <w:r>
              <w:rPr>
                <w:sz w:val="17"/>
              </w:rPr>
              <w:t>Unauthorised; protected gates remain unsigned</w:t>
            </w:r>
          </w:p>
        </w:tc>
      </w:tr>
      <w:tr>
        <w:trPr>
          <w:cantSplit/>
        </w:trPr>
        <w:tc>
          <w:tcPr>
            <w:tcW w:type="dxa" w:w="2232"/>
            <w:tcMar>
              <w:top w:w="80" w:type="dxa"/>
              <w:start w:w="120" w:type="dxa"/>
              <w:bottom w:w="80" w:type="dxa"/>
              <w:end w:w="120" w:type="dxa"/>
            </w:tcMar>
            <w:vAlign w:val="top"/>
          </w:tcPr>
          <w:p>
            <w:pPr>
              <w:spacing w:after="0"/>
            </w:pPr>
            <w:r>
              <w:rPr>
                <w:sz w:val="17"/>
              </w:rPr>
              <w:t>Prepared</w:t>
            </w:r>
          </w:p>
        </w:tc>
        <w:tc>
          <w:tcPr>
            <w:tcW w:type="dxa" w:w="7128"/>
            <w:tcMar>
              <w:top w:w="80" w:type="dxa"/>
              <w:start w:w="120" w:type="dxa"/>
              <w:bottom w:w="80" w:type="dxa"/>
              <w:end w:w="120" w:type="dxa"/>
            </w:tcMar>
            <w:vAlign w:val="top"/>
          </w:tcPr>
          <w:p>
            <w:pPr>
              <w:spacing w:after="0"/>
            </w:pPr>
            <w:r>
              <w:rPr>
                <w:sz w:val="17"/>
              </w:rPr>
              <w:t>6 September 2026</w:t>
            </w:r>
          </w:p>
        </w:tc>
      </w:tr>
    </w:tbl>
    <w:p>
      <w:pPr>
        <w:spacing w:after="20"/>
      </w:pP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b/>
                <w:color w:val="0B2545"/>
              </w:rPr>
              <w:t xml:space="preserve">CEO DIRECTION  </w:t>
            </w:r>
            <w:r>
              <w:t>Maison Doclar coordinates offers, choices, deadlines and fulfilment visibility. Vendors own sales, payment, tailoring, measurements and commercial communication. Except for optional male-cap head circumference in inches, Maison Doclar stores no body measurements.</w:t>
            </w:r>
          </w:p>
        </w:tc>
      </w:tr>
    </w:tbl>
    <w:p>
      <w:pPr>
        <w:spacing w:after="20"/>
      </w:pPr>
    </w:p>
    <w:p>
      <w:r>
        <w:br w:type="page"/>
      </w:r>
    </w:p>
    <w:p>
      <w:pPr>
        <w:pStyle w:val="Heading1"/>
      </w:pPr>
      <w:r>
        <w:t>1. Executive decision and product shape</w:t>
      </w:r>
    </w:p>
    <w:p>
      <w:r>
        <w:t>EOS-S04C creates a dignity-preserving coordination layer for aso-ebi, aso-oke and event merchandise. A host may offer different items to friends, family, parents, wedding party, protocol guests or named individuals. The system records what the host intends to offer, what each guest privately chooses, and what the vendor reports about fulfilment—without turning Maison Doclar into a merchant, tailor, payment intermediary or public ledger.</w:t>
      </w: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b/>
                <w:color w:val="0B2545"/>
              </w:rPr>
              <w:t xml:space="preserve">RECOMMENDATION  </w:t>
            </w:r>
            <w:r>
              <w:t>Insert EOS-S04C after EOS-S04B and before EOS-S05. Expose protected summaries beside Guest List and RSVP, while keeping vendor access in a separate, narrowly scoped portal boundary.</w:t>
            </w:r>
          </w:p>
        </w:tc>
      </w:tr>
    </w:tbl>
    <w:p>
      <w:pPr>
        <w:spacing w:after="20"/>
      </w:pPr>
    </w:p>
    <w:p>
      <w:pPr>
        <w:pStyle w:val="Heading2"/>
      </w:pPr>
      <w:r>
        <w:t>1.1 The four-layer model</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b/>
                <w:color w:val="0B2545"/>
                <w:sz w:val="18"/>
              </w:rPr>
              <w:t>Layer</w:t>
            </w:r>
          </w:p>
        </w:tc>
        <w:tc>
          <w:tcPr>
            <w:tcW w:type="dxa" w:w="7128"/>
            <w:shd w:fill="E8EEF5"/>
            <w:tcMar>
              <w:top w:w="80" w:type="dxa"/>
              <w:start w:w="120" w:type="dxa"/>
              <w:bottom w:w="80" w:type="dxa"/>
              <w:end w:w="120" w:type="dxa"/>
            </w:tcMar>
            <w:vAlign w:val="center"/>
          </w:tcPr>
          <w:p>
            <w:r>
              <w:rPr>
                <w:b/>
                <w:color w:val="0B2545"/>
                <w:sz w:val="18"/>
              </w:rPr>
              <w:t>Authority</w:t>
            </w:r>
          </w:p>
        </w:tc>
      </w:tr>
      <w:tr>
        <w:trPr>
          <w:cantSplit/>
        </w:trPr>
        <w:tc>
          <w:tcPr>
            <w:tcW w:type="dxa" w:w="2232"/>
            <w:tcMar>
              <w:top w:w="80" w:type="dxa"/>
              <w:start w:w="120" w:type="dxa"/>
              <w:bottom w:w="80" w:type="dxa"/>
              <w:end w:w="120" w:type="dxa"/>
            </w:tcMar>
            <w:vAlign w:val="top"/>
          </w:tcPr>
          <w:p>
            <w:pPr>
              <w:spacing w:after="0"/>
            </w:pPr>
            <w:r>
              <w:rPr>
                <w:sz w:val="17"/>
              </w:rPr>
              <w:t>Host offer</w:t>
            </w:r>
          </w:p>
        </w:tc>
        <w:tc>
          <w:tcPr>
            <w:tcW w:type="dxa" w:w="7128"/>
            <w:tcMar>
              <w:top w:w="80" w:type="dxa"/>
              <w:start w:w="120" w:type="dxa"/>
              <w:bottom w:w="80" w:type="dxa"/>
              <w:end w:w="120" w:type="dxa"/>
            </w:tcMar>
            <w:vAlign w:val="top"/>
          </w:tcPr>
          <w:p>
            <w:pPr>
              <w:spacing w:after="0"/>
            </w:pPr>
            <w:r>
              <w:rPr>
                <w:sz w:val="17"/>
              </w:rPr>
              <w:t>Defines collections, eligible cohorts/individuals, sponsorship and available choices.</w:t>
            </w:r>
          </w:p>
        </w:tc>
      </w:tr>
      <w:tr>
        <w:trPr>
          <w:cantSplit/>
        </w:trPr>
        <w:tc>
          <w:tcPr>
            <w:tcW w:type="dxa" w:w="2232"/>
            <w:tcMar>
              <w:top w:w="80" w:type="dxa"/>
              <w:start w:w="120" w:type="dxa"/>
              <w:bottom w:w="80" w:type="dxa"/>
              <w:end w:w="120" w:type="dxa"/>
            </w:tcMar>
            <w:vAlign w:val="top"/>
          </w:tcPr>
          <w:p>
            <w:pPr>
              <w:spacing w:after="0"/>
            </w:pPr>
            <w:r>
              <w:rPr>
                <w:sz w:val="17"/>
              </w:rPr>
              <w:t>Guest choice</w:t>
            </w:r>
          </w:p>
        </w:tc>
        <w:tc>
          <w:tcPr>
            <w:tcW w:type="dxa" w:w="7128"/>
            <w:tcMar>
              <w:top w:w="80" w:type="dxa"/>
              <w:start w:w="120" w:type="dxa"/>
              <w:bottom w:w="80" w:type="dxa"/>
              <w:end w:w="120" w:type="dxa"/>
            </w:tcMar>
            <w:vAlign w:val="top"/>
          </w:tcPr>
          <w:p>
            <w:pPr>
              <w:spacing w:after="0"/>
            </w:pPr>
            <w:r>
              <w:rPr>
                <w:sz w:val="17"/>
              </w:rPr>
              <w:t>Privately accepts, selects an alternative, contacts the vendor or opts out gracefully.</w:t>
            </w:r>
          </w:p>
        </w:tc>
      </w:tr>
      <w:tr>
        <w:trPr>
          <w:cantSplit/>
        </w:trPr>
        <w:tc>
          <w:tcPr>
            <w:tcW w:type="dxa" w:w="2232"/>
            <w:tcMar>
              <w:top w:w="80" w:type="dxa"/>
              <w:start w:w="120" w:type="dxa"/>
              <w:bottom w:w="80" w:type="dxa"/>
              <w:end w:w="120" w:type="dxa"/>
            </w:tcMar>
            <w:vAlign w:val="top"/>
          </w:tcPr>
          <w:p>
            <w:pPr>
              <w:spacing w:after="0"/>
            </w:pPr>
            <w:r>
              <w:rPr>
                <w:sz w:val="17"/>
              </w:rPr>
              <w:t>Vendor fulfilment</w:t>
            </w:r>
          </w:p>
        </w:tc>
        <w:tc>
          <w:tcPr>
            <w:tcW w:type="dxa" w:w="7128"/>
            <w:tcMar>
              <w:top w:w="80" w:type="dxa"/>
              <w:start w:w="120" w:type="dxa"/>
              <w:bottom w:w="80" w:type="dxa"/>
              <w:end w:w="120" w:type="dxa"/>
            </w:tcMar>
            <w:vAlign w:val="top"/>
          </w:tcPr>
          <w:p>
            <w:pPr>
              <w:spacing w:after="0"/>
            </w:pPr>
            <w:r>
              <w:rPr>
                <w:sz w:val="17"/>
              </w:rPr>
              <w:t>Receives only assigned records and reports production/collection/dispatch milestones.</w:t>
            </w:r>
          </w:p>
        </w:tc>
      </w:tr>
      <w:tr>
        <w:trPr>
          <w:cantSplit/>
        </w:trPr>
        <w:tc>
          <w:tcPr>
            <w:tcW w:type="dxa" w:w="2232"/>
            <w:tcMar>
              <w:top w:w="80" w:type="dxa"/>
              <w:start w:w="120" w:type="dxa"/>
              <w:bottom w:w="80" w:type="dxa"/>
              <w:end w:w="120" w:type="dxa"/>
            </w:tcMar>
            <w:vAlign w:val="top"/>
          </w:tcPr>
          <w:p>
            <w:pPr>
              <w:spacing w:after="0"/>
            </w:pPr>
            <w:r>
              <w:rPr>
                <w:sz w:val="17"/>
              </w:rPr>
              <w:t>Maison Doclar coordination</w:t>
            </w:r>
          </w:p>
        </w:tc>
        <w:tc>
          <w:tcPr>
            <w:tcW w:type="dxa" w:w="7128"/>
            <w:tcMar>
              <w:top w:w="80" w:type="dxa"/>
              <w:start w:w="120" w:type="dxa"/>
              <w:bottom w:w="80" w:type="dxa"/>
              <w:end w:w="120" w:type="dxa"/>
            </w:tcMar>
            <w:vAlign w:val="top"/>
          </w:tcPr>
          <w:p>
            <w:pPr>
              <w:spacing w:after="0"/>
            </w:pPr>
            <w:r>
              <w:rPr>
                <w:sz w:val="17"/>
              </w:rPr>
              <w:t>Monitors exceptions, communicates curated updates and protects guest dignity/privacy.</w:t>
            </w:r>
          </w:p>
        </w:tc>
      </w:tr>
    </w:tbl>
    <w:p>
      <w:pPr>
        <w:spacing w:after="20"/>
      </w:pPr>
    </w:p>
    <w:p>
      <w:pPr>
        <w:pStyle w:val="Heading1"/>
      </w:pPr>
      <w:r>
        <w:t>2. Reconciliation and no-duplication</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cantSplit/>
        </w:trPr>
        <w:tc>
          <w:tcPr>
            <w:tcW w:type="dxa" w:w="2016"/>
            <w:shd w:fill="E8EEF5"/>
            <w:tcMar>
              <w:top w:w="80" w:type="dxa"/>
              <w:start w:w="120" w:type="dxa"/>
              <w:bottom w:w="80" w:type="dxa"/>
              <w:end w:w="120" w:type="dxa"/>
            </w:tcMar>
            <w:vAlign w:val="center"/>
          </w:tcPr>
          <w:p>
            <w:r>
              <w:rPr>
                <w:b/>
                <w:color w:val="0B2545"/>
                <w:sz w:val="18"/>
              </w:rPr>
              <w:t>Source</w:t>
            </w:r>
          </w:p>
        </w:tc>
        <w:tc>
          <w:tcPr>
            <w:tcW w:type="dxa" w:w="3312"/>
            <w:shd w:fill="E8EEF5"/>
            <w:tcMar>
              <w:top w:w="80" w:type="dxa"/>
              <w:start w:w="120" w:type="dxa"/>
              <w:bottom w:w="80" w:type="dxa"/>
              <w:end w:w="120" w:type="dxa"/>
            </w:tcMar>
            <w:vAlign w:val="center"/>
          </w:tcPr>
          <w:p>
            <w:r>
              <w:rPr>
                <w:b/>
                <w:color w:val="0B2545"/>
                <w:sz w:val="18"/>
              </w:rPr>
              <w:t>Authority retained</w:t>
            </w:r>
          </w:p>
        </w:tc>
        <w:tc>
          <w:tcPr>
            <w:tcW w:type="dxa" w:w="4032"/>
            <w:shd w:fill="E8EEF5"/>
            <w:tcMar>
              <w:top w:w="80" w:type="dxa"/>
              <w:start w:w="120" w:type="dxa"/>
              <w:bottom w:w="80" w:type="dxa"/>
              <w:end w:w="120" w:type="dxa"/>
            </w:tcMar>
            <w:vAlign w:val="center"/>
          </w:tcPr>
          <w:p>
            <w:r>
              <w:rPr>
                <w:b/>
                <w:color w:val="0B2545"/>
                <w:sz w:val="18"/>
              </w:rPr>
              <w:t>S04C use</w:t>
            </w:r>
          </w:p>
        </w:tc>
      </w:tr>
      <w:tr>
        <w:trPr>
          <w:cantSplit/>
        </w:trPr>
        <w:tc>
          <w:tcPr>
            <w:tcW w:type="dxa" w:w="2016"/>
            <w:tcMar>
              <w:top w:w="80" w:type="dxa"/>
              <w:start w:w="120" w:type="dxa"/>
              <w:bottom w:w="80" w:type="dxa"/>
              <w:end w:w="120" w:type="dxa"/>
            </w:tcMar>
            <w:vAlign w:val="top"/>
          </w:tcPr>
          <w:p>
            <w:pPr>
              <w:spacing w:after="0"/>
            </w:pPr>
            <w:r>
              <w:rPr>
                <w:sz w:val="17"/>
              </w:rPr>
              <w:t>EOS-S03</w:t>
            </w:r>
          </w:p>
        </w:tc>
        <w:tc>
          <w:tcPr>
            <w:tcW w:type="dxa" w:w="3312"/>
            <w:tcMar>
              <w:top w:w="80" w:type="dxa"/>
              <w:start w:w="120" w:type="dxa"/>
              <w:bottom w:w="80" w:type="dxa"/>
              <w:end w:w="120" w:type="dxa"/>
            </w:tcMar>
            <w:vAlign w:val="top"/>
          </w:tcPr>
          <w:p>
            <w:pPr>
              <w:spacing w:after="0"/>
            </w:pPr>
            <w:r>
              <w:rPr>
                <w:sz w:val="17"/>
              </w:rPr>
              <w:t>Invitation and RSVP entitlement</w:t>
            </w:r>
          </w:p>
        </w:tc>
        <w:tc>
          <w:tcPr>
            <w:tcW w:type="dxa" w:w="4032"/>
            <w:tcMar>
              <w:top w:w="80" w:type="dxa"/>
              <w:start w:w="120" w:type="dxa"/>
              <w:bottom w:w="80" w:type="dxa"/>
              <w:end w:w="120" w:type="dxa"/>
            </w:tcMar>
            <w:vAlign w:val="top"/>
          </w:tcPr>
          <w:p>
            <w:pPr>
              <w:spacing w:after="0"/>
            </w:pPr>
            <w:r>
              <w:rPr>
                <w:sz w:val="17"/>
              </w:rPr>
              <w:t>Merchandise never creates event invitation or attendance rights.</w:t>
            </w:r>
          </w:p>
        </w:tc>
      </w:tr>
      <w:tr>
        <w:trPr>
          <w:cantSplit/>
        </w:trPr>
        <w:tc>
          <w:tcPr>
            <w:tcW w:type="dxa" w:w="2016"/>
            <w:tcMar>
              <w:top w:w="80" w:type="dxa"/>
              <w:start w:w="120" w:type="dxa"/>
              <w:bottom w:w="80" w:type="dxa"/>
              <w:end w:w="120" w:type="dxa"/>
            </w:tcMar>
            <w:vAlign w:val="top"/>
          </w:tcPr>
          <w:p>
            <w:pPr>
              <w:spacing w:after="0"/>
            </w:pPr>
            <w:r>
              <w:rPr>
                <w:sz w:val="17"/>
              </w:rPr>
              <w:t>EOS-S04</w:t>
            </w:r>
          </w:p>
        </w:tc>
        <w:tc>
          <w:tcPr>
            <w:tcW w:type="dxa" w:w="3312"/>
            <w:tcMar>
              <w:top w:w="80" w:type="dxa"/>
              <w:start w:w="120" w:type="dxa"/>
              <w:bottom w:w="80" w:type="dxa"/>
              <w:end w:w="120" w:type="dxa"/>
            </w:tcMar>
            <w:vAlign w:val="top"/>
          </w:tcPr>
          <w:p>
            <w:pPr>
              <w:spacing w:after="0"/>
            </w:pPr>
            <w:r>
              <w:rPr>
                <w:sz w:val="17"/>
              </w:rPr>
              <w:t>Governed communications</w:t>
            </w:r>
          </w:p>
        </w:tc>
        <w:tc>
          <w:tcPr>
            <w:tcW w:type="dxa" w:w="4032"/>
            <w:tcMar>
              <w:top w:w="80" w:type="dxa"/>
              <w:start w:w="120" w:type="dxa"/>
              <w:bottom w:w="80" w:type="dxa"/>
              <w:end w:w="120" w:type="dxa"/>
            </w:tcMar>
            <w:vAlign w:val="top"/>
          </w:tcPr>
          <w:p>
            <w:pPr>
              <w:spacing w:after="0"/>
            </w:pPr>
            <w:r>
              <w:rPr>
                <w:sz w:val="17"/>
              </w:rPr>
              <w:t>Sends approved coordination updates and links; no commercial payment collection.</w:t>
            </w:r>
          </w:p>
        </w:tc>
      </w:tr>
      <w:tr>
        <w:trPr>
          <w:cantSplit/>
        </w:trPr>
        <w:tc>
          <w:tcPr>
            <w:tcW w:type="dxa" w:w="2016"/>
            <w:tcMar>
              <w:top w:w="80" w:type="dxa"/>
              <w:start w:w="120" w:type="dxa"/>
              <w:bottom w:w="80" w:type="dxa"/>
              <w:end w:w="120" w:type="dxa"/>
            </w:tcMar>
            <w:vAlign w:val="top"/>
          </w:tcPr>
          <w:p>
            <w:pPr>
              <w:spacing w:after="0"/>
            </w:pPr>
            <w:r>
              <w:rPr>
                <w:sz w:val="17"/>
              </w:rPr>
              <w:t>EOS-S04A</w:t>
            </w:r>
          </w:p>
        </w:tc>
        <w:tc>
          <w:tcPr>
            <w:tcW w:type="dxa" w:w="3312"/>
            <w:tcMar>
              <w:top w:w="80" w:type="dxa"/>
              <w:start w:w="120" w:type="dxa"/>
              <w:bottom w:w="80" w:type="dxa"/>
              <w:end w:w="120" w:type="dxa"/>
            </w:tcMar>
            <w:vAlign w:val="top"/>
          </w:tcPr>
          <w:p>
            <w:pPr>
              <w:spacing w:after="0"/>
            </w:pPr>
            <w:r>
              <w:rPr>
                <w:sz w:val="17"/>
              </w:rPr>
              <w:t>guestId, partyId, relationships, age bands and companion lineage</w:t>
            </w:r>
          </w:p>
        </w:tc>
        <w:tc>
          <w:tcPr>
            <w:tcW w:type="dxa" w:w="4032"/>
            <w:tcMar>
              <w:top w:w="80" w:type="dxa"/>
              <w:start w:w="120" w:type="dxa"/>
              <w:bottom w:w="80" w:type="dxa"/>
              <w:end w:w="120" w:type="dxa"/>
            </w:tcMar>
            <w:vAlign w:val="top"/>
          </w:tcPr>
          <w:p>
            <w:pPr>
              <w:spacing w:after="0"/>
            </w:pPr>
            <w:r>
              <w:rPr>
                <w:sz w:val="17"/>
              </w:rPr>
              <w:t>Targets offers without merging identities or inferring relationships.</w:t>
            </w:r>
          </w:p>
        </w:tc>
      </w:tr>
      <w:tr>
        <w:trPr>
          <w:cantSplit/>
        </w:trPr>
        <w:tc>
          <w:tcPr>
            <w:tcW w:type="dxa" w:w="2016"/>
            <w:tcMar>
              <w:top w:w="80" w:type="dxa"/>
              <w:start w:w="120" w:type="dxa"/>
              <w:bottom w:w="80" w:type="dxa"/>
              <w:end w:w="120" w:type="dxa"/>
            </w:tcMar>
            <w:vAlign w:val="top"/>
          </w:tcPr>
          <w:p>
            <w:pPr>
              <w:spacing w:after="0"/>
            </w:pPr>
            <w:r>
              <w:rPr>
                <w:sz w:val="17"/>
              </w:rPr>
              <w:t>EOS-S04B</w:t>
            </w:r>
          </w:p>
        </w:tc>
        <w:tc>
          <w:tcPr>
            <w:tcW w:type="dxa" w:w="3312"/>
            <w:tcMar>
              <w:top w:w="80" w:type="dxa"/>
              <w:start w:w="120" w:type="dxa"/>
              <w:bottom w:w="80" w:type="dxa"/>
              <w:end w:w="120" w:type="dxa"/>
            </w:tcMar>
            <w:vAlign w:val="top"/>
          </w:tcPr>
          <w:p>
            <w:pPr>
              <w:spacing w:after="0"/>
            </w:pPr>
            <w:r>
              <w:rPr>
                <w:sz w:val="17"/>
              </w:rPr>
              <w:t>programme/phase structure</w:t>
            </w:r>
          </w:p>
        </w:tc>
        <w:tc>
          <w:tcPr>
            <w:tcW w:type="dxa" w:w="4032"/>
            <w:tcMar>
              <w:top w:w="80" w:type="dxa"/>
              <w:start w:w="120" w:type="dxa"/>
              <w:bottom w:w="80" w:type="dxa"/>
              <w:end w:w="120" w:type="dxa"/>
            </w:tcMar>
            <w:vAlign w:val="top"/>
          </w:tcPr>
          <w:p>
            <w:pPr>
              <w:spacing w:after="0"/>
            </w:pPr>
            <w:r>
              <w:rPr>
                <w:sz w:val="17"/>
              </w:rPr>
              <w:t>Allows attire/items to apply to selected ceremonies or days.</w:t>
            </w:r>
          </w:p>
        </w:tc>
      </w:tr>
      <w:tr>
        <w:trPr>
          <w:cantSplit/>
        </w:trPr>
        <w:tc>
          <w:tcPr>
            <w:tcW w:type="dxa" w:w="2016"/>
            <w:tcMar>
              <w:top w:w="80" w:type="dxa"/>
              <w:start w:w="120" w:type="dxa"/>
              <w:bottom w:w="80" w:type="dxa"/>
              <w:end w:w="120" w:type="dxa"/>
            </w:tcMar>
            <w:vAlign w:val="top"/>
          </w:tcPr>
          <w:p>
            <w:pPr>
              <w:spacing w:after="0"/>
            </w:pPr>
            <w:r>
              <w:rPr>
                <w:sz w:val="17"/>
              </w:rPr>
              <w:t>Vendor governance</w:t>
            </w:r>
          </w:p>
        </w:tc>
        <w:tc>
          <w:tcPr>
            <w:tcW w:type="dxa" w:w="3312"/>
            <w:tcMar>
              <w:top w:w="80" w:type="dxa"/>
              <w:start w:w="120" w:type="dxa"/>
              <w:bottom w:w="80" w:type="dxa"/>
              <w:end w:w="120" w:type="dxa"/>
            </w:tcMar>
            <w:vAlign w:val="top"/>
          </w:tcPr>
          <w:p>
            <w:pPr>
              <w:spacing w:after="0"/>
            </w:pPr>
            <w:r>
              <w:rPr>
                <w:sz w:val="17"/>
              </w:rPr>
              <w:t>Approved supplier, scope, accountability and evidence</w:t>
            </w:r>
          </w:p>
        </w:tc>
        <w:tc>
          <w:tcPr>
            <w:tcW w:type="dxa" w:w="4032"/>
            <w:tcMar>
              <w:top w:w="80" w:type="dxa"/>
              <w:start w:w="120" w:type="dxa"/>
              <w:bottom w:w="80" w:type="dxa"/>
              <w:end w:w="120" w:type="dxa"/>
            </w:tcMar>
            <w:vAlign w:val="top"/>
          </w:tcPr>
          <w:p>
            <w:pPr>
              <w:spacing w:after="0"/>
            </w:pPr>
            <w:r>
              <w:rPr>
                <w:sz w:val="17"/>
              </w:rPr>
              <w:t>Creates least-privilege portal assignments and reported milestones.</w:t>
            </w:r>
          </w:p>
        </w:tc>
      </w:tr>
      <w:tr>
        <w:trPr>
          <w:cantSplit/>
        </w:trPr>
        <w:tc>
          <w:tcPr>
            <w:tcW w:type="dxa" w:w="2016"/>
            <w:tcMar>
              <w:top w:w="80" w:type="dxa"/>
              <w:start w:w="120" w:type="dxa"/>
              <w:bottom w:w="80" w:type="dxa"/>
              <w:end w:w="120" w:type="dxa"/>
            </w:tcMar>
            <w:vAlign w:val="top"/>
          </w:tcPr>
          <w:p>
            <w:pPr>
              <w:spacing w:after="0"/>
            </w:pPr>
            <w:r>
              <w:rPr>
                <w:sz w:val="17"/>
              </w:rPr>
              <w:t>Core Event OS</w:t>
            </w:r>
          </w:p>
        </w:tc>
        <w:tc>
          <w:tcPr>
            <w:tcW w:type="dxa" w:w="3312"/>
            <w:tcMar>
              <w:top w:w="80" w:type="dxa"/>
              <w:start w:w="120" w:type="dxa"/>
              <w:bottom w:w="80" w:type="dxa"/>
              <w:end w:w="120" w:type="dxa"/>
            </w:tcMar>
            <w:vAlign w:val="top"/>
          </w:tcPr>
          <w:p>
            <w:pPr>
              <w:spacing w:after="0"/>
            </w:pPr>
            <w:r>
              <w:rPr>
                <w:sz w:val="17"/>
              </w:rPr>
              <w:t>Canonical guest/RSVP records</w:t>
            </w:r>
          </w:p>
        </w:tc>
        <w:tc>
          <w:tcPr>
            <w:tcW w:type="dxa" w:w="4032"/>
            <w:tcMar>
              <w:top w:w="80" w:type="dxa"/>
              <w:start w:w="120" w:type="dxa"/>
              <w:bottom w:w="80" w:type="dxa"/>
              <w:end w:w="120" w:type="dxa"/>
            </w:tcMar>
            <w:vAlign w:val="top"/>
          </w:tcPr>
          <w:p>
            <w:pPr>
              <w:spacing w:after="0"/>
            </w:pPr>
            <w:r>
              <w:rPr>
                <w:sz w:val="17"/>
              </w:rPr>
              <w:t>Receives protected summary projections only; vendors cannot edit core truth.</w:t>
            </w:r>
          </w:p>
        </w:tc>
      </w:tr>
    </w:tbl>
    <w:p>
      <w:pPr>
        <w:spacing w:after="20"/>
      </w:pP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b/>
                <w:color w:val="0B2545"/>
              </w:rPr>
              <w:t xml:space="preserve">PROTECTION LAW  </w:t>
            </w:r>
            <w:r>
              <w:t>Merchandise data may appear around Guest List and RSVP as an adjacent projection, but it is not part of guest identity or RSVP authority. Vendor submissions never write directly to Guest, Invitation, RSVP, Party, Credential or Attendance records.</w:t>
            </w:r>
          </w:p>
        </w:tc>
      </w:tr>
    </w:tbl>
    <w:p>
      <w:pPr>
        <w:spacing w:after="20"/>
      </w:pPr>
    </w:p>
    <w:p>
      <w:pPr>
        <w:pStyle w:val="Heading1"/>
      </w:pPr>
      <w:r>
        <w:t>3. Scope and exclusions</w:t>
      </w:r>
    </w:p>
    <w:p>
      <w:pPr>
        <w:pStyle w:val="Heading2"/>
      </w:pPr>
      <w:r>
        <w:t>3.1 In scope</w:t>
      </w:r>
    </w:p>
    <w:p>
      <w:pPr>
        <w:pStyle w:val="ListBullet"/>
        <w:spacing w:after="80"/>
      </w:pPr>
      <w:r>
        <w:t>Aso-ebi fabric; aso-oke gele, fila/cap and ipele; accessories, gifts and event merchandise.</w:t>
      </w:r>
    </w:p>
    <w:p>
      <w:pPr>
        <w:pStyle w:val="ListBullet"/>
        <w:spacing w:after="80"/>
      </w:pPr>
      <w:r>
        <w:t>Host-defined collections, items, variants, recipient cohorts and individual exceptions.</w:t>
      </w:r>
    </w:p>
    <w:p>
      <w:pPr>
        <w:pStyle w:val="ListBullet"/>
        <w:spacing w:after="80"/>
      </w:pPr>
      <w:r>
        <w:t>Private guest participation: accept, fabric-only, accessory-only, alternative, host-sponsored or graceful opt-out.</w:t>
      </w:r>
    </w:p>
    <w:p>
      <w:pPr>
        <w:pStyle w:val="ListBullet"/>
        <w:spacing w:after="80"/>
      </w:pPr>
      <w:r>
        <w:t>Optional male-cap head circumference in inches where made-to-measure caps are offered.</w:t>
      </w:r>
    </w:p>
    <w:p>
      <w:pPr>
        <w:pStyle w:val="ListBullet"/>
        <w:spacing w:after="80"/>
      </w:pPr>
      <w:r>
        <w:t>Direct vendor contact links including WhatsApp, telephone, email or vendor web link.</w:t>
      </w:r>
    </w:p>
    <w:p>
      <w:pPr>
        <w:pStyle w:val="ListBullet"/>
        <w:spacing w:after="80"/>
      </w:pPr>
      <w:r>
        <w:t>Tokenised vendor update portals for assigned fulfilment records.</w:t>
      </w:r>
    </w:p>
    <w:p>
      <w:pPr>
        <w:pStyle w:val="ListBullet"/>
        <w:spacing w:after="80"/>
      </w:pPr>
      <w:r>
        <w:t>Guest-access views for personalised offers, vendor links and milestone updates.</w:t>
      </w:r>
    </w:p>
    <w:p>
      <w:pPr>
        <w:pStyle w:val="ListBullet"/>
        <w:spacing w:after="80"/>
      </w:pPr>
      <w:r>
        <w:t>Collection, dispatch, delivery, damage, replacement and non-collection exceptions.</w:t>
      </w:r>
    </w:p>
    <w:p>
      <w:pPr>
        <w:pStyle w:val="ListBullet"/>
        <w:spacing w:after="80"/>
      </w:pPr>
      <w:r>
        <w:t>Guest List, RSVP, Communications, programme-phase and Academy projections.</w:t>
      </w:r>
    </w:p>
    <w:p>
      <w:pPr>
        <w:pStyle w:val="Heading2"/>
      </w:pPr>
      <w:r>
        <w:t>3.2 Explicit exclusions</w:t>
      </w:r>
    </w:p>
    <w:p>
      <w:pPr>
        <w:pStyle w:val="ListBullet"/>
        <w:spacing w:after="80"/>
      </w:pPr>
      <w:r>
        <w:t>All other body measurements, sizes derived from measurements, fitting photographs and tailor notes.</w:t>
      </w:r>
    </w:p>
    <w:p>
      <w:pPr>
        <w:pStyle w:val="ListBullet"/>
        <w:spacing w:after="80"/>
      </w:pPr>
      <w:r>
        <w:t>Maison Doclar receiving, holding, reconciling or refunding guest money.</w:t>
      </w:r>
    </w:p>
    <w:p>
      <w:pPr>
        <w:pStyle w:val="ListBullet"/>
        <w:spacing w:after="80"/>
      </w:pPr>
      <w:r>
        <w:t>Card, bank, transfer receipt or payment-instrument storage.</w:t>
      </w:r>
    </w:p>
    <w:p>
      <w:pPr>
        <w:pStyle w:val="ListBullet"/>
        <w:spacing w:after="80"/>
      </w:pPr>
      <w:r>
        <w:t>Maison Doclar acting as merchant, marketplace, escrow, lender, guarantor or dispute adjudicator.</w:t>
      </w:r>
    </w:p>
    <w:p>
      <w:pPr>
        <w:pStyle w:val="ListBullet"/>
        <w:spacing w:after="80"/>
      </w:pPr>
      <w:r>
        <w:t>Vendor access to the core Event OS, unrestricted guest lists, private notes or unrelated events.</w:t>
      </w:r>
    </w:p>
    <w:p>
      <w:pPr>
        <w:pStyle w:val="ListBullet"/>
        <w:spacing w:after="80"/>
      </w:pPr>
      <w:r>
        <w:t>Tailoring management, automated fit advice, AI body measurement or health inference.</w:t>
      </w:r>
    </w:p>
    <w:p>
      <w:pPr>
        <w:pStyle w:val="ListBullet"/>
        <w:spacing w:after="80"/>
      </w:pPr>
      <w:r>
        <w:t>EOS-S05 implementation, provider production activation or protected-gate approval.</w:t>
      </w:r>
    </w:p>
    <w:p>
      <w:pPr>
        <w:pStyle w:val="Heading1"/>
      </w:pPr>
      <w:r>
        <w:t>4. Canonical records and identifiers</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592"/>
            <w:shd w:fill="E8EEF5"/>
            <w:tcMar>
              <w:top w:w="80" w:type="dxa"/>
              <w:start w:w="120" w:type="dxa"/>
              <w:bottom w:w="80" w:type="dxa"/>
              <w:end w:w="120" w:type="dxa"/>
            </w:tcMar>
            <w:vAlign w:val="center"/>
          </w:tcPr>
          <w:p>
            <w:r>
              <w:rPr>
                <w:b/>
                <w:color w:val="0B2545"/>
                <w:sz w:val="18"/>
              </w:rPr>
              <w:t>Record</w:t>
            </w:r>
          </w:p>
        </w:tc>
        <w:tc>
          <w:tcPr>
            <w:tcW w:type="dxa" w:w="6768"/>
            <w:shd w:fill="E8EEF5"/>
            <w:tcMar>
              <w:top w:w="80" w:type="dxa"/>
              <w:start w:w="120" w:type="dxa"/>
              <w:bottom w:w="80" w:type="dxa"/>
              <w:end w:w="120" w:type="dxa"/>
            </w:tcMar>
            <w:vAlign w:val="center"/>
          </w:tcPr>
          <w:p>
            <w:r>
              <w:rPr>
                <w:b/>
                <w:color w:val="0B2545"/>
                <w:sz w:val="18"/>
              </w:rPr>
              <w:t>Purpose / essential fields</w:t>
            </w:r>
          </w:p>
        </w:tc>
      </w:tr>
      <w:tr>
        <w:trPr>
          <w:cantSplit/>
        </w:trPr>
        <w:tc>
          <w:tcPr>
            <w:tcW w:type="dxa" w:w="2592"/>
            <w:tcMar>
              <w:top w:w="80" w:type="dxa"/>
              <w:start w:w="120" w:type="dxa"/>
              <w:bottom w:w="80" w:type="dxa"/>
              <w:end w:w="120" w:type="dxa"/>
            </w:tcMar>
            <w:vAlign w:val="top"/>
          </w:tcPr>
          <w:p>
            <w:pPr>
              <w:spacing w:after="0"/>
            </w:pPr>
            <w:r>
              <w:rPr>
                <w:sz w:val="17"/>
              </w:rPr>
              <w:t>MerchandiseCollection</w:t>
            </w:r>
          </w:p>
        </w:tc>
        <w:tc>
          <w:tcPr>
            <w:tcW w:type="dxa" w:w="6768"/>
            <w:tcMar>
              <w:top w:w="80" w:type="dxa"/>
              <w:start w:w="120" w:type="dxa"/>
              <w:bottom w:w="80" w:type="dxa"/>
              <w:end w:w="120" w:type="dxa"/>
            </w:tcMar>
            <w:vAlign w:val="top"/>
          </w:tcPr>
          <w:p>
            <w:pPr>
              <w:spacing w:after="0"/>
            </w:pPr>
            <w:r>
              <w:rPr>
                <w:sz w:val="17"/>
              </w:rPr>
              <w:t>collectionId, programmeId/eventId, phaseIds, name, host owner, window, status.</w:t>
            </w:r>
          </w:p>
        </w:tc>
      </w:tr>
      <w:tr>
        <w:trPr>
          <w:cantSplit/>
        </w:trPr>
        <w:tc>
          <w:tcPr>
            <w:tcW w:type="dxa" w:w="2592"/>
            <w:tcMar>
              <w:top w:w="80" w:type="dxa"/>
              <w:start w:w="120" w:type="dxa"/>
              <w:bottom w:w="80" w:type="dxa"/>
              <w:end w:w="120" w:type="dxa"/>
            </w:tcMar>
            <w:vAlign w:val="top"/>
          </w:tcPr>
          <w:p>
            <w:pPr>
              <w:spacing w:after="0"/>
            </w:pPr>
            <w:r>
              <w:rPr>
                <w:sz w:val="17"/>
              </w:rPr>
              <w:t>MerchandiseItem</w:t>
            </w:r>
          </w:p>
        </w:tc>
        <w:tc>
          <w:tcPr>
            <w:tcW w:type="dxa" w:w="6768"/>
            <w:tcMar>
              <w:top w:w="80" w:type="dxa"/>
              <w:start w:w="120" w:type="dxa"/>
              <w:bottom w:w="80" w:type="dxa"/>
              <w:end w:w="120" w:type="dxa"/>
            </w:tcMar>
            <w:vAlign w:val="top"/>
          </w:tcPr>
          <w:p>
            <w:pPr>
              <w:spacing w:after="0"/>
            </w:pPr>
            <w:r>
              <w:rPr>
                <w:sz w:val="17"/>
              </w:rPr>
              <w:t>itemId, collectionId, type, description, vendor assignment, fulfilment policy.</w:t>
            </w:r>
          </w:p>
        </w:tc>
      </w:tr>
      <w:tr>
        <w:trPr>
          <w:cantSplit/>
        </w:trPr>
        <w:tc>
          <w:tcPr>
            <w:tcW w:type="dxa" w:w="2592"/>
            <w:tcMar>
              <w:top w:w="80" w:type="dxa"/>
              <w:start w:w="120" w:type="dxa"/>
              <w:bottom w:w="80" w:type="dxa"/>
              <w:end w:w="120" w:type="dxa"/>
            </w:tcMar>
            <w:vAlign w:val="top"/>
          </w:tcPr>
          <w:p>
            <w:pPr>
              <w:spacing w:after="0"/>
            </w:pPr>
            <w:r>
              <w:rPr>
                <w:sz w:val="17"/>
              </w:rPr>
              <w:t>ItemVariant</w:t>
            </w:r>
          </w:p>
        </w:tc>
        <w:tc>
          <w:tcPr>
            <w:tcW w:type="dxa" w:w="6768"/>
            <w:tcMar>
              <w:top w:w="80" w:type="dxa"/>
              <w:start w:w="120" w:type="dxa"/>
              <w:bottom w:w="80" w:type="dxa"/>
              <w:end w:w="120" w:type="dxa"/>
            </w:tcMar>
            <w:vAlign w:val="top"/>
          </w:tcPr>
          <w:p>
            <w:pPr>
              <w:spacing w:after="0"/>
            </w:pPr>
            <w:r>
              <w:rPr>
                <w:sz w:val="17"/>
              </w:rPr>
              <w:t>variantId, itemId, colour/pattern/material/standard size or presentation option.</w:t>
            </w:r>
          </w:p>
        </w:tc>
      </w:tr>
      <w:tr>
        <w:trPr>
          <w:cantSplit/>
        </w:trPr>
        <w:tc>
          <w:tcPr>
            <w:tcW w:type="dxa" w:w="2592"/>
            <w:tcMar>
              <w:top w:w="80" w:type="dxa"/>
              <w:start w:w="120" w:type="dxa"/>
              <w:bottom w:w="80" w:type="dxa"/>
              <w:end w:w="120" w:type="dxa"/>
            </w:tcMar>
            <w:vAlign w:val="top"/>
          </w:tcPr>
          <w:p>
            <w:pPr>
              <w:spacing w:after="0"/>
            </w:pPr>
            <w:r>
              <w:rPr>
                <w:sz w:val="17"/>
              </w:rPr>
              <w:t>HostOfferRule</w:t>
            </w:r>
          </w:p>
        </w:tc>
        <w:tc>
          <w:tcPr>
            <w:tcW w:type="dxa" w:w="6768"/>
            <w:tcMar>
              <w:top w:w="80" w:type="dxa"/>
              <w:start w:w="120" w:type="dxa"/>
              <w:bottom w:w="80" w:type="dxa"/>
              <w:end w:w="120" w:type="dxa"/>
            </w:tcMar>
            <w:vAlign w:val="top"/>
          </w:tcPr>
          <w:p>
            <w:pPr>
              <w:spacing w:after="0"/>
            </w:pPr>
            <w:r>
              <w:rPr>
                <w:sz w:val="17"/>
              </w:rPr>
              <w:t>offerRuleId, eligible audience rule, offered variants/quantities, sponsorship, priority, version.</w:t>
            </w:r>
          </w:p>
        </w:tc>
      </w:tr>
      <w:tr>
        <w:trPr>
          <w:cantSplit/>
        </w:trPr>
        <w:tc>
          <w:tcPr>
            <w:tcW w:type="dxa" w:w="2592"/>
            <w:tcMar>
              <w:top w:w="80" w:type="dxa"/>
              <w:start w:w="120" w:type="dxa"/>
              <w:bottom w:w="80" w:type="dxa"/>
              <w:end w:w="120" w:type="dxa"/>
            </w:tcMar>
            <w:vAlign w:val="top"/>
          </w:tcPr>
          <w:p>
            <w:pPr>
              <w:spacing w:after="0"/>
            </w:pPr>
            <w:r>
              <w:rPr>
                <w:sz w:val="17"/>
              </w:rPr>
              <w:t>GuestOffer</w:t>
            </w:r>
          </w:p>
        </w:tc>
        <w:tc>
          <w:tcPr>
            <w:tcW w:type="dxa" w:w="6768"/>
            <w:tcMar>
              <w:top w:w="80" w:type="dxa"/>
              <w:start w:w="120" w:type="dxa"/>
              <w:bottom w:w="80" w:type="dxa"/>
              <w:end w:w="120" w:type="dxa"/>
            </w:tcMar>
            <w:vAlign w:val="top"/>
          </w:tcPr>
          <w:p>
            <w:pPr>
              <w:spacing w:after="0"/>
            </w:pPr>
            <w:r>
              <w:rPr>
                <w:sz w:val="17"/>
              </w:rPr>
              <w:t>guestOfferId, guestId, source rule or individual override, visible options, state, provenance.</w:t>
            </w:r>
          </w:p>
        </w:tc>
      </w:tr>
      <w:tr>
        <w:trPr>
          <w:cantSplit/>
        </w:trPr>
        <w:tc>
          <w:tcPr>
            <w:tcW w:type="dxa" w:w="2592"/>
            <w:tcMar>
              <w:top w:w="80" w:type="dxa"/>
              <w:start w:w="120" w:type="dxa"/>
              <w:bottom w:w="80" w:type="dxa"/>
              <w:end w:w="120" w:type="dxa"/>
            </w:tcMar>
            <w:vAlign w:val="top"/>
          </w:tcPr>
          <w:p>
            <w:pPr>
              <w:spacing w:after="0"/>
            </w:pPr>
            <w:r>
              <w:rPr>
                <w:sz w:val="17"/>
              </w:rPr>
              <w:t>GuestParticipation</w:t>
            </w:r>
          </w:p>
        </w:tc>
        <w:tc>
          <w:tcPr>
            <w:tcW w:type="dxa" w:w="6768"/>
            <w:tcMar>
              <w:top w:w="80" w:type="dxa"/>
              <w:start w:w="120" w:type="dxa"/>
              <w:bottom w:w="80" w:type="dxa"/>
              <w:end w:w="120" w:type="dxa"/>
            </w:tcMar>
            <w:vAlign w:val="top"/>
          </w:tcPr>
          <w:p>
            <w:pPr>
              <w:spacing w:after="0"/>
            </w:pPr>
            <w:r>
              <w:rPr>
                <w:sz w:val="17"/>
              </w:rPr>
              <w:t>participationId, guestOfferId, private choice, consent, contact handoff, status.</w:t>
            </w:r>
          </w:p>
        </w:tc>
      </w:tr>
      <w:tr>
        <w:trPr>
          <w:cantSplit/>
        </w:trPr>
        <w:tc>
          <w:tcPr>
            <w:tcW w:type="dxa" w:w="2592"/>
            <w:tcMar>
              <w:top w:w="80" w:type="dxa"/>
              <w:start w:w="120" w:type="dxa"/>
              <w:bottom w:w="80" w:type="dxa"/>
              <w:end w:w="120" w:type="dxa"/>
            </w:tcMar>
            <w:vAlign w:val="top"/>
          </w:tcPr>
          <w:p>
            <w:pPr>
              <w:spacing w:after="0"/>
            </w:pPr>
            <w:r>
              <w:rPr>
                <w:sz w:val="17"/>
              </w:rPr>
              <w:t>CapMeasurement</w:t>
            </w:r>
          </w:p>
        </w:tc>
        <w:tc>
          <w:tcPr>
            <w:tcW w:type="dxa" w:w="6768"/>
            <w:tcMar>
              <w:top w:w="80" w:type="dxa"/>
              <w:start w:w="120" w:type="dxa"/>
              <w:bottom w:w="80" w:type="dxa"/>
              <w:end w:w="120" w:type="dxa"/>
            </w:tcMar>
            <w:vAlign w:val="top"/>
          </w:tcPr>
          <w:p>
            <w:pPr>
              <w:spacing w:after="0"/>
            </w:pPr>
            <w:r>
              <w:rPr>
                <w:sz w:val="17"/>
              </w:rPr>
              <w:t>capMeasurementId, guestId, circumferenceInches, source, consent, captured/withdrawn date.</w:t>
            </w:r>
          </w:p>
        </w:tc>
      </w:tr>
      <w:tr>
        <w:trPr>
          <w:cantSplit/>
        </w:trPr>
        <w:tc>
          <w:tcPr>
            <w:tcW w:type="dxa" w:w="2592"/>
            <w:tcMar>
              <w:top w:w="80" w:type="dxa"/>
              <w:start w:w="120" w:type="dxa"/>
              <w:bottom w:w="80" w:type="dxa"/>
              <w:end w:w="120" w:type="dxa"/>
            </w:tcMar>
            <w:vAlign w:val="top"/>
          </w:tcPr>
          <w:p>
            <w:pPr>
              <w:spacing w:after="0"/>
            </w:pPr>
            <w:r>
              <w:rPr>
                <w:sz w:val="17"/>
              </w:rPr>
              <w:t>Fulfilment</w:t>
            </w:r>
          </w:p>
        </w:tc>
        <w:tc>
          <w:tcPr>
            <w:tcW w:type="dxa" w:w="6768"/>
            <w:tcMar>
              <w:top w:w="80" w:type="dxa"/>
              <w:start w:w="120" w:type="dxa"/>
              <w:bottom w:w="80" w:type="dxa"/>
              <w:end w:w="120" w:type="dxa"/>
            </w:tcMar>
            <w:vAlign w:val="top"/>
          </w:tcPr>
          <w:p>
            <w:pPr>
              <w:spacing w:after="0"/>
            </w:pPr>
            <w:r>
              <w:rPr>
                <w:sz w:val="17"/>
              </w:rPr>
              <w:t>fulfilmentId, intended wearer/recipient guestId, item/variant, vendorReference, milestone status.</w:t>
            </w:r>
          </w:p>
        </w:tc>
      </w:tr>
      <w:tr>
        <w:trPr>
          <w:cantSplit/>
        </w:trPr>
        <w:tc>
          <w:tcPr>
            <w:tcW w:type="dxa" w:w="2592"/>
            <w:tcMar>
              <w:top w:w="80" w:type="dxa"/>
              <w:start w:w="120" w:type="dxa"/>
              <w:bottom w:w="80" w:type="dxa"/>
              <w:end w:w="120" w:type="dxa"/>
            </w:tcMar>
            <w:vAlign w:val="top"/>
          </w:tcPr>
          <w:p>
            <w:pPr>
              <w:spacing w:after="0"/>
            </w:pPr>
            <w:r>
              <w:rPr>
                <w:sz w:val="17"/>
              </w:rPr>
              <w:t>VendorAssignment</w:t>
            </w:r>
          </w:p>
        </w:tc>
        <w:tc>
          <w:tcPr>
            <w:tcW w:type="dxa" w:w="6768"/>
            <w:tcMar>
              <w:top w:w="80" w:type="dxa"/>
              <w:start w:w="120" w:type="dxa"/>
              <w:bottom w:w="80" w:type="dxa"/>
              <w:end w:w="120" w:type="dxa"/>
            </w:tcMar>
            <w:vAlign w:val="top"/>
          </w:tcPr>
          <w:p>
            <w:pPr>
              <w:spacing w:after="0"/>
            </w:pPr>
            <w:r>
              <w:rPr>
                <w:sz w:val="17"/>
              </w:rPr>
              <w:t>assignmentId, vendorId, event/collection/item scope, portal permissions and validity.</w:t>
            </w:r>
          </w:p>
        </w:tc>
      </w:tr>
      <w:tr>
        <w:trPr>
          <w:cantSplit/>
        </w:trPr>
        <w:tc>
          <w:tcPr>
            <w:tcW w:type="dxa" w:w="2592"/>
            <w:tcMar>
              <w:top w:w="80" w:type="dxa"/>
              <w:start w:w="120" w:type="dxa"/>
              <w:bottom w:w="80" w:type="dxa"/>
              <w:end w:w="120" w:type="dxa"/>
            </w:tcMar>
            <w:vAlign w:val="top"/>
          </w:tcPr>
          <w:p>
            <w:pPr>
              <w:spacing w:after="0"/>
            </w:pPr>
            <w:r>
              <w:rPr>
                <w:sz w:val="17"/>
              </w:rPr>
              <w:t>VendorUpdate</w:t>
            </w:r>
          </w:p>
        </w:tc>
        <w:tc>
          <w:tcPr>
            <w:tcW w:type="dxa" w:w="6768"/>
            <w:tcMar>
              <w:top w:w="80" w:type="dxa"/>
              <w:start w:w="120" w:type="dxa"/>
              <w:bottom w:w="80" w:type="dxa"/>
              <w:end w:w="120" w:type="dxa"/>
            </w:tcMar>
            <w:vAlign w:val="top"/>
          </w:tcPr>
          <w:p>
            <w:pPr>
              <w:spacing w:after="0"/>
            </w:pPr>
            <w:r>
              <w:rPr>
                <w:sz w:val="17"/>
              </w:rPr>
              <w:t>updateId, fulfilmentId, reported state, evidence reference, vendor actor/time, review state.</w:t>
            </w:r>
          </w:p>
        </w:tc>
      </w:tr>
      <w:tr>
        <w:trPr>
          <w:cantSplit/>
        </w:trPr>
        <w:tc>
          <w:tcPr>
            <w:tcW w:type="dxa" w:w="2592"/>
            <w:tcMar>
              <w:top w:w="80" w:type="dxa"/>
              <w:start w:w="120" w:type="dxa"/>
              <w:bottom w:w="80" w:type="dxa"/>
              <w:end w:w="120" w:type="dxa"/>
            </w:tcMar>
            <w:vAlign w:val="top"/>
          </w:tcPr>
          <w:p>
            <w:pPr>
              <w:spacing w:after="0"/>
            </w:pPr>
            <w:r>
              <w:rPr>
                <w:sz w:val="17"/>
              </w:rPr>
              <w:t>ExternalContactLink</w:t>
            </w:r>
          </w:p>
        </w:tc>
        <w:tc>
          <w:tcPr>
            <w:tcW w:type="dxa" w:w="6768"/>
            <w:tcMar>
              <w:top w:w="80" w:type="dxa"/>
              <w:start w:w="120" w:type="dxa"/>
              <w:bottom w:w="80" w:type="dxa"/>
              <w:end w:w="120" w:type="dxa"/>
            </w:tcMar>
            <w:vAlign w:val="top"/>
          </w:tcPr>
          <w:p>
            <w:pPr>
              <w:spacing w:after="0"/>
            </w:pPr>
            <w:r>
              <w:rPr>
                <w:sz w:val="17"/>
              </w:rPr>
              <w:t>linkId, vendor/channel/label/URL template, event scope, publication status.</w:t>
            </w:r>
          </w:p>
        </w:tc>
      </w:tr>
      <w:tr>
        <w:trPr>
          <w:cantSplit/>
        </w:trPr>
        <w:tc>
          <w:tcPr>
            <w:tcW w:type="dxa" w:w="2592"/>
            <w:tcMar>
              <w:top w:w="80" w:type="dxa"/>
              <w:start w:w="120" w:type="dxa"/>
              <w:bottom w:w="80" w:type="dxa"/>
              <w:end w:w="120" w:type="dxa"/>
            </w:tcMar>
            <w:vAlign w:val="top"/>
          </w:tcPr>
          <w:p>
            <w:pPr>
              <w:spacing w:after="0"/>
            </w:pPr>
            <w:r>
              <w:rPr>
                <w:sz w:val="17"/>
              </w:rPr>
              <w:t>MerchandiseException</w:t>
            </w:r>
          </w:p>
        </w:tc>
        <w:tc>
          <w:tcPr>
            <w:tcW w:type="dxa" w:w="6768"/>
            <w:tcMar>
              <w:top w:w="80" w:type="dxa"/>
              <w:start w:w="120" w:type="dxa"/>
              <w:bottom w:w="80" w:type="dxa"/>
              <w:end w:w="120" w:type="dxa"/>
            </w:tcMar>
            <w:vAlign w:val="top"/>
          </w:tcPr>
          <w:p>
            <w:pPr>
              <w:spacing w:after="0"/>
            </w:pPr>
            <w:r>
              <w:rPr>
                <w:sz w:val="17"/>
              </w:rPr>
              <w:t>exceptionId, type, guest/fulfilment refs, owner, decision, reason, audit.</w:t>
            </w:r>
          </w:p>
        </w:tc>
      </w:tr>
    </w:tbl>
    <w:p>
      <w:pPr>
        <w:spacing w:after="20"/>
      </w:pPr>
    </w:p>
    <w:p>
      <w:pPr>
        <w:pStyle w:val="Heading2"/>
      </w:pPr>
      <w:r>
        <w:t>4.1 Identity laws</w:t>
      </w:r>
    </w:p>
    <w:p>
      <w:pPr>
        <w:pStyle w:val="ListBullet"/>
        <w:spacing w:after="80"/>
      </w:pPr>
      <w:r>
        <w:t>Every intended wearer or recipient resolves to an independent guestId; household membership never substitutes.</w:t>
      </w:r>
    </w:p>
    <w:p>
      <w:pPr>
        <w:pStyle w:val="ListBullet"/>
        <w:spacing w:after="80"/>
      </w:pPr>
      <w:r>
        <w:t>A host offer rule may target a cohort, but materialisation produces a separate GuestOffer for each eligible guest.</w:t>
      </w:r>
    </w:p>
    <w:p>
      <w:pPr>
        <w:pStyle w:val="ListBullet"/>
        <w:spacing w:after="80"/>
      </w:pPr>
      <w:r>
        <w:t>One person may receive multiple offers from different collections or phases.</w:t>
      </w:r>
    </w:p>
    <w:p>
      <w:pPr>
        <w:pStyle w:val="ListBullet"/>
        <w:spacing w:after="80"/>
      </w:pPr>
      <w:r>
        <w:t>A gift recipient who is not attending must use a separately governed recipient identity; do not fabricate an event guest or invitation.</w:t>
      </w:r>
    </w:p>
    <w:p>
      <w:pPr>
        <w:pStyle w:val="ListBullet"/>
        <w:spacing w:after="80"/>
      </w:pPr>
      <w:r>
        <w:t>Vendor references are external identifiers and never replace Maison Doclar IDs.</w:t>
      </w:r>
    </w:p>
    <w:p>
      <w:pPr>
        <w:pStyle w:val="Heading1"/>
      </w:pPr>
      <w:r>
        <w:t>5. Host offer flexibility</w:t>
      </w:r>
    </w:p>
    <w:p>
      <w:pPr>
        <w:pStyle w:val="Heading2"/>
      </w:pPr>
      <w:r>
        <w:t>5.1 Targeting</w:t>
      </w:r>
    </w:p>
    <w:p>
      <w:r>
        <w:t>The host may offer items to named guests, approved guest cohorts, party roles or phase-specific audiences—for example parents, family, friends, bridal party, groomsmen, elders or all reception guests. Relationship and category labels must come from confirmed S04A data or explicit host assignment; the system never guesses them.</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520"/>
            <w:shd w:fill="E8EEF5"/>
            <w:tcMar>
              <w:top w:w="80" w:type="dxa"/>
              <w:start w:w="120" w:type="dxa"/>
              <w:bottom w:w="80" w:type="dxa"/>
              <w:end w:w="120" w:type="dxa"/>
            </w:tcMar>
            <w:vAlign w:val="center"/>
          </w:tcPr>
          <w:p>
            <w:r>
              <w:rPr>
                <w:b/>
                <w:color w:val="0B2545"/>
                <w:sz w:val="18"/>
              </w:rPr>
              <w:t>Offer example</w:t>
            </w:r>
          </w:p>
        </w:tc>
        <w:tc>
          <w:tcPr>
            <w:tcW w:type="dxa" w:w="6840"/>
            <w:shd w:fill="E8EEF5"/>
            <w:tcMar>
              <w:top w:w="80" w:type="dxa"/>
              <w:start w:w="120" w:type="dxa"/>
              <w:bottom w:w="80" w:type="dxa"/>
              <w:end w:w="120" w:type="dxa"/>
            </w:tcMar>
            <w:vAlign w:val="center"/>
          </w:tcPr>
          <w:p>
            <w:r>
              <w:rPr>
                <w:b/>
                <w:color w:val="0B2545"/>
                <w:sz w:val="18"/>
              </w:rPr>
              <w:t>System representation</w:t>
            </w:r>
          </w:p>
        </w:tc>
      </w:tr>
      <w:tr>
        <w:trPr>
          <w:cantSplit/>
        </w:trPr>
        <w:tc>
          <w:tcPr>
            <w:tcW w:type="dxa" w:w="2520"/>
            <w:tcMar>
              <w:top w:w="80" w:type="dxa"/>
              <w:start w:w="120" w:type="dxa"/>
              <w:bottom w:w="80" w:type="dxa"/>
              <w:end w:w="120" w:type="dxa"/>
            </w:tcMar>
            <w:vAlign w:val="top"/>
          </w:tcPr>
          <w:p>
            <w:pPr>
              <w:spacing w:after="0"/>
            </w:pPr>
            <w:r>
              <w:rPr>
                <w:sz w:val="17"/>
              </w:rPr>
              <w:t>Parents</w:t>
            </w:r>
          </w:p>
        </w:tc>
        <w:tc>
          <w:tcPr>
            <w:tcW w:type="dxa" w:w="6840"/>
            <w:tcMar>
              <w:top w:w="80" w:type="dxa"/>
              <w:start w:w="120" w:type="dxa"/>
              <w:bottom w:w="80" w:type="dxa"/>
              <w:end w:w="120" w:type="dxa"/>
            </w:tcMar>
            <w:vAlign w:val="top"/>
          </w:tcPr>
          <w:p>
            <w:pPr>
              <w:spacing w:after="0"/>
            </w:pPr>
            <w:r>
              <w:rPr>
                <w:sz w:val="17"/>
              </w:rPr>
              <w:t>Named guest offers or confirmed relationship cohort; host-sponsored full aso-oke set.</w:t>
            </w:r>
          </w:p>
        </w:tc>
      </w:tr>
      <w:tr>
        <w:trPr>
          <w:cantSplit/>
        </w:trPr>
        <w:tc>
          <w:tcPr>
            <w:tcW w:type="dxa" w:w="2520"/>
            <w:tcMar>
              <w:top w:w="80" w:type="dxa"/>
              <w:start w:w="120" w:type="dxa"/>
              <w:bottom w:w="80" w:type="dxa"/>
              <w:end w:w="120" w:type="dxa"/>
            </w:tcMar>
            <w:vAlign w:val="top"/>
          </w:tcPr>
          <w:p>
            <w:pPr>
              <w:spacing w:after="0"/>
            </w:pPr>
            <w:r>
              <w:rPr>
                <w:sz w:val="17"/>
              </w:rPr>
              <w:t>Friends</w:t>
            </w:r>
          </w:p>
        </w:tc>
        <w:tc>
          <w:tcPr>
            <w:tcW w:type="dxa" w:w="6840"/>
            <w:tcMar>
              <w:top w:w="80" w:type="dxa"/>
              <w:start w:w="120" w:type="dxa"/>
              <w:bottom w:w="80" w:type="dxa"/>
              <w:end w:w="120" w:type="dxa"/>
            </w:tcMar>
            <w:vAlign w:val="top"/>
          </w:tcPr>
          <w:p>
            <w:pPr>
              <w:spacing w:after="0"/>
            </w:pPr>
            <w:r>
              <w:rPr>
                <w:sz w:val="17"/>
              </w:rPr>
              <w:t>Confirmed host cohort; fabric-only or accessory choice.</w:t>
            </w:r>
          </w:p>
        </w:tc>
      </w:tr>
      <w:tr>
        <w:trPr>
          <w:cantSplit/>
        </w:trPr>
        <w:tc>
          <w:tcPr>
            <w:tcW w:type="dxa" w:w="2520"/>
            <w:tcMar>
              <w:top w:w="80" w:type="dxa"/>
              <w:start w:w="120" w:type="dxa"/>
              <w:bottom w:w="80" w:type="dxa"/>
              <w:end w:w="120" w:type="dxa"/>
            </w:tcMar>
            <w:vAlign w:val="top"/>
          </w:tcPr>
          <w:p>
            <w:pPr>
              <w:spacing w:after="0"/>
            </w:pPr>
            <w:r>
              <w:rPr>
                <w:sz w:val="17"/>
              </w:rPr>
              <w:t>Family</w:t>
            </w:r>
          </w:p>
        </w:tc>
        <w:tc>
          <w:tcPr>
            <w:tcW w:type="dxa" w:w="6840"/>
            <w:tcMar>
              <w:top w:w="80" w:type="dxa"/>
              <w:start w:w="120" w:type="dxa"/>
              <w:bottom w:w="80" w:type="dxa"/>
              <w:end w:w="120" w:type="dxa"/>
            </w:tcMar>
            <w:vAlign w:val="top"/>
          </w:tcPr>
          <w:p>
            <w:pPr>
              <w:spacing w:after="0"/>
            </w:pPr>
            <w:r>
              <w:rPr>
                <w:sz w:val="17"/>
              </w:rPr>
              <w:t>Confirmed family cohort with individual exceptions and independent fulfilments.</w:t>
            </w:r>
          </w:p>
        </w:tc>
      </w:tr>
      <w:tr>
        <w:trPr>
          <w:cantSplit/>
        </w:trPr>
        <w:tc>
          <w:tcPr>
            <w:tcW w:type="dxa" w:w="2520"/>
            <w:tcMar>
              <w:top w:w="80" w:type="dxa"/>
              <w:start w:w="120" w:type="dxa"/>
              <w:bottom w:w="80" w:type="dxa"/>
              <w:end w:w="120" w:type="dxa"/>
            </w:tcMar>
            <w:vAlign w:val="top"/>
          </w:tcPr>
          <w:p>
            <w:pPr>
              <w:spacing w:after="0"/>
            </w:pPr>
            <w:r>
              <w:rPr>
                <w:sz w:val="17"/>
              </w:rPr>
              <w:t>Men</w:t>
            </w:r>
          </w:p>
        </w:tc>
        <w:tc>
          <w:tcPr>
            <w:tcW w:type="dxa" w:w="6840"/>
            <w:tcMar>
              <w:top w:w="80" w:type="dxa"/>
              <w:start w:w="120" w:type="dxa"/>
              <w:bottom w:w="80" w:type="dxa"/>
              <w:end w:w="120" w:type="dxa"/>
            </w:tcMar>
            <w:vAlign w:val="top"/>
          </w:tcPr>
          <w:p>
            <w:pPr>
              <w:spacing w:after="0"/>
            </w:pPr>
            <w:r>
              <w:rPr>
                <w:sz w:val="17"/>
              </w:rPr>
              <w:t>Eligible guests may choose standard fila or optional made-to-measure cap.</w:t>
            </w:r>
          </w:p>
        </w:tc>
      </w:tr>
      <w:tr>
        <w:trPr>
          <w:cantSplit/>
        </w:trPr>
        <w:tc>
          <w:tcPr>
            <w:tcW w:type="dxa" w:w="2520"/>
            <w:tcMar>
              <w:top w:w="80" w:type="dxa"/>
              <w:start w:w="120" w:type="dxa"/>
              <w:bottom w:w="80" w:type="dxa"/>
              <w:end w:w="120" w:type="dxa"/>
            </w:tcMar>
            <w:vAlign w:val="top"/>
          </w:tcPr>
          <w:p>
            <w:pPr>
              <w:spacing w:after="0"/>
            </w:pPr>
            <w:r>
              <w:rPr>
                <w:sz w:val="17"/>
              </w:rPr>
              <w:t>Women</w:t>
            </w:r>
          </w:p>
        </w:tc>
        <w:tc>
          <w:tcPr>
            <w:tcW w:type="dxa" w:w="6840"/>
            <w:tcMar>
              <w:top w:w="80" w:type="dxa"/>
              <w:start w:w="120" w:type="dxa"/>
              <w:bottom w:w="80" w:type="dxa"/>
              <w:end w:w="120" w:type="dxa"/>
            </w:tcMar>
            <w:vAlign w:val="top"/>
          </w:tcPr>
          <w:p>
            <w:pPr>
              <w:spacing w:after="0"/>
            </w:pPr>
            <w:r>
              <w:rPr>
                <w:sz w:val="17"/>
              </w:rPr>
              <w:t>Eligible guests may choose gele, ipele or configured combination; no measurement captured.</w:t>
            </w:r>
          </w:p>
        </w:tc>
      </w:tr>
      <w:tr>
        <w:trPr>
          <w:cantSplit/>
        </w:trPr>
        <w:tc>
          <w:tcPr>
            <w:tcW w:type="dxa" w:w="2520"/>
            <w:tcMar>
              <w:top w:w="80" w:type="dxa"/>
              <w:start w:w="120" w:type="dxa"/>
              <w:bottom w:w="80" w:type="dxa"/>
              <w:end w:w="120" w:type="dxa"/>
            </w:tcMar>
            <w:vAlign w:val="top"/>
          </w:tcPr>
          <w:p>
            <w:pPr>
              <w:spacing w:after="0"/>
            </w:pPr>
            <w:r>
              <w:rPr>
                <w:sz w:val="17"/>
              </w:rPr>
              <w:t>Selected individuals</w:t>
            </w:r>
          </w:p>
        </w:tc>
        <w:tc>
          <w:tcPr>
            <w:tcW w:type="dxa" w:w="6840"/>
            <w:tcMar>
              <w:top w:w="80" w:type="dxa"/>
              <w:start w:w="120" w:type="dxa"/>
              <w:bottom w:w="80" w:type="dxa"/>
              <w:end w:w="120" w:type="dxa"/>
            </w:tcMar>
            <w:vAlign w:val="top"/>
          </w:tcPr>
          <w:p>
            <w:pPr>
              <w:spacing w:after="0"/>
            </w:pPr>
            <w:r>
              <w:rPr>
                <w:sz w:val="17"/>
              </w:rPr>
              <w:t>Explicit override with reason; does not change guest tier or event access.</w:t>
            </w:r>
          </w:p>
        </w:tc>
      </w:tr>
      <w:tr>
        <w:trPr>
          <w:cantSplit/>
        </w:trPr>
        <w:tc>
          <w:tcPr>
            <w:tcW w:type="dxa" w:w="2520"/>
            <w:tcMar>
              <w:top w:w="80" w:type="dxa"/>
              <w:start w:w="120" w:type="dxa"/>
              <w:bottom w:w="80" w:type="dxa"/>
              <w:end w:w="120" w:type="dxa"/>
            </w:tcMar>
            <w:vAlign w:val="top"/>
          </w:tcPr>
          <w:p>
            <w:pPr>
              <w:spacing w:after="0"/>
            </w:pPr>
            <w:r>
              <w:rPr>
                <w:sz w:val="17"/>
              </w:rPr>
              <w:t>Different ceremonies</w:t>
            </w:r>
          </w:p>
        </w:tc>
        <w:tc>
          <w:tcPr>
            <w:tcW w:type="dxa" w:w="6840"/>
            <w:tcMar>
              <w:top w:w="80" w:type="dxa"/>
              <w:start w:w="120" w:type="dxa"/>
              <w:bottom w:w="80" w:type="dxa"/>
              <w:end w:w="120" w:type="dxa"/>
            </w:tcMar>
            <w:vAlign w:val="top"/>
          </w:tcPr>
          <w:p>
            <w:pPr>
              <w:spacing w:after="0"/>
            </w:pPr>
            <w:r>
              <w:rPr>
                <w:sz w:val="17"/>
              </w:rPr>
              <w:t>Offer linked to relevant S04B phase(s), such as traditional ceremony only.</w:t>
            </w:r>
          </w:p>
        </w:tc>
      </w:tr>
    </w:tbl>
    <w:p>
      <w:pPr>
        <w:spacing w:after="20"/>
      </w:pPr>
    </w:p>
    <w:p>
      <w:pPr>
        <w:pStyle w:val="Heading2"/>
      </w:pPr>
      <w:r>
        <w:t>5.2 Priority and reconciliation</w:t>
      </w:r>
    </w:p>
    <w:p>
      <w:pPr>
        <w:pStyle w:val="ListBullet"/>
        <w:spacing w:after="80"/>
      </w:pPr>
      <w:r>
        <w:t>Individual host instruction overrides a cohort default only when explicit and audited.</w:t>
      </w:r>
    </w:p>
    <w:p>
      <w:pPr>
        <w:pStyle w:val="ListBullet"/>
        <w:spacing w:after="80"/>
      </w:pPr>
      <w:r>
        <w:t>Conflicting rules produce a review task; they do not silently grant the most expensive or broadest offer.</w:t>
      </w:r>
    </w:p>
    <w:p>
      <w:pPr>
        <w:pStyle w:val="ListBullet"/>
        <w:spacing w:after="80"/>
      </w:pPr>
      <w:r>
        <w:t>Removing a guest from a cohort does not cancel an accepted/fulfilled offer without a governed decision.</w:t>
      </w:r>
    </w:p>
    <w:p>
      <w:pPr>
        <w:pStyle w:val="ListBullet"/>
        <w:spacing w:after="80"/>
      </w:pPr>
      <w:r>
        <w:t>Host sponsorship is an offer attribute, not proof that a vendor has been paid.</w:t>
      </w:r>
    </w:p>
    <w:p>
      <w:pPr>
        <w:pStyle w:val="ListBullet"/>
        <w:spacing w:after="80"/>
      </w:pPr>
      <w:r>
        <w:t>Offer changes preserve prior versions and notify affected operators/guests through governed Communications.</w:t>
      </w:r>
    </w:p>
    <w:p>
      <w:pPr>
        <w:pStyle w:val="Heading1"/>
      </w:pPr>
      <w:r>
        <w:t>6. Guest choice and dignity</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520"/>
            <w:shd w:fill="E8EEF5"/>
            <w:tcMar>
              <w:top w:w="80" w:type="dxa"/>
              <w:start w:w="120" w:type="dxa"/>
              <w:bottom w:w="80" w:type="dxa"/>
              <w:end w:w="120" w:type="dxa"/>
            </w:tcMar>
            <w:vAlign w:val="center"/>
          </w:tcPr>
          <w:p>
            <w:r>
              <w:rPr>
                <w:b/>
                <w:color w:val="0B2545"/>
                <w:sz w:val="18"/>
              </w:rPr>
              <w:t>Choice</w:t>
            </w:r>
          </w:p>
        </w:tc>
        <w:tc>
          <w:tcPr>
            <w:tcW w:type="dxa" w:w="6840"/>
            <w:shd w:fill="E8EEF5"/>
            <w:tcMar>
              <w:top w:w="80" w:type="dxa"/>
              <w:start w:w="120" w:type="dxa"/>
              <w:bottom w:w="80" w:type="dxa"/>
              <w:end w:w="120" w:type="dxa"/>
            </w:tcMar>
            <w:vAlign w:val="center"/>
          </w:tcPr>
          <w:p>
            <w:r>
              <w:rPr>
                <w:b/>
                <w:color w:val="0B2545"/>
                <w:sz w:val="18"/>
              </w:rPr>
              <w:t>Guest experience</w:t>
            </w:r>
          </w:p>
        </w:tc>
      </w:tr>
      <w:tr>
        <w:trPr>
          <w:cantSplit/>
        </w:trPr>
        <w:tc>
          <w:tcPr>
            <w:tcW w:type="dxa" w:w="2520"/>
            <w:tcMar>
              <w:top w:w="80" w:type="dxa"/>
              <w:start w:w="120" w:type="dxa"/>
              <w:bottom w:w="80" w:type="dxa"/>
              <w:end w:w="120" w:type="dxa"/>
            </w:tcMar>
            <w:vAlign w:val="top"/>
          </w:tcPr>
          <w:p>
            <w:pPr>
              <w:spacing w:after="0"/>
            </w:pPr>
            <w:r>
              <w:rPr>
                <w:sz w:val="17"/>
              </w:rPr>
              <w:t>FULL_PARTICIPATION</w:t>
            </w:r>
          </w:p>
        </w:tc>
        <w:tc>
          <w:tcPr>
            <w:tcW w:type="dxa" w:w="6840"/>
            <w:tcMar>
              <w:top w:w="80" w:type="dxa"/>
              <w:start w:w="120" w:type="dxa"/>
              <w:bottom w:w="80" w:type="dxa"/>
              <w:end w:w="120" w:type="dxa"/>
            </w:tcMar>
            <w:vAlign w:val="top"/>
          </w:tcPr>
          <w:p>
            <w:pPr>
              <w:spacing w:after="0"/>
            </w:pPr>
            <w:r>
              <w:rPr>
                <w:sz w:val="17"/>
              </w:rPr>
              <w:t>Accept offered combination and continue to vendor contact.</w:t>
            </w:r>
          </w:p>
        </w:tc>
      </w:tr>
      <w:tr>
        <w:trPr>
          <w:cantSplit/>
        </w:trPr>
        <w:tc>
          <w:tcPr>
            <w:tcW w:type="dxa" w:w="2520"/>
            <w:tcMar>
              <w:top w:w="80" w:type="dxa"/>
              <w:start w:w="120" w:type="dxa"/>
              <w:bottom w:w="80" w:type="dxa"/>
              <w:end w:w="120" w:type="dxa"/>
            </w:tcMar>
            <w:vAlign w:val="top"/>
          </w:tcPr>
          <w:p>
            <w:pPr>
              <w:spacing w:after="0"/>
            </w:pPr>
            <w:r>
              <w:rPr>
                <w:sz w:val="17"/>
              </w:rPr>
              <w:t>FABRIC_ONLY</w:t>
            </w:r>
          </w:p>
        </w:tc>
        <w:tc>
          <w:tcPr>
            <w:tcW w:type="dxa" w:w="6840"/>
            <w:tcMar>
              <w:top w:w="80" w:type="dxa"/>
              <w:start w:w="120" w:type="dxa"/>
              <w:bottom w:w="80" w:type="dxa"/>
              <w:end w:w="120" w:type="dxa"/>
            </w:tcMar>
            <w:vAlign w:val="top"/>
          </w:tcPr>
          <w:p>
            <w:pPr>
              <w:spacing w:after="0"/>
            </w:pPr>
            <w:r>
              <w:rPr>
                <w:sz w:val="17"/>
              </w:rPr>
              <w:t>Receive/buy fabric while arranging tailoring independently.</w:t>
            </w:r>
          </w:p>
        </w:tc>
      </w:tr>
      <w:tr>
        <w:trPr>
          <w:cantSplit/>
        </w:trPr>
        <w:tc>
          <w:tcPr>
            <w:tcW w:type="dxa" w:w="2520"/>
            <w:tcMar>
              <w:top w:w="80" w:type="dxa"/>
              <w:start w:w="120" w:type="dxa"/>
              <w:bottom w:w="80" w:type="dxa"/>
              <w:end w:w="120" w:type="dxa"/>
            </w:tcMar>
            <w:vAlign w:val="top"/>
          </w:tcPr>
          <w:p>
            <w:pPr>
              <w:spacing w:after="0"/>
            </w:pPr>
            <w:r>
              <w:rPr>
                <w:sz w:val="17"/>
              </w:rPr>
              <w:t>ACCESSORY_ONLY</w:t>
            </w:r>
          </w:p>
        </w:tc>
        <w:tc>
          <w:tcPr>
            <w:tcW w:type="dxa" w:w="6840"/>
            <w:tcMar>
              <w:top w:w="80" w:type="dxa"/>
              <w:start w:w="120" w:type="dxa"/>
              <w:bottom w:w="80" w:type="dxa"/>
              <w:end w:w="120" w:type="dxa"/>
            </w:tcMar>
            <w:vAlign w:val="top"/>
          </w:tcPr>
          <w:p>
            <w:pPr>
              <w:spacing w:after="0"/>
            </w:pPr>
            <w:r>
              <w:rPr>
                <w:sz w:val="17"/>
              </w:rPr>
              <w:t>Choose configured item such as gele, ipele or fila.</w:t>
            </w:r>
          </w:p>
        </w:tc>
      </w:tr>
      <w:tr>
        <w:trPr>
          <w:cantSplit/>
        </w:trPr>
        <w:tc>
          <w:tcPr>
            <w:tcW w:type="dxa" w:w="2520"/>
            <w:tcMar>
              <w:top w:w="80" w:type="dxa"/>
              <w:start w:w="120" w:type="dxa"/>
              <w:bottom w:w="80" w:type="dxa"/>
              <w:end w:w="120" w:type="dxa"/>
            </w:tcMar>
            <w:vAlign w:val="top"/>
          </w:tcPr>
          <w:p>
            <w:pPr>
              <w:spacing w:after="0"/>
            </w:pPr>
            <w:r>
              <w:rPr>
                <w:sz w:val="17"/>
              </w:rPr>
              <w:t>ALTERNATIVE</w:t>
            </w:r>
          </w:p>
        </w:tc>
        <w:tc>
          <w:tcPr>
            <w:tcW w:type="dxa" w:w="6840"/>
            <w:tcMar>
              <w:top w:w="80" w:type="dxa"/>
              <w:start w:w="120" w:type="dxa"/>
              <w:bottom w:w="80" w:type="dxa"/>
              <w:end w:w="120" w:type="dxa"/>
            </w:tcMar>
            <w:vAlign w:val="top"/>
          </w:tcPr>
          <w:p>
            <w:pPr>
              <w:spacing w:after="0"/>
            </w:pPr>
            <w:r>
              <w:rPr>
                <w:sz w:val="17"/>
              </w:rPr>
              <w:t>Choose a host-approved complementary item or colour route.</w:t>
            </w:r>
          </w:p>
        </w:tc>
      </w:tr>
      <w:tr>
        <w:trPr>
          <w:cantSplit/>
        </w:trPr>
        <w:tc>
          <w:tcPr>
            <w:tcW w:type="dxa" w:w="2520"/>
            <w:tcMar>
              <w:top w:w="80" w:type="dxa"/>
              <w:start w:w="120" w:type="dxa"/>
              <w:bottom w:w="80" w:type="dxa"/>
              <w:end w:w="120" w:type="dxa"/>
            </w:tcMar>
            <w:vAlign w:val="top"/>
          </w:tcPr>
          <w:p>
            <w:pPr>
              <w:spacing w:after="0"/>
            </w:pPr>
            <w:r>
              <w:rPr>
                <w:sz w:val="17"/>
              </w:rPr>
              <w:t>HOST_SPONSORED</w:t>
            </w:r>
          </w:p>
        </w:tc>
        <w:tc>
          <w:tcPr>
            <w:tcW w:type="dxa" w:w="6840"/>
            <w:tcMar>
              <w:top w:w="80" w:type="dxa"/>
              <w:start w:w="120" w:type="dxa"/>
              <w:bottom w:w="80" w:type="dxa"/>
              <w:end w:w="120" w:type="dxa"/>
            </w:tcMar>
            <w:vAlign w:val="top"/>
          </w:tcPr>
          <w:p>
            <w:pPr>
              <w:spacing w:after="0"/>
            </w:pPr>
            <w:r>
              <w:rPr>
                <w:sz w:val="17"/>
              </w:rPr>
              <w:t>Accept a host-provided item without exposing financial details.</w:t>
            </w:r>
          </w:p>
        </w:tc>
      </w:tr>
      <w:tr>
        <w:trPr>
          <w:cantSplit/>
        </w:trPr>
        <w:tc>
          <w:tcPr>
            <w:tcW w:type="dxa" w:w="2520"/>
            <w:tcMar>
              <w:top w:w="80" w:type="dxa"/>
              <w:start w:w="120" w:type="dxa"/>
              <w:bottom w:w="80" w:type="dxa"/>
              <w:end w:w="120" w:type="dxa"/>
            </w:tcMar>
            <w:vAlign w:val="top"/>
          </w:tcPr>
          <w:p>
            <w:pPr>
              <w:spacing w:after="0"/>
            </w:pPr>
            <w:r>
              <w:rPr>
                <w:sz w:val="17"/>
              </w:rPr>
              <w:t>DECLINE_GRACEFULLY</w:t>
            </w:r>
          </w:p>
        </w:tc>
        <w:tc>
          <w:tcPr>
            <w:tcW w:type="dxa" w:w="6840"/>
            <w:tcMar>
              <w:top w:w="80" w:type="dxa"/>
              <w:start w:w="120" w:type="dxa"/>
              <w:bottom w:w="80" w:type="dxa"/>
              <w:end w:w="120" w:type="dxa"/>
            </w:tcMar>
            <w:vAlign w:val="top"/>
          </w:tcPr>
          <w:p>
            <w:pPr>
              <w:spacing w:after="0"/>
            </w:pPr>
            <w:r>
              <w:rPr>
                <w:sz w:val="17"/>
              </w:rPr>
              <w:t>Private opt-out; no public status or shaming reminder.</w:t>
            </w:r>
          </w:p>
        </w:tc>
      </w:tr>
      <w:tr>
        <w:trPr>
          <w:cantSplit/>
        </w:trPr>
        <w:tc>
          <w:tcPr>
            <w:tcW w:type="dxa" w:w="2520"/>
            <w:tcMar>
              <w:top w:w="80" w:type="dxa"/>
              <w:start w:w="120" w:type="dxa"/>
              <w:bottom w:w="80" w:type="dxa"/>
              <w:end w:w="120" w:type="dxa"/>
            </w:tcMar>
            <w:vAlign w:val="top"/>
          </w:tcPr>
          <w:p>
            <w:pPr>
              <w:spacing w:after="0"/>
            </w:pPr>
            <w:r>
              <w:rPr>
                <w:sz w:val="17"/>
              </w:rPr>
              <w:t>UNDECIDED</w:t>
            </w:r>
          </w:p>
        </w:tc>
        <w:tc>
          <w:tcPr>
            <w:tcW w:type="dxa" w:w="6840"/>
            <w:tcMar>
              <w:top w:w="80" w:type="dxa"/>
              <w:start w:w="120" w:type="dxa"/>
              <w:bottom w:w="80" w:type="dxa"/>
              <w:end w:w="120" w:type="dxa"/>
            </w:tcMar>
            <w:vAlign w:val="top"/>
          </w:tcPr>
          <w:p>
            <w:pPr>
              <w:spacing w:after="0"/>
            </w:pPr>
            <w:r>
              <w:rPr>
                <w:sz w:val="17"/>
              </w:rPr>
              <w:t>Curated, frequency-capped reminder; no pressure language.</w:t>
            </w:r>
          </w:p>
        </w:tc>
      </w:tr>
    </w:tbl>
    <w:p>
      <w:pPr>
        <w:spacing w:after="20"/>
      </w:pPr>
    </w:p>
    <w:p>
      <w:pPr>
        <w:pStyle w:val="Heading2"/>
      </w:pPr>
      <w:r>
        <w:t>6.1 Guest access surface</w:t>
      </w:r>
    </w:p>
    <w:p>
      <w:pPr>
        <w:pStyle w:val="ListBullet"/>
        <w:spacing w:after="80"/>
      </w:pPr>
      <w:r>
        <w:t>Show only that guest’s offer, choices, deadlines, vendor contact and fulfilment milestones.</w:t>
      </w:r>
    </w:p>
    <w:p>
      <w:pPr>
        <w:pStyle w:val="ListBullet"/>
        <w:spacing w:after="80"/>
      </w:pPr>
      <w:r>
        <w:t>Use secure, expiring, revocable guest access consistent with existing Guest Access authority.</w:t>
      </w:r>
    </w:p>
    <w:p>
      <w:pPr>
        <w:pStyle w:val="ListBullet"/>
        <w:spacing w:after="80"/>
      </w:pPr>
      <w:r>
        <w:t>Provide a clear “Contact vendor” action; WhatsApp links may prefill a non-sensitive reference and event/item label.</w:t>
      </w:r>
    </w:p>
    <w:p>
      <w:pPr>
        <w:pStyle w:val="ListBullet"/>
        <w:spacing w:after="80"/>
      </w:pPr>
      <w:r>
        <w:t>Do not place full guest contact, measurements, payment status or other recipients in the URL.</w:t>
      </w:r>
    </w:p>
    <w:p>
      <w:pPr>
        <w:pStyle w:val="ListBullet"/>
        <w:spacing w:after="80"/>
      </w:pPr>
      <w:r>
        <w:t>Allow the guest to withdraw cap-measurement consent and request correction.</w:t>
      </w:r>
    </w:p>
    <w:p>
      <w:pPr>
        <w:pStyle w:val="ListBullet"/>
        <w:spacing w:after="80"/>
      </w:pPr>
      <w:r>
        <w:t>Make opt-out quiet, private and reversible within policy.</w:t>
      </w:r>
    </w:p>
    <w:p>
      <w:pPr>
        <w:pStyle w:val="Heading1"/>
      </w:pPr>
      <w:r>
        <w:t>7. Measurement boundary</w:t>
      </w: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b/>
                <w:color w:val="0B2545"/>
              </w:rPr>
              <w:t xml:space="preserve">MINIMUM DATA RULE  </w:t>
            </w:r>
            <w:r>
              <w:t>Maison Doclar captures no tailoring measurements. The sole exception is optional male-cap head circumference, stored in inches, only where the host/vendor offers a made-to-measure cap and the guest consents.</w:t>
            </w:r>
          </w:p>
        </w:tc>
      </w:tr>
    </w:tbl>
    <w:p>
      <w:pPr>
        <w:spacing w:after="20"/>
      </w:pP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b/>
                <w:color w:val="0B2545"/>
                <w:sz w:val="18"/>
              </w:rPr>
              <w:t>Control</w:t>
            </w:r>
          </w:p>
        </w:tc>
        <w:tc>
          <w:tcPr>
            <w:tcW w:type="dxa" w:w="7128"/>
            <w:shd w:fill="E8EEF5"/>
            <w:tcMar>
              <w:top w:w="80" w:type="dxa"/>
              <w:start w:w="120" w:type="dxa"/>
              <w:bottom w:w="80" w:type="dxa"/>
              <w:end w:w="120" w:type="dxa"/>
            </w:tcMar>
            <w:vAlign w:val="center"/>
          </w:tcPr>
          <w:p>
            <w:r>
              <w:rPr>
                <w:b/>
                <w:color w:val="0B2545"/>
                <w:sz w:val="18"/>
              </w:rPr>
              <w:t>Requirement</w:t>
            </w:r>
          </w:p>
        </w:tc>
      </w:tr>
      <w:tr>
        <w:trPr>
          <w:cantSplit/>
        </w:trPr>
        <w:tc>
          <w:tcPr>
            <w:tcW w:type="dxa" w:w="2232"/>
            <w:tcMar>
              <w:top w:w="80" w:type="dxa"/>
              <w:start w:w="120" w:type="dxa"/>
              <w:bottom w:w="80" w:type="dxa"/>
              <w:end w:w="120" w:type="dxa"/>
            </w:tcMar>
            <w:vAlign w:val="top"/>
          </w:tcPr>
          <w:p>
            <w:pPr>
              <w:spacing w:after="0"/>
            </w:pPr>
            <w:r>
              <w:rPr>
                <w:sz w:val="17"/>
              </w:rPr>
              <w:t>Field</w:t>
            </w:r>
          </w:p>
        </w:tc>
        <w:tc>
          <w:tcPr>
            <w:tcW w:type="dxa" w:w="7128"/>
            <w:tcMar>
              <w:top w:w="80" w:type="dxa"/>
              <w:start w:w="120" w:type="dxa"/>
              <w:bottom w:w="80" w:type="dxa"/>
              <w:end w:w="120" w:type="dxa"/>
            </w:tcMar>
            <w:vAlign w:val="top"/>
          </w:tcPr>
          <w:p>
            <w:pPr>
              <w:spacing w:after="0"/>
            </w:pPr>
            <w:r>
              <w:rPr>
                <w:sz w:val="17"/>
              </w:rPr>
              <w:t>headCircumferenceInches; decimal precision and permitted range configurable after specialist/vendor validation.</w:t>
            </w:r>
          </w:p>
        </w:tc>
      </w:tr>
      <w:tr>
        <w:trPr>
          <w:cantSplit/>
        </w:trPr>
        <w:tc>
          <w:tcPr>
            <w:tcW w:type="dxa" w:w="2232"/>
            <w:tcMar>
              <w:top w:w="80" w:type="dxa"/>
              <w:start w:w="120" w:type="dxa"/>
              <w:bottom w:w="80" w:type="dxa"/>
              <w:end w:w="120" w:type="dxa"/>
            </w:tcMar>
            <w:vAlign w:val="top"/>
          </w:tcPr>
          <w:p>
            <w:pPr>
              <w:spacing w:after="0"/>
            </w:pPr>
            <w:r>
              <w:rPr>
                <w:sz w:val="17"/>
              </w:rPr>
              <w:t>Purpose</w:t>
            </w:r>
          </w:p>
        </w:tc>
        <w:tc>
          <w:tcPr>
            <w:tcW w:type="dxa" w:w="7128"/>
            <w:tcMar>
              <w:top w:w="80" w:type="dxa"/>
              <w:start w:w="120" w:type="dxa"/>
              <w:bottom w:w="80" w:type="dxa"/>
              <w:end w:w="120" w:type="dxa"/>
            </w:tcMar>
            <w:vAlign w:val="top"/>
          </w:tcPr>
          <w:p>
            <w:pPr>
              <w:spacing w:after="0"/>
            </w:pPr>
            <w:r>
              <w:rPr>
                <w:sz w:val="17"/>
              </w:rPr>
              <w:t>Manufacture/selection of the named cap item only.</w:t>
            </w:r>
          </w:p>
        </w:tc>
      </w:tr>
      <w:tr>
        <w:trPr>
          <w:cantSplit/>
        </w:trPr>
        <w:tc>
          <w:tcPr>
            <w:tcW w:type="dxa" w:w="2232"/>
            <w:tcMar>
              <w:top w:w="80" w:type="dxa"/>
              <w:start w:w="120" w:type="dxa"/>
              <w:bottom w:w="80" w:type="dxa"/>
              <w:end w:w="120" w:type="dxa"/>
            </w:tcMar>
            <w:vAlign w:val="top"/>
          </w:tcPr>
          <w:p>
            <w:pPr>
              <w:spacing w:after="0"/>
            </w:pPr>
            <w:r>
              <w:rPr>
                <w:sz w:val="17"/>
              </w:rPr>
              <w:t>Source</w:t>
            </w:r>
          </w:p>
        </w:tc>
        <w:tc>
          <w:tcPr>
            <w:tcW w:type="dxa" w:w="7128"/>
            <w:tcMar>
              <w:top w:w="80" w:type="dxa"/>
              <w:start w:w="120" w:type="dxa"/>
              <w:bottom w:w="80" w:type="dxa"/>
              <w:end w:w="120" w:type="dxa"/>
            </w:tcMar>
            <w:vAlign w:val="top"/>
          </w:tcPr>
          <w:p>
            <w:pPr>
              <w:spacing w:after="0"/>
            </w:pPr>
            <w:r>
              <w:rPr>
                <w:sz w:val="17"/>
              </w:rPr>
              <w:t>Guest-entered, authorised staff-assisted or vendor-reported with explicit provenance.</w:t>
            </w:r>
          </w:p>
        </w:tc>
      </w:tr>
      <w:tr>
        <w:trPr>
          <w:cantSplit/>
        </w:trPr>
        <w:tc>
          <w:tcPr>
            <w:tcW w:type="dxa" w:w="2232"/>
            <w:tcMar>
              <w:top w:w="80" w:type="dxa"/>
              <w:start w:w="120" w:type="dxa"/>
              <w:bottom w:w="80" w:type="dxa"/>
              <w:end w:w="120" w:type="dxa"/>
            </w:tcMar>
            <w:vAlign w:val="top"/>
          </w:tcPr>
          <w:p>
            <w:pPr>
              <w:spacing w:after="0"/>
            </w:pPr>
            <w:r>
              <w:rPr>
                <w:sz w:val="17"/>
              </w:rPr>
              <w:t>Disclosure</w:t>
            </w:r>
          </w:p>
        </w:tc>
        <w:tc>
          <w:tcPr>
            <w:tcW w:type="dxa" w:w="7128"/>
            <w:tcMar>
              <w:top w:w="80" w:type="dxa"/>
              <w:start w:w="120" w:type="dxa"/>
              <w:bottom w:w="80" w:type="dxa"/>
              <w:end w:w="120" w:type="dxa"/>
            </w:tcMar>
            <w:vAlign w:val="top"/>
          </w:tcPr>
          <w:p>
            <w:pPr>
              <w:spacing w:after="0"/>
            </w:pPr>
            <w:r>
              <w:rPr>
                <w:sz w:val="17"/>
              </w:rPr>
              <w:t>Only the assigned vendor and authorised Maison Doclar roles.</w:t>
            </w:r>
          </w:p>
        </w:tc>
      </w:tr>
      <w:tr>
        <w:trPr>
          <w:cantSplit/>
        </w:trPr>
        <w:tc>
          <w:tcPr>
            <w:tcW w:type="dxa" w:w="2232"/>
            <w:tcMar>
              <w:top w:w="80" w:type="dxa"/>
              <w:start w:w="120" w:type="dxa"/>
              <w:bottom w:w="80" w:type="dxa"/>
              <w:end w:w="120" w:type="dxa"/>
            </w:tcMar>
            <w:vAlign w:val="top"/>
          </w:tcPr>
          <w:p>
            <w:pPr>
              <w:spacing w:after="0"/>
            </w:pPr>
            <w:r>
              <w:rPr>
                <w:sz w:val="17"/>
              </w:rPr>
              <w:t>Retention</w:t>
            </w:r>
          </w:p>
        </w:tc>
        <w:tc>
          <w:tcPr>
            <w:tcW w:type="dxa" w:w="7128"/>
            <w:tcMar>
              <w:top w:w="80" w:type="dxa"/>
              <w:start w:w="120" w:type="dxa"/>
              <w:bottom w:w="80" w:type="dxa"/>
              <w:end w:w="120" w:type="dxa"/>
            </w:tcMar>
            <w:vAlign w:val="top"/>
          </w:tcPr>
          <w:p>
            <w:pPr>
              <w:spacing w:after="0"/>
            </w:pPr>
            <w:r>
              <w:rPr>
                <w:sz w:val="17"/>
              </w:rPr>
              <w:t>Purpose-limited; configurable deletion/anonymisation after fulfilment and dispute window.</w:t>
            </w:r>
          </w:p>
        </w:tc>
      </w:tr>
      <w:tr>
        <w:trPr>
          <w:cantSplit/>
        </w:trPr>
        <w:tc>
          <w:tcPr>
            <w:tcW w:type="dxa" w:w="2232"/>
            <w:tcMar>
              <w:top w:w="80" w:type="dxa"/>
              <w:start w:w="120" w:type="dxa"/>
              <w:bottom w:w="80" w:type="dxa"/>
              <w:end w:w="120" w:type="dxa"/>
            </w:tcMar>
            <w:vAlign w:val="top"/>
          </w:tcPr>
          <w:p>
            <w:pPr>
              <w:spacing w:after="0"/>
            </w:pPr>
            <w:r>
              <w:rPr>
                <w:sz w:val="17"/>
              </w:rPr>
              <w:t>Validation</w:t>
            </w:r>
          </w:p>
        </w:tc>
        <w:tc>
          <w:tcPr>
            <w:tcW w:type="dxa" w:w="7128"/>
            <w:tcMar>
              <w:top w:w="80" w:type="dxa"/>
              <w:start w:w="120" w:type="dxa"/>
              <w:bottom w:w="80" w:type="dxa"/>
              <w:end w:w="120" w:type="dxa"/>
            </w:tcMar>
            <w:vAlign w:val="top"/>
          </w:tcPr>
          <w:p>
            <w:pPr>
              <w:spacing w:after="0"/>
            </w:pPr>
            <w:r>
              <w:rPr>
                <w:sz w:val="17"/>
              </w:rPr>
              <w:t>Display measurement guide and confirmation; do not infer from hat size, age, image or demographics.</w:t>
            </w:r>
          </w:p>
        </w:tc>
      </w:tr>
      <w:tr>
        <w:trPr>
          <w:cantSplit/>
        </w:trPr>
        <w:tc>
          <w:tcPr>
            <w:tcW w:type="dxa" w:w="2232"/>
            <w:tcMar>
              <w:top w:w="80" w:type="dxa"/>
              <w:start w:w="120" w:type="dxa"/>
              <w:bottom w:w="80" w:type="dxa"/>
              <w:end w:w="120" w:type="dxa"/>
            </w:tcMar>
            <w:vAlign w:val="top"/>
          </w:tcPr>
          <w:p>
            <w:pPr>
              <w:spacing w:after="0"/>
            </w:pPr>
            <w:r>
              <w:rPr>
                <w:sz w:val="17"/>
              </w:rPr>
              <w:t>Correction</w:t>
            </w:r>
          </w:p>
        </w:tc>
        <w:tc>
          <w:tcPr>
            <w:tcW w:type="dxa" w:w="7128"/>
            <w:tcMar>
              <w:top w:w="80" w:type="dxa"/>
              <w:start w:w="120" w:type="dxa"/>
              <w:bottom w:w="80" w:type="dxa"/>
              <w:end w:w="120" w:type="dxa"/>
            </w:tcMar>
            <w:vAlign w:val="top"/>
          </w:tcPr>
          <w:p>
            <w:pPr>
              <w:spacing w:after="0"/>
            </w:pPr>
            <w:r>
              <w:rPr>
                <w:sz w:val="17"/>
              </w:rPr>
              <w:t>Guest/staff proposal with audit; vendor update cannot overwrite silently.</w:t>
            </w:r>
          </w:p>
        </w:tc>
      </w:tr>
      <w:tr>
        <w:trPr>
          <w:cantSplit/>
        </w:trPr>
        <w:tc>
          <w:tcPr>
            <w:tcW w:type="dxa" w:w="2232"/>
            <w:tcMar>
              <w:top w:w="80" w:type="dxa"/>
              <w:start w:w="120" w:type="dxa"/>
              <w:bottom w:w="80" w:type="dxa"/>
              <w:end w:w="120" w:type="dxa"/>
            </w:tcMar>
            <w:vAlign w:val="top"/>
          </w:tcPr>
          <w:p>
            <w:pPr>
              <w:spacing w:after="0"/>
            </w:pPr>
            <w:r>
              <w:rPr>
                <w:sz w:val="17"/>
              </w:rPr>
              <w:t>All other measurements</w:t>
            </w:r>
          </w:p>
        </w:tc>
        <w:tc>
          <w:tcPr>
            <w:tcW w:type="dxa" w:w="7128"/>
            <w:tcMar>
              <w:top w:w="80" w:type="dxa"/>
              <w:start w:w="120" w:type="dxa"/>
              <w:bottom w:w="80" w:type="dxa"/>
              <w:end w:w="120" w:type="dxa"/>
            </w:tcMar>
            <w:vAlign w:val="top"/>
          </w:tcPr>
          <w:p>
            <w:pPr>
              <w:spacing w:after="0"/>
            </w:pPr>
            <w:r>
              <w:rPr>
                <w:sz w:val="17"/>
              </w:rPr>
              <w:t>Not collected. Vendor arranges directly with guest outside Maison Doclar.</w:t>
            </w:r>
          </w:p>
        </w:tc>
      </w:tr>
    </w:tbl>
    <w:p>
      <w:pPr>
        <w:spacing w:after="20"/>
      </w:pPr>
    </w:p>
    <w:p>
      <w:pPr>
        <w:pStyle w:val="Heading1"/>
      </w:pPr>
      <w:r>
        <w:t>8. Vendor contact and portal boundary</w:t>
      </w:r>
    </w:p>
    <w:p>
      <w:pPr>
        <w:pStyle w:val="Heading2"/>
      </w:pPr>
      <w:r>
        <w:t>8.1 Direct contact links</w:t>
      </w:r>
    </w:p>
    <w:p>
      <w:r>
        <w:t>Maison Doclar may publish approved vendor contact links on the individual guest offer. A WhatsApp deep link can identify the collection, item and a non-secret vendor reference. The vendor and guest then arrange payment, tailoring, fitting and any other measurements directly. Maison Doclar records only the coordination handoff and later milestone reports.</w:t>
      </w:r>
    </w:p>
    <w:p>
      <w:pPr>
        <w:pStyle w:val="Heading2"/>
      </w:pPr>
      <w:r>
        <w:t>8.2 Narrow vendor portal</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376"/>
            <w:shd w:fill="E8EEF5"/>
            <w:tcMar>
              <w:top w:w="80" w:type="dxa"/>
              <w:start w:w="120" w:type="dxa"/>
              <w:bottom w:w="80" w:type="dxa"/>
              <w:end w:w="120" w:type="dxa"/>
            </w:tcMar>
            <w:vAlign w:val="center"/>
          </w:tcPr>
          <w:p>
            <w:r>
              <w:rPr>
                <w:b/>
                <w:color w:val="0B2545"/>
                <w:sz w:val="18"/>
              </w:rPr>
              <w:t>Portal capability</w:t>
            </w:r>
          </w:p>
        </w:tc>
        <w:tc>
          <w:tcPr>
            <w:tcW w:type="dxa" w:w="6984"/>
            <w:shd w:fill="E8EEF5"/>
            <w:tcMar>
              <w:top w:w="80" w:type="dxa"/>
              <w:start w:w="120" w:type="dxa"/>
              <w:bottom w:w="80" w:type="dxa"/>
              <w:end w:w="120" w:type="dxa"/>
            </w:tcMar>
            <w:vAlign w:val="center"/>
          </w:tcPr>
          <w:p>
            <w:r>
              <w:rPr>
                <w:b/>
                <w:color w:val="0B2545"/>
                <w:sz w:val="18"/>
              </w:rPr>
              <w:t>Boundary</w:t>
            </w:r>
          </w:p>
        </w:tc>
      </w:tr>
      <w:tr>
        <w:trPr>
          <w:cantSplit/>
        </w:trPr>
        <w:tc>
          <w:tcPr>
            <w:tcW w:type="dxa" w:w="2376"/>
            <w:tcMar>
              <w:top w:w="80" w:type="dxa"/>
              <w:start w:w="120" w:type="dxa"/>
              <w:bottom w:w="80" w:type="dxa"/>
              <w:end w:w="120" w:type="dxa"/>
            </w:tcMar>
            <w:vAlign w:val="top"/>
          </w:tcPr>
          <w:p>
            <w:pPr>
              <w:spacing w:after="0"/>
            </w:pPr>
            <w:r>
              <w:rPr>
                <w:sz w:val="17"/>
              </w:rPr>
              <w:t>Access</w:t>
            </w:r>
          </w:p>
        </w:tc>
        <w:tc>
          <w:tcPr>
            <w:tcW w:type="dxa" w:w="6984"/>
            <w:tcMar>
              <w:top w:w="80" w:type="dxa"/>
              <w:start w:w="120" w:type="dxa"/>
              <w:bottom w:w="80" w:type="dxa"/>
              <w:end w:w="120" w:type="dxa"/>
            </w:tcMar>
            <w:vAlign w:val="top"/>
          </w:tcPr>
          <w:p>
            <w:pPr>
              <w:spacing w:after="0"/>
            </w:pPr>
            <w:r>
              <w:rPr>
                <w:sz w:val="17"/>
              </w:rPr>
              <w:t>Expiring/revocable assignment token or vendor identity; collection/item/event scope only.</w:t>
            </w:r>
          </w:p>
        </w:tc>
      </w:tr>
      <w:tr>
        <w:trPr>
          <w:cantSplit/>
        </w:trPr>
        <w:tc>
          <w:tcPr>
            <w:tcW w:type="dxa" w:w="2376"/>
            <w:tcMar>
              <w:top w:w="80" w:type="dxa"/>
              <w:start w:w="120" w:type="dxa"/>
              <w:bottom w:w="80" w:type="dxa"/>
              <w:end w:w="120" w:type="dxa"/>
            </w:tcMar>
            <w:vAlign w:val="top"/>
          </w:tcPr>
          <w:p>
            <w:pPr>
              <w:spacing w:after="0"/>
            </w:pPr>
            <w:r>
              <w:rPr>
                <w:sz w:val="17"/>
              </w:rPr>
              <w:t>View</w:t>
            </w:r>
          </w:p>
        </w:tc>
        <w:tc>
          <w:tcPr>
            <w:tcW w:type="dxa" w:w="6984"/>
            <w:tcMar>
              <w:top w:w="80" w:type="dxa"/>
              <w:start w:w="120" w:type="dxa"/>
              <w:bottom w:w="80" w:type="dxa"/>
              <w:end w:w="120" w:type="dxa"/>
            </w:tcMar>
            <w:vAlign w:val="top"/>
          </w:tcPr>
          <w:p>
            <w:pPr>
              <w:spacing w:after="0"/>
            </w:pPr>
            <w:r>
              <w:rPr>
                <w:sz w:val="17"/>
              </w:rPr>
              <w:t>Minimal fulfilment reference, permitted guest display name, selected item/variant and approved contact route.</w:t>
            </w:r>
          </w:p>
        </w:tc>
      </w:tr>
      <w:tr>
        <w:trPr>
          <w:cantSplit/>
        </w:trPr>
        <w:tc>
          <w:tcPr>
            <w:tcW w:type="dxa" w:w="2376"/>
            <w:tcMar>
              <w:top w:w="80" w:type="dxa"/>
              <w:start w:w="120" w:type="dxa"/>
              <w:bottom w:w="80" w:type="dxa"/>
              <w:end w:w="120" w:type="dxa"/>
            </w:tcMar>
            <w:vAlign w:val="top"/>
          </w:tcPr>
          <w:p>
            <w:pPr>
              <w:spacing w:after="0"/>
            </w:pPr>
            <w:r>
              <w:rPr>
                <w:sz w:val="17"/>
              </w:rPr>
              <w:t>Update</w:t>
            </w:r>
          </w:p>
        </w:tc>
        <w:tc>
          <w:tcPr>
            <w:tcW w:type="dxa" w:w="6984"/>
            <w:tcMar>
              <w:top w:w="80" w:type="dxa"/>
              <w:start w:w="120" w:type="dxa"/>
              <w:bottom w:w="80" w:type="dxa"/>
              <w:end w:w="120" w:type="dxa"/>
            </w:tcMar>
            <w:vAlign w:val="top"/>
          </w:tcPr>
          <w:p>
            <w:pPr>
              <w:spacing w:after="0"/>
            </w:pPr>
            <w:r>
              <w:rPr>
                <w:sz w:val="17"/>
              </w:rPr>
              <w:t>Configured milestones, estimated readiness/date, collection/dispatch reference and exception reason.</w:t>
            </w:r>
          </w:p>
        </w:tc>
      </w:tr>
      <w:tr>
        <w:trPr>
          <w:cantSplit/>
        </w:trPr>
        <w:tc>
          <w:tcPr>
            <w:tcW w:type="dxa" w:w="2376"/>
            <w:tcMar>
              <w:top w:w="80" w:type="dxa"/>
              <w:start w:w="120" w:type="dxa"/>
              <w:bottom w:w="80" w:type="dxa"/>
              <w:end w:w="120" w:type="dxa"/>
            </w:tcMar>
            <w:vAlign w:val="top"/>
          </w:tcPr>
          <w:p>
            <w:pPr>
              <w:spacing w:after="0"/>
            </w:pPr>
            <w:r>
              <w:rPr>
                <w:sz w:val="17"/>
              </w:rPr>
              <w:t>Cannot view</w:t>
            </w:r>
          </w:p>
        </w:tc>
        <w:tc>
          <w:tcPr>
            <w:tcW w:type="dxa" w:w="6984"/>
            <w:tcMar>
              <w:top w:w="80" w:type="dxa"/>
              <w:start w:w="120" w:type="dxa"/>
              <w:bottom w:w="80" w:type="dxa"/>
              <w:end w:w="120" w:type="dxa"/>
            </w:tcMar>
            <w:vAlign w:val="top"/>
          </w:tcPr>
          <w:p>
            <w:pPr>
              <w:spacing w:after="0"/>
            </w:pPr>
            <w:r>
              <w:rPr>
                <w:sz w:val="17"/>
              </w:rPr>
              <w:t>Full guest list, RSVP, party relationships, private notes, access credentials or unrelated assignments.</w:t>
            </w:r>
          </w:p>
        </w:tc>
      </w:tr>
      <w:tr>
        <w:trPr>
          <w:cantSplit/>
        </w:trPr>
        <w:tc>
          <w:tcPr>
            <w:tcW w:type="dxa" w:w="2376"/>
            <w:tcMar>
              <w:top w:w="80" w:type="dxa"/>
              <w:start w:w="120" w:type="dxa"/>
              <w:bottom w:w="80" w:type="dxa"/>
              <w:end w:w="120" w:type="dxa"/>
            </w:tcMar>
            <w:vAlign w:val="top"/>
          </w:tcPr>
          <w:p>
            <w:pPr>
              <w:spacing w:after="0"/>
            </w:pPr>
            <w:r>
              <w:rPr>
                <w:sz w:val="17"/>
              </w:rPr>
              <w:t>Cannot edit</w:t>
            </w:r>
          </w:p>
        </w:tc>
        <w:tc>
          <w:tcPr>
            <w:tcW w:type="dxa" w:w="6984"/>
            <w:tcMar>
              <w:top w:w="80" w:type="dxa"/>
              <w:start w:w="120" w:type="dxa"/>
              <w:bottom w:w="80" w:type="dxa"/>
              <w:end w:w="120" w:type="dxa"/>
            </w:tcMar>
            <w:vAlign w:val="top"/>
          </w:tcPr>
          <w:p>
            <w:pPr>
              <w:spacing w:after="0"/>
            </w:pPr>
            <w:r>
              <w:rPr>
                <w:sz w:val="17"/>
              </w:rPr>
              <w:t>Guest identity/contact truth, offer eligibility, RSVP, invitation, payment truth or another vendor’s record.</w:t>
            </w:r>
          </w:p>
        </w:tc>
      </w:tr>
      <w:tr>
        <w:trPr>
          <w:cantSplit/>
        </w:trPr>
        <w:tc>
          <w:tcPr>
            <w:tcW w:type="dxa" w:w="2376"/>
            <w:tcMar>
              <w:top w:w="80" w:type="dxa"/>
              <w:start w:w="120" w:type="dxa"/>
              <w:bottom w:w="80" w:type="dxa"/>
              <w:end w:w="120" w:type="dxa"/>
            </w:tcMar>
            <w:vAlign w:val="top"/>
          </w:tcPr>
          <w:p>
            <w:pPr>
              <w:spacing w:after="0"/>
            </w:pPr>
            <w:r>
              <w:rPr>
                <w:sz w:val="17"/>
              </w:rPr>
              <w:t>Evidence</w:t>
            </w:r>
          </w:p>
        </w:tc>
        <w:tc>
          <w:tcPr>
            <w:tcW w:type="dxa" w:w="6984"/>
            <w:tcMar>
              <w:top w:w="80" w:type="dxa"/>
              <w:start w:w="120" w:type="dxa"/>
              <w:bottom w:w="80" w:type="dxa"/>
              <w:end w:w="120" w:type="dxa"/>
            </w:tcMar>
            <w:vAlign w:val="top"/>
          </w:tcPr>
          <w:p>
            <w:pPr>
              <w:spacing w:after="0"/>
            </w:pPr>
            <w:r>
              <w:rPr>
                <w:sz w:val="17"/>
              </w:rPr>
              <w:t>Optional document/image reference only when justified; malware scanning, retention and role controls required.</w:t>
            </w:r>
          </w:p>
        </w:tc>
      </w:tr>
      <w:tr>
        <w:trPr>
          <w:cantSplit/>
        </w:trPr>
        <w:tc>
          <w:tcPr>
            <w:tcW w:type="dxa" w:w="2376"/>
            <w:tcMar>
              <w:top w:w="80" w:type="dxa"/>
              <w:start w:w="120" w:type="dxa"/>
              <w:bottom w:w="80" w:type="dxa"/>
              <w:end w:w="120" w:type="dxa"/>
            </w:tcMar>
            <w:vAlign w:val="top"/>
          </w:tcPr>
          <w:p>
            <w:pPr>
              <w:spacing w:after="0"/>
            </w:pPr>
            <w:r>
              <w:rPr>
                <w:sz w:val="17"/>
              </w:rPr>
              <w:t>Audit</w:t>
            </w:r>
          </w:p>
        </w:tc>
        <w:tc>
          <w:tcPr>
            <w:tcW w:type="dxa" w:w="6984"/>
            <w:tcMar>
              <w:top w:w="80" w:type="dxa"/>
              <w:start w:w="120" w:type="dxa"/>
              <w:bottom w:w="80" w:type="dxa"/>
              <w:end w:w="120" w:type="dxa"/>
            </w:tcMar>
            <w:vAlign w:val="top"/>
          </w:tcPr>
          <w:p>
            <w:pPr>
              <w:spacing w:after="0"/>
            </w:pPr>
            <w:r>
              <w:rPr>
                <w:sz w:val="17"/>
              </w:rPr>
              <w:t>Vendor actor, assignment, old/new state, local/server time and review outcome.</w:t>
            </w:r>
          </w:p>
        </w:tc>
      </w:tr>
      <w:tr>
        <w:trPr>
          <w:cantSplit/>
        </w:trPr>
        <w:tc>
          <w:tcPr>
            <w:tcW w:type="dxa" w:w="2376"/>
            <w:tcMar>
              <w:top w:w="80" w:type="dxa"/>
              <w:start w:w="120" w:type="dxa"/>
              <w:bottom w:w="80" w:type="dxa"/>
              <w:end w:w="120" w:type="dxa"/>
            </w:tcMar>
            <w:vAlign w:val="top"/>
          </w:tcPr>
          <w:p>
            <w:pPr>
              <w:spacing w:after="0"/>
            </w:pPr>
            <w:r>
              <w:rPr>
                <w:sz w:val="17"/>
              </w:rPr>
              <w:t>Failure</w:t>
            </w:r>
          </w:p>
        </w:tc>
        <w:tc>
          <w:tcPr>
            <w:tcW w:type="dxa" w:w="6984"/>
            <w:tcMar>
              <w:top w:w="80" w:type="dxa"/>
              <w:start w:w="120" w:type="dxa"/>
              <w:bottom w:w="80" w:type="dxa"/>
              <w:end w:w="120" w:type="dxa"/>
            </w:tcMar>
            <w:vAlign w:val="top"/>
          </w:tcPr>
          <w:p>
            <w:pPr>
              <w:spacing w:after="0"/>
            </w:pPr>
            <w:r>
              <w:rPr>
                <w:sz w:val="17"/>
              </w:rPr>
              <w:t>Expired/revoked/ambiguous access fails closed; staff can issue a replacement assignment without copying scope.</w:t>
            </w:r>
          </w:p>
        </w:tc>
      </w:tr>
    </w:tbl>
    <w:p>
      <w:pPr>
        <w:spacing w:after="20"/>
      </w:pP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b/>
                <w:color w:val="0B2545"/>
              </w:rPr>
              <w:t xml:space="preserve">VENDOR-REPORTED TRUTH  </w:t>
            </w:r>
            <w:r>
              <w:t>A vendor update is attributed external evidence, not automatically canonical truth. Consequential changes and discrepancies enter a Maison Doclar review queue.</w:t>
            </w:r>
          </w:p>
        </w:tc>
      </w:tr>
    </w:tbl>
    <w:p>
      <w:pPr>
        <w:spacing w:after="20"/>
      </w:pPr>
    </w:p>
    <w:p>
      <w:pPr>
        <w:pStyle w:val="Heading1"/>
      </w:pPr>
      <w:r>
        <w:t>9. Fulfilment, payment boundary and exceptions</w:t>
      </w:r>
    </w:p>
    <w:p>
      <w:pPr>
        <w:pStyle w:val="Heading2"/>
      </w:pPr>
      <w:r>
        <w:t>9.1 Fulfilment states</w:t>
      </w:r>
    </w:p>
    <w:p>
      <w:r>
        <w:t>OFFERED → GUEST_SELECTED → VENDOR_ACKNOWLEDGED → IN_PREPARATION → READY_FOR_COLLECTION / DISPATCHED → COLLECTED / DELIVERED → CLOSED. Alternative states include DECLINED, ON_HOLD, DELAYED, SHORTAGE, DAMAGED, REPLACEMENT_REQUIRED, UNCOLLECTED, CANCELLED and DISPUTED.</w:t>
      </w:r>
    </w:p>
    <w:p>
      <w:pPr>
        <w:pStyle w:val="Heading2"/>
      </w:pPr>
      <w:r>
        <w:t>9.2 Permitted external commercial status</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952"/>
            <w:shd w:fill="E8EEF5"/>
            <w:tcMar>
              <w:top w:w="80" w:type="dxa"/>
              <w:start w:w="120" w:type="dxa"/>
              <w:bottom w:w="80" w:type="dxa"/>
              <w:end w:w="120" w:type="dxa"/>
            </w:tcMar>
            <w:vAlign w:val="center"/>
          </w:tcPr>
          <w:p>
            <w:r>
              <w:rPr>
                <w:b/>
                <w:color w:val="0B2545"/>
                <w:sz w:val="18"/>
              </w:rPr>
              <w:t>Status</w:t>
            </w:r>
          </w:p>
        </w:tc>
        <w:tc>
          <w:tcPr>
            <w:tcW w:type="dxa" w:w="6408"/>
            <w:shd w:fill="E8EEF5"/>
            <w:tcMar>
              <w:top w:w="80" w:type="dxa"/>
              <w:start w:w="120" w:type="dxa"/>
              <w:bottom w:w="80" w:type="dxa"/>
              <w:end w:w="120" w:type="dxa"/>
            </w:tcMar>
            <w:vAlign w:val="center"/>
          </w:tcPr>
          <w:p>
            <w:r>
              <w:rPr>
                <w:b/>
                <w:color w:val="0B2545"/>
                <w:sz w:val="18"/>
              </w:rPr>
              <w:t>Meaning</w:t>
            </w:r>
          </w:p>
        </w:tc>
      </w:tr>
      <w:tr>
        <w:trPr>
          <w:cantSplit/>
        </w:trPr>
        <w:tc>
          <w:tcPr>
            <w:tcW w:type="dxa" w:w="2952"/>
            <w:tcMar>
              <w:top w:w="80" w:type="dxa"/>
              <w:start w:w="120" w:type="dxa"/>
              <w:bottom w:w="80" w:type="dxa"/>
              <w:end w:w="120" w:type="dxa"/>
            </w:tcMar>
            <w:vAlign w:val="top"/>
          </w:tcPr>
          <w:p>
            <w:pPr>
              <w:spacing w:after="0"/>
            </w:pPr>
            <w:r>
              <w:rPr>
                <w:sz w:val="17"/>
              </w:rPr>
              <w:t>NOT_REQUIRED</w:t>
            </w:r>
          </w:p>
        </w:tc>
        <w:tc>
          <w:tcPr>
            <w:tcW w:type="dxa" w:w="6408"/>
            <w:tcMar>
              <w:top w:w="80" w:type="dxa"/>
              <w:start w:w="120" w:type="dxa"/>
              <w:bottom w:w="80" w:type="dxa"/>
              <w:end w:w="120" w:type="dxa"/>
            </w:tcMar>
            <w:vAlign w:val="top"/>
          </w:tcPr>
          <w:p>
            <w:pPr>
              <w:spacing w:after="0"/>
            </w:pPr>
            <w:r>
              <w:rPr>
                <w:sz w:val="17"/>
              </w:rPr>
              <w:t>No payment is required for this offer.</w:t>
            </w:r>
          </w:p>
        </w:tc>
      </w:tr>
      <w:tr>
        <w:trPr>
          <w:cantSplit/>
        </w:trPr>
        <w:tc>
          <w:tcPr>
            <w:tcW w:type="dxa" w:w="2952"/>
            <w:tcMar>
              <w:top w:w="80" w:type="dxa"/>
              <w:start w:w="120" w:type="dxa"/>
              <w:bottom w:w="80" w:type="dxa"/>
              <w:end w:w="120" w:type="dxa"/>
            </w:tcMar>
            <w:vAlign w:val="top"/>
          </w:tcPr>
          <w:p>
            <w:pPr>
              <w:spacing w:after="0"/>
            </w:pPr>
            <w:r>
              <w:rPr>
                <w:sz w:val="17"/>
              </w:rPr>
              <w:t>PAYMENT_PENDING_WITH_VENDOR</w:t>
            </w:r>
          </w:p>
        </w:tc>
        <w:tc>
          <w:tcPr>
            <w:tcW w:type="dxa" w:w="6408"/>
            <w:tcMar>
              <w:top w:w="80" w:type="dxa"/>
              <w:start w:w="120" w:type="dxa"/>
              <w:bottom w:w="80" w:type="dxa"/>
              <w:end w:w="120" w:type="dxa"/>
            </w:tcMar>
            <w:vAlign w:val="top"/>
          </w:tcPr>
          <w:p>
            <w:pPr>
              <w:spacing w:after="0"/>
            </w:pPr>
            <w:r>
              <w:rPr>
                <w:sz w:val="17"/>
              </w:rPr>
              <w:t>Vendor reports that its direct commercial step remains pending.</w:t>
            </w:r>
          </w:p>
        </w:tc>
      </w:tr>
      <w:tr>
        <w:trPr>
          <w:cantSplit/>
        </w:trPr>
        <w:tc>
          <w:tcPr>
            <w:tcW w:type="dxa" w:w="2952"/>
            <w:tcMar>
              <w:top w:w="80" w:type="dxa"/>
              <w:start w:w="120" w:type="dxa"/>
              <w:bottom w:w="80" w:type="dxa"/>
              <w:end w:w="120" w:type="dxa"/>
            </w:tcMar>
            <w:vAlign w:val="top"/>
          </w:tcPr>
          <w:p>
            <w:pPr>
              <w:spacing w:after="0"/>
            </w:pPr>
            <w:r>
              <w:rPr>
                <w:sz w:val="17"/>
              </w:rPr>
              <w:t>VENDOR_CONFIRMED</w:t>
            </w:r>
          </w:p>
        </w:tc>
        <w:tc>
          <w:tcPr>
            <w:tcW w:type="dxa" w:w="6408"/>
            <w:tcMar>
              <w:top w:w="80" w:type="dxa"/>
              <w:start w:w="120" w:type="dxa"/>
              <w:bottom w:w="80" w:type="dxa"/>
              <w:end w:w="120" w:type="dxa"/>
            </w:tcMar>
            <w:vAlign w:val="top"/>
          </w:tcPr>
          <w:p>
            <w:pPr>
              <w:spacing w:after="0"/>
            </w:pPr>
            <w:r>
              <w:rPr>
                <w:sz w:val="17"/>
              </w:rPr>
              <w:t>Vendor reports its commercial precondition satisfied; not independently verified by Maison Doclar.</w:t>
            </w:r>
          </w:p>
        </w:tc>
      </w:tr>
      <w:tr>
        <w:trPr>
          <w:cantSplit/>
        </w:trPr>
        <w:tc>
          <w:tcPr>
            <w:tcW w:type="dxa" w:w="2952"/>
            <w:tcMar>
              <w:top w:w="80" w:type="dxa"/>
              <w:start w:w="120" w:type="dxa"/>
              <w:bottom w:w="80" w:type="dxa"/>
              <w:end w:w="120" w:type="dxa"/>
            </w:tcMar>
            <w:vAlign w:val="top"/>
          </w:tcPr>
          <w:p>
            <w:pPr>
              <w:spacing w:after="0"/>
            </w:pPr>
            <w:r>
              <w:rPr>
                <w:sz w:val="17"/>
              </w:rPr>
              <w:t>DISPUTED_WITH_VENDOR</w:t>
            </w:r>
          </w:p>
        </w:tc>
        <w:tc>
          <w:tcPr>
            <w:tcW w:type="dxa" w:w="6408"/>
            <w:tcMar>
              <w:top w:w="80" w:type="dxa"/>
              <w:start w:w="120" w:type="dxa"/>
              <w:bottom w:w="80" w:type="dxa"/>
              <w:end w:w="120" w:type="dxa"/>
            </w:tcMar>
            <w:vAlign w:val="top"/>
          </w:tcPr>
          <w:p>
            <w:pPr>
              <w:spacing w:after="0"/>
            </w:pPr>
            <w:r>
              <w:rPr>
                <w:sz w:val="17"/>
              </w:rPr>
              <w:t>Guest/vendor report a commercial dispute; Maison Doclar coordinates communication only.</w:t>
            </w:r>
          </w:p>
        </w:tc>
      </w:tr>
      <w:tr>
        <w:trPr>
          <w:cantSplit/>
        </w:trPr>
        <w:tc>
          <w:tcPr>
            <w:tcW w:type="dxa" w:w="2952"/>
            <w:tcMar>
              <w:top w:w="80" w:type="dxa"/>
              <w:start w:w="120" w:type="dxa"/>
              <w:bottom w:w="80" w:type="dxa"/>
              <w:end w:w="120" w:type="dxa"/>
            </w:tcMar>
            <w:vAlign w:val="top"/>
          </w:tcPr>
          <w:p>
            <w:pPr>
              <w:spacing w:after="0"/>
            </w:pPr>
            <w:r>
              <w:rPr>
                <w:sz w:val="17"/>
              </w:rPr>
              <w:t>WAIVED_OR_HOST_SPONSORED</w:t>
            </w:r>
          </w:p>
        </w:tc>
        <w:tc>
          <w:tcPr>
            <w:tcW w:type="dxa" w:w="6408"/>
            <w:tcMar>
              <w:top w:w="80" w:type="dxa"/>
              <w:start w:w="120" w:type="dxa"/>
              <w:bottom w:w="80" w:type="dxa"/>
              <w:end w:w="120" w:type="dxa"/>
            </w:tcMar>
            <w:vAlign w:val="top"/>
          </w:tcPr>
          <w:p>
            <w:pPr>
              <w:spacing w:after="0"/>
            </w:pPr>
            <w:r>
              <w:rPr>
                <w:sz w:val="17"/>
              </w:rPr>
              <w:t>Vendor/host reports guest payment waived or host-sponsored; no amount stored.</w:t>
            </w:r>
          </w:p>
        </w:tc>
      </w:tr>
    </w:tbl>
    <w:p>
      <w:pPr>
        <w:spacing w:after="20"/>
      </w:pPr>
    </w:p>
    <w:p>
      <w:pPr>
        <w:pStyle w:val="ListBullet"/>
        <w:spacing w:after="80"/>
      </w:pPr>
      <w:r>
        <w:t>Do not store amount paid, balance, price negotiation, bank/card details, receipts or refund records.</w:t>
      </w:r>
    </w:p>
    <w:p>
      <w:pPr>
        <w:pStyle w:val="ListBullet"/>
        <w:spacing w:after="80"/>
      </w:pPr>
      <w:r>
        <w:t>Do not send debt-style reminders or expose one guest’s status to another guest or host audience unless authorised aggregate reporting is explicitly approved.</w:t>
      </w:r>
    </w:p>
    <w:p>
      <w:pPr>
        <w:pStyle w:val="ListBullet"/>
        <w:spacing w:after="80"/>
      </w:pPr>
      <w:r>
        <w:t>Route payment/refund disputes to vendor and guest; Maison Doclar may track coordination status and service risk only.</w:t>
      </w:r>
    </w:p>
    <w:p>
      <w:pPr>
        <w:pStyle w:val="ListBullet"/>
        <w:spacing w:after="80"/>
      </w:pPr>
      <w:r>
        <w:t>Fulfilment exceptions have owner, deadline, contingency, reason, guest-safe message and closure evidence.</w:t>
      </w:r>
    </w:p>
    <w:p>
      <w:pPr>
        <w:pStyle w:val="Heading1"/>
      </w:pPr>
      <w:r>
        <w:t>10. Protected surfaces around Guest List and RSVP</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b/>
                <w:color w:val="0B2545"/>
                <w:sz w:val="18"/>
              </w:rPr>
              <w:t>Surface</w:t>
            </w:r>
          </w:p>
        </w:tc>
        <w:tc>
          <w:tcPr>
            <w:tcW w:type="dxa" w:w="7128"/>
            <w:shd w:fill="E8EEF5"/>
            <w:tcMar>
              <w:top w:w="80" w:type="dxa"/>
              <w:start w:w="120" w:type="dxa"/>
              <w:bottom w:w="80" w:type="dxa"/>
              <w:end w:w="120" w:type="dxa"/>
            </w:tcMar>
            <w:vAlign w:val="center"/>
          </w:tcPr>
          <w:p>
            <w:r>
              <w:rPr>
                <w:b/>
                <w:color w:val="0B2545"/>
                <w:sz w:val="18"/>
              </w:rPr>
              <w:t>Permitted projection</w:t>
            </w:r>
          </w:p>
        </w:tc>
      </w:tr>
      <w:tr>
        <w:trPr>
          <w:cantSplit/>
        </w:trPr>
        <w:tc>
          <w:tcPr>
            <w:tcW w:type="dxa" w:w="2232"/>
            <w:tcMar>
              <w:top w:w="80" w:type="dxa"/>
              <w:start w:w="120" w:type="dxa"/>
              <w:bottom w:w="80" w:type="dxa"/>
              <w:end w:w="120" w:type="dxa"/>
            </w:tcMar>
            <w:vAlign w:val="top"/>
          </w:tcPr>
          <w:p>
            <w:pPr>
              <w:spacing w:after="0"/>
            </w:pPr>
            <w:r>
              <w:rPr>
                <w:sz w:val="17"/>
              </w:rPr>
              <w:t>Guest directory</w:t>
            </w:r>
          </w:p>
        </w:tc>
        <w:tc>
          <w:tcPr>
            <w:tcW w:type="dxa" w:w="7128"/>
            <w:tcMar>
              <w:top w:w="80" w:type="dxa"/>
              <w:start w:w="120" w:type="dxa"/>
              <w:bottom w:w="80" w:type="dxa"/>
              <w:end w:w="120" w:type="dxa"/>
            </w:tcMar>
            <w:vAlign w:val="top"/>
          </w:tcPr>
          <w:p>
            <w:pPr>
              <w:spacing w:after="0"/>
            </w:pPr>
            <w:r>
              <w:rPr>
                <w:sz w:val="17"/>
              </w:rPr>
              <w:t>Small merchandise badge/count and risk indicator for authorised staff; no commercial detail.</w:t>
            </w:r>
          </w:p>
        </w:tc>
      </w:tr>
      <w:tr>
        <w:trPr>
          <w:cantSplit/>
        </w:trPr>
        <w:tc>
          <w:tcPr>
            <w:tcW w:type="dxa" w:w="2232"/>
            <w:tcMar>
              <w:top w:w="80" w:type="dxa"/>
              <w:start w:w="120" w:type="dxa"/>
              <w:bottom w:w="80" w:type="dxa"/>
              <w:end w:w="120" w:type="dxa"/>
            </w:tcMar>
            <w:vAlign w:val="top"/>
          </w:tcPr>
          <w:p>
            <w:pPr>
              <w:spacing w:after="0"/>
            </w:pPr>
            <w:r>
              <w:rPr>
                <w:sz w:val="17"/>
              </w:rPr>
              <w:t>Guest profile</w:t>
            </w:r>
          </w:p>
        </w:tc>
        <w:tc>
          <w:tcPr>
            <w:tcW w:type="dxa" w:w="7128"/>
            <w:tcMar>
              <w:top w:w="80" w:type="dxa"/>
              <w:start w:w="120" w:type="dxa"/>
              <w:bottom w:w="80" w:type="dxa"/>
              <w:end w:w="120" w:type="dxa"/>
            </w:tcMar>
            <w:vAlign w:val="top"/>
          </w:tcPr>
          <w:p>
            <w:pPr>
              <w:spacing w:after="0"/>
            </w:pPr>
            <w:r>
              <w:rPr>
                <w:sz w:val="17"/>
              </w:rPr>
              <w:t>Protected card showing offers, participation, fulfilment and vendor handoff; separate permissions.</w:t>
            </w:r>
          </w:p>
        </w:tc>
      </w:tr>
      <w:tr>
        <w:trPr>
          <w:cantSplit/>
        </w:trPr>
        <w:tc>
          <w:tcPr>
            <w:tcW w:type="dxa" w:w="2232"/>
            <w:tcMar>
              <w:top w:w="80" w:type="dxa"/>
              <w:start w:w="120" w:type="dxa"/>
              <w:bottom w:w="80" w:type="dxa"/>
              <w:end w:w="120" w:type="dxa"/>
            </w:tcMar>
            <w:vAlign w:val="top"/>
          </w:tcPr>
          <w:p>
            <w:pPr>
              <w:spacing w:after="0"/>
            </w:pPr>
            <w:r>
              <w:rPr>
                <w:sz w:val="17"/>
              </w:rPr>
              <w:t>RSVP workspace</w:t>
            </w:r>
          </w:p>
        </w:tc>
        <w:tc>
          <w:tcPr>
            <w:tcW w:type="dxa" w:w="7128"/>
            <w:tcMar>
              <w:top w:w="80" w:type="dxa"/>
              <w:start w:w="120" w:type="dxa"/>
              <w:bottom w:w="80" w:type="dxa"/>
              <w:end w:w="120" w:type="dxa"/>
            </w:tcMar>
            <w:vAlign w:val="top"/>
          </w:tcPr>
          <w:p>
            <w:pPr>
              <w:spacing w:after="0"/>
            </w:pPr>
            <w:r>
              <w:rPr>
                <w:sz w:val="17"/>
              </w:rPr>
              <w:t>Optional prompt/link after RSVP; phase-aware attire information; RSVP remains independently editable.</w:t>
            </w:r>
          </w:p>
        </w:tc>
      </w:tr>
      <w:tr>
        <w:trPr>
          <w:cantSplit/>
        </w:trPr>
        <w:tc>
          <w:tcPr>
            <w:tcW w:type="dxa" w:w="2232"/>
            <w:tcMar>
              <w:top w:w="80" w:type="dxa"/>
              <w:start w:w="120" w:type="dxa"/>
              <w:bottom w:w="80" w:type="dxa"/>
              <w:end w:w="120" w:type="dxa"/>
            </w:tcMar>
            <w:vAlign w:val="top"/>
          </w:tcPr>
          <w:p>
            <w:pPr>
              <w:spacing w:after="0"/>
            </w:pPr>
            <w:r>
              <w:rPr>
                <w:sz w:val="17"/>
              </w:rPr>
              <w:t>Party/household</w:t>
            </w:r>
          </w:p>
        </w:tc>
        <w:tc>
          <w:tcPr>
            <w:tcW w:type="dxa" w:w="7128"/>
            <w:tcMar>
              <w:top w:w="80" w:type="dxa"/>
              <w:start w:w="120" w:type="dxa"/>
              <w:bottom w:w="80" w:type="dxa"/>
              <w:end w:w="120" w:type="dxa"/>
            </w:tcMar>
            <w:vAlign w:val="top"/>
          </w:tcPr>
          <w:p>
            <w:pPr>
              <w:spacing w:after="0"/>
            </w:pPr>
            <w:r>
              <w:rPr>
                <w:sz w:val="17"/>
              </w:rPr>
              <w:t>Aggregate readiness plus individual rows; never one household payment/measurement record.</w:t>
            </w:r>
          </w:p>
        </w:tc>
      </w:tr>
      <w:tr>
        <w:trPr>
          <w:cantSplit/>
        </w:trPr>
        <w:tc>
          <w:tcPr>
            <w:tcW w:type="dxa" w:w="2232"/>
            <w:tcMar>
              <w:top w:w="80" w:type="dxa"/>
              <w:start w:w="120" w:type="dxa"/>
              <w:bottom w:w="80" w:type="dxa"/>
              <w:end w:w="120" w:type="dxa"/>
            </w:tcMar>
            <w:vAlign w:val="top"/>
          </w:tcPr>
          <w:p>
            <w:pPr>
              <w:spacing w:after="0"/>
            </w:pPr>
            <w:r>
              <w:rPr>
                <w:sz w:val="17"/>
              </w:rPr>
              <w:t>Communications</w:t>
            </w:r>
          </w:p>
        </w:tc>
        <w:tc>
          <w:tcPr>
            <w:tcW w:type="dxa" w:w="7128"/>
            <w:tcMar>
              <w:top w:w="80" w:type="dxa"/>
              <w:start w:w="120" w:type="dxa"/>
              <w:bottom w:w="80" w:type="dxa"/>
              <w:end w:w="120" w:type="dxa"/>
            </w:tcMar>
            <w:vAlign w:val="top"/>
          </w:tcPr>
          <w:p>
            <w:pPr>
              <w:spacing w:after="0"/>
            </w:pPr>
            <w:r>
              <w:rPr>
                <w:sz w:val="17"/>
              </w:rPr>
              <w:t>Audience filters by offer/fulfilment state with safe templates and frequency caps.</w:t>
            </w:r>
          </w:p>
        </w:tc>
      </w:tr>
      <w:tr>
        <w:trPr>
          <w:cantSplit/>
        </w:trPr>
        <w:tc>
          <w:tcPr>
            <w:tcW w:type="dxa" w:w="2232"/>
            <w:tcMar>
              <w:top w:w="80" w:type="dxa"/>
              <w:start w:w="120" w:type="dxa"/>
              <w:bottom w:w="80" w:type="dxa"/>
              <w:end w:w="120" w:type="dxa"/>
            </w:tcMar>
            <w:vAlign w:val="top"/>
          </w:tcPr>
          <w:p>
            <w:pPr>
              <w:spacing w:after="0"/>
            </w:pPr>
            <w:r>
              <w:rPr>
                <w:sz w:val="17"/>
              </w:rPr>
              <w:t>Event overview</w:t>
            </w:r>
          </w:p>
        </w:tc>
        <w:tc>
          <w:tcPr>
            <w:tcW w:type="dxa" w:w="7128"/>
            <w:tcMar>
              <w:top w:w="80" w:type="dxa"/>
              <w:start w:w="120" w:type="dxa"/>
              <w:bottom w:w="80" w:type="dxa"/>
              <w:end w:w="120" w:type="dxa"/>
            </w:tcMar>
            <w:vAlign w:val="top"/>
          </w:tcPr>
          <w:p>
            <w:pPr>
              <w:spacing w:after="0"/>
            </w:pPr>
            <w:r>
              <w:rPr>
                <w:sz w:val="17"/>
              </w:rPr>
              <w:t>Collection readiness, deadlines, exception counts and vendor performance; no public personal ledger.</w:t>
            </w:r>
          </w:p>
        </w:tc>
      </w:tr>
      <w:tr>
        <w:trPr>
          <w:cantSplit/>
        </w:trPr>
        <w:tc>
          <w:tcPr>
            <w:tcW w:type="dxa" w:w="2232"/>
            <w:tcMar>
              <w:top w:w="80" w:type="dxa"/>
              <w:start w:w="120" w:type="dxa"/>
              <w:bottom w:w="80" w:type="dxa"/>
              <w:end w:w="120" w:type="dxa"/>
            </w:tcMar>
            <w:vAlign w:val="top"/>
          </w:tcPr>
          <w:p>
            <w:pPr>
              <w:spacing w:after="0"/>
            </w:pPr>
            <w:r>
              <w:rPr>
                <w:sz w:val="17"/>
              </w:rPr>
              <w:t>Guest access</w:t>
            </w:r>
          </w:p>
        </w:tc>
        <w:tc>
          <w:tcPr>
            <w:tcW w:type="dxa" w:w="7128"/>
            <w:tcMar>
              <w:top w:w="80" w:type="dxa"/>
              <w:start w:w="120" w:type="dxa"/>
              <w:bottom w:w="80" w:type="dxa"/>
              <w:end w:w="120" w:type="dxa"/>
            </w:tcMar>
            <w:vAlign w:val="top"/>
          </w:tcPr>
          <w:p>
            <w:pPr>
              <w:spacing w:after="0"/>
            </w:pPr>
            <w:r>
              <w:rPr>
                <w:sz w:val="17"/>
              </w:rPr>
              <w:t>Individualised offer/choice/vendor link/update surface only.</w:t>
            </w:r>
          </w:p>
        </w:tc>
      </w:tr>
      <w:tr>
        <w:trPr>
          <w:cantSplit/>
        </w:trPr>
        <w:tc>
          <w:tcPr>
            <w:tcW w:type="dxa" w:w="2232"/>
            <w:tcMar>
              <w:top w:w="80" w:type="dxa"/>
              <w:start w:w="120" w:type="dxa"/>
              <w:bottom w:w="80" w:type="dxa"/>
              <w:end w:w="120" w:type="dxa"/>
            </w:tcMar>
            <w:vAlign w:val="top"/>
          </w:tcPr>
          <w:p>
            <w:pPr>
              <w:spacing w:after="0"/>
            </w:pPr>
            <w:r>
              <w:rPr>
                <w:sz w:val="17"/>
              </w:rPr>
              <w:t>Vendor portal</w:t>
            </w:r>
          </w:p>
        </w:tc>
        <w:tc>
          <w:tcPr>
            <w:tcW w:type="dxa" w:w="7128"/>
            <w:tcMar>
              <w:top w:w="80" w:type="dxa"/>
              <w:start w:w="120" w:type="dxa"/>
              <w:bottom w:w="80" w:type="dxa"/>
              <w:end w:w="120" w:type="dxa"/>
            </w:tcMar>
            <w:vAlign w:val="top"/>
          </w:tcPr>
          <w:p>
            <w:pPr>
              <w:spacing w:after="0"/>
            </w:pPr>
            <w:r>
              <w:rPr>
                <w:sz w:val="17"/>
              </w:rPr>
              <w:t>Separate route/application boundary with least-privilege data projection; never core navigation.</w:t>
            </w:r>
          </w:p>
        </w:tc>
      </w:tr>
    </w:tbl>
    <w:p>
      <w:pPr>
        <w:spacing w:after="20"/>
      </w:pPr>
    </w:p>
    <w:p>
      <w:pPr>
        <w:pStyle w:val="Heading2"/>
      </w:pPr>
      <w:r>
        <w:t>10.1 Protection design</w:t>
      </w:r>
    </w:p>
    <w:p>
      <w:pPr>
        <w:pStyle w:val="ListBullet"/>
        <w:spacing w:after="80"/>
      </w:pPr>
      <w:r>
        <w:t>Use a dedicated merchandise service/domain and permission namespace.</w:t>
      </w:r>
    </w:p>
    <w:p>
      <w:pPr>
        <w:pStyle w:val="ListBullet"/>
        <w:spacing w:after="80"/>
      </w:pPr>
      <w:r>
        <w:t>Core APIs expose read-only minimal projections; merchandise references core IDs but cannot update core tables.</w:t>
      </w:r>
    </w:p>
    <w:p>
      <w:pPr>
        <w:pStyle w:val="ListBullet"/>
        <w:spacing w:after="80"/>
      </w:pPr>
      <w:r>
        <w:t>Vendor portal uses separate sessions, routes, audit and rate limits; no staff token reuse.</w:t>
      </w:r>
    </w:p>
    <w:p>
      <w:pPr>
        <w:pStyle w:val="ListBullet"/>
        <w:spacing w:after="80"/>
      </w:pPr>
      <w:r>
        <w:t>Guest List/RSVP pages call authorised projection endpoints and render unavailable/hidden states correctly.</w:t>
      </w:r>
    </w:p>
    <w:p>
      <w:pPr>
        <w:pStyle w:val="ListBullet"/>
        <w:spacing w:after="80"/>
      </w:pPr>
      <w:r>
        <w:t>Exports require purpose, scope and expiry; vendor export defaults to assigned fulfilments only.</w:t>
      </w:r>
    </w:p>
    <w:p>
      <w:pPr>
        <w:pStyle w:val="Heading1"/>
      </w:pPr>
      <w:r>
        <w:t>11. Roles and permissions</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376"/>
            <w:shd w:fill="E8EEF5"/>
            <w:tcMar>
              <w:top w:w="80" w:type="dxa"/>
              <w:start w:w="120" w:type="dxa"/>
              <w:bottom w:w="80" w:type="dxa"/>
              <w:end w:w="120" w:type="dxa"/>
            </w:tcMar>
            <w:vAlign w:val="center"/>
          </w:tcPr>
          <w:p>
            <w:r>
              <w:rPr>
                <w:b/>
                <w:color w:val="0B2545"/>
                <w:sz w:val="18"/>
              </w:rPr>
              <w:t>Role</w:t>
            </w:r>
          </w:p>
        </w:tc>
        <w:tc>
          <w:tcPr>
            <w:tcW w:type="dxa" w:w="6984"/>
            <w:shd w:fill="E8EEF5"/>
            <w:tcMar>
              <w:top w:w="80" w:type="dxa"/>
              <w:start w:w="120" w:type="dxa"/>
              <w:bottom w:w="80" w:type="dxa"/>
              <w:end w:w="120" w:type="dxa"/>
            </w:tcMar>
            <w:vAlign w:val="center"/>
          </w:tcPr>
          <w:p>
            <w:r>
              <w:rPr>
                <w:b/>
                <w:color w:val="0B2545"/>
                <w:sz w:val="18"/>
              </w:rPr>
              <w:t>Default intent</w:t>
            </w:r>
          </w:p>
        </w:tc>
      </w:tr>
      <w:tr>
        <w:trPr>
          <w:cantSplit/>
        </w:trPr>
        <w:tc>
          <w:tcPr>
            <w:tcW w:type="dxa" w:w="2376"/>
            <w:tcMar>
              <w:top w:w="80" w:type="dxa"/>
              <w:start w:w="120" w:type="dxa"/>
              <w:bottom w:w="80" w:type="dxa"/>
              <w:end w:w="120" w:type="dxa"/>
            </w:tcMar>
            <w:vAlign w:val="top"/>
          </w:tcPr>
          <w:p>
            <w:pPr>
              <w:spacing w:after="0"/>
            </w:pPr>
            <w:r>
              <w:rPr>
                <w:sz w:val="17"/>
              </w:rPr>
              <w:t>CEO/Host Authority</w:t>
            </w:r>
          </w:p>
        </w:tc>
        <w:tc>
          <w:tcPr>
            <w:tcW w:type="dxa" w:w="6984"/>
            <w:tcMar>
              <w:top w:w="80" w:type="dxa"/>
              <w:start w:w="120" w:type="dxa"/>
              <w:bottom w:w="80" w:type="dxa"/>
              <w:end w:w="120" w:type="dxa"/>
            </w:tcMar>
            <w:vAlign w:val="top"/>
          </w:tcPr>
          <w:p>
            <w:pPr>
              <w:spacing w:after="0"/>
            </w:pPr>
            <w:r>
              <w:rPr>
                <w:sz w:val="17"/>
              </w:rPr>
              <w:t>Approve collections, cohort rules, sponsorship and material exceptions; maker/checker where configured.</w:t>
            </w:r>
          </w:p>
        </w:tc>
      </w:tr>
      <w:tr>
        <w:trPr>
          <w:cantSplit/>
        </w:trPr>
        <w:tc>
          <w:tcPr>
            <w:tcW w:type="dxa" w:w="2376"/>
            <w:tcMar>
              <w:top w:w="80" w:type="dxa"/>
              <w:start w:w="120" w:type="dxa"/>
              <w:bottom w:w="80" w:type="dxa"/>
              <w:end w:w="120" w:type="dxa"/>
            </w:tcMar>
            <w:vAlign w:val="top"/>
          </w:tcPr>
          <w:p>
            <w:pPr>
              <w:spacing w:after="0"/>
            </w:pPr>
            <w:r>
              <w:rPr>
                <w:sz w:val="17"/>
              </w:rPr>
              <w:t>Event Director</w:t>
            </w:r>
          </w:p>
        </w:tc>
        <w:tc>
          <w:tcPr>
            <w:tcW w:type="dxa" w:w="6984"/>
            <w:tcMar>
              <w:top w:w="80" w:type="dxa"/>
              <w:start w:w="120" w:type="dxa"/>
              <w:bottom w:w="80" w:type="dxa"/>
              <w:end w:w="120" w:type="dxa"/>
            </w:tcMar>
            <w:vAlign w:val="top"/>
          </w:tcPr>
          <w:p>
            <w:pPr>
              <w:spacing w:after="0"/>
            </w:pPr>
            <w:r>
              <w:rPr>
                <w:sz w:val="17"/>
              </w:rPr>
              <w:t>Event-scoped readiness, vendor escalation and communication approval.</w:t>
            </w:r>
          </w:p>
        </w:tc>
      </w:tr>
      <w:tr>
        <w:trPr>
          <w:cantSplit/>
        </w:trPr>
        <w:tc>
          <w:tcPr>
            <w:tcW w:type="dxa" w:w="2376"/>
            <w:tcMar>
              <w:top w:w="80" w:type="dxa"/>
              <w:start w:w="120" w:type="dxa"/>
              <w:bottom w:w="80" w:type="dxa"/>
              <w:end w:w="120" w:type="dxa"/>
            </w:tcMar>
            <w:vAlign w:val="top"/>
          </w:tcPr>
          <w:p>
            <w:pPr>
              <w:spacing w:after="0"/>
            </w:pPr>
            <w:r>
              <w:rPr>
                <w:sz w:val="17"/>
              </w:rPr>
              <w:t>Merchandise Coordinator</w:t>
            </w:r>
          </w:p>
        </w:tc>
        <w:tc>
          <w:tcPr>
            <w:tcW w:type="dxa" w:w="6984"/>
            <w:tcMar>
              <w:top w:w="80" w:type="dxa"/>
              <w:start w:w="120" w:type="dxa"/>
              <w:bottom w:w="80" w:type="dxa"/>
              <w:end w:w="120" w:type="dxa"/>
            </w:tcMar>
            <w:vAlign w:val="top"/>
          </w:tcPr>
          <w:p>
            <w:pPr>
              <w:spacing w:after="0"/>
            </w:pPr>
            <w:r>
              <w:rPr>
                <w:sz w:val="17"/>
              </w:rPr>
              <w:t>Administer offers, guest choices, vendor assignments and fulfilment exceptions.</w:t>
            </w:r>
          </w:p>
        </w:tc>
      </w:tr>
      <w:tr>
        <w:trPr>
          <w:cantSplit/>
        </w:trPr>
        <w:tc>
          <w:tcPr>
            <w:tcW w:type="dxa" w:w="2376"/>
            <w:tcMar>
              <w:top w:w="80" w:type="dxa"/>
              <w:start w:w="120" w:type="dxa"/>
              <w:bottom w:w="80" w:type="dxa"/>
              <w:end w:w="120" w:type="dxa"/>
            </w:tcMar>
            <w:vAlign w:val="top"/>
          </w:tcPr>
          <w:p>
            <w:pPr>
              <w:spacing w:after="0"/>
            </w:pPr>
            <w:r>
              <w:rPr>
                <w:sz w:val="17"/>
              </w:rPr>
              <w:t>Guest Concierge</w:t>
            </w:r>
          </w:p>
        </w:tc>
        <w:tc>
          <w:tcPr>
            <w:tcW w:type="dxa" w:w="6984"/>
            <w:tcMar>
              <w:top w:w="80" w:type="dxa"/>
              <w:start w:w="120" w:type="dxa"/>
              <w:bottom w:w="80" w:type="dxa"/>
              <w:end w:w="120" w:type="dxa"/>
            </w:tcMar>
            <w:vAlign w:val="top"/>
          </w:tcPr>
          <w:p>
            <w:pPr>
              <w:spacing w:after="0"/>
            </w:pPr>
            <w:r>
              <w:rPr>
                <w:sz w:val="17"/>
              </w:rPr>
              <w:t>Assist individual guest within assignment; no broad commercial view.</w:t>
            </w:r>
          </w:p>
        </w:tc>
      </w:tr>
      <w:tr>
        <w:trPr>
          <w:cantSplit/>
        </w:trPr>
        <w:tc>
          <w:tcPr>
            <w:tcW w:type="dxa" w:w="2376"/>
            <w:tcMar>
              <w:top w:w="80" w:type="dxa"/>
              <w:start w:w="120" w:type="dxa"/>
              <w:bottom w:w="80" w:type="dxa"/>
              <w:end w:w="120" w:type="dxa"/>
            </w:tcMar>
            <w:vAlign w:val="top"/>
          </w:tcPr>
          <w:p>
            <w:pPr>
              <w:spacing w:after="0"/>
            </w:pPr>
            <w:r>
              <w:rPr>
                <w:sz w:val="17"/>
              </w:rPr>
              <w:t>Vendor Lead</w:t>
            </w:r>
          </w:p>
        </w:tc>
        <w:tc>
          <w:tcPr>
            <w:tcW w:type="dxa" w:w="6984"/>
            <w:tcMar>
              <w:top w:w="80" w:type="dxa"/>
              <w:start w:w="120" w:type="dxa"/>
              <w:bottom w:w="80" w:type="dxa"/>
              <w:end w:w="120" w:type="dxa"/>
            </w:tcMar>
            <w:vAlign w:val="top"/>
          </w:tcPr>
          <w:p>
            <w:pPr>
              <w:spacing w:after="0"/>
            </w:pPr>
            <w:r>
              <w:rPr>
                <w:sz w:val="17"/>
              </w:rPr>
              <w:t>Manage approved vendor interface, evidence and risks.</w:t>
            </w:r>
          </w:p>
        </w:tc>
      </w:tr>
      <w:tr>
        <w:trPr>
          <w:cantSplit/>
        </w:trPr>
        <w:tc>
          <w:tcPr>
            <w:tcW w:type="dxa" w:w="2376"/>
            <w:tcMar>
              <w:top w:w="80" w:type="dxa"/>
              <w:start w:w="120" w:type="dxa"/>
              <w:bottom w:w="80" w:type="dxa"/>
              <w:end w:w="120" w:type="dxa"/>
            </w:tcMar>
            <w:vAlign w:val="top"/>
          </w:tcPr>
          <w:p>
            <w:pPr>
              <w:spacing w:after="0"/>
            </w:pPr>
            <w:r>
              <w:rPr>
                <w:sz w:val="17"/>
              </w:rPr>
              <w:t>Vendor User</w:t>
            </w:r>
          </w:p>
        </w:tc>
        <w:tc>
          <w:tcPr>
            <w:tcW w:type="dxa" w:w="6984"/>
            <w:tcMar>
              <w:top w:w="80" w:type="dxa"/>
              <w:start w:w="120" w:type="dxa"/>
              <w:bottom w:w="80" w:type="dxa"/>
              <w:end w:w="120" w:type="dxa"/>
            </w:tcMar>
            <w:vAlign w:val="top"/>
          </w:tcPr>
          <w:p>
            <w:pPr>
              <w:spacing w:after="0"/>
            </w:pPr>
            <w:r>
              <w:rPr>
                <w:sz w:val="17"/>
              </w:rPr>
              <w:t>Assigned portal records only; no core Event OS access.</w:t>
            </w:r>
          </w:p>
        </w:tc>
      </w:tr>
      <w:tr>
        <w:trPr>
          <w:cantSplit/>
        </w:trPr>
        <w:tc>
          <w:tcPr>
            <w:tcW w:type="dxa" w:w="2376"/>
            <w:tcMar>
              <w:top w:w="80" w:type="dxa"/>
              <w:start w:w="120" w:type="dxa"/>
              <w:bottom w:w="80" w:type="dxa"/>
              <w:end w:w="120" w:type="dxa"/>
            </w:tcMar>
            <w:vAlign w:val="top"/>
          </w:tcPr>
          <w:p>
            <w:pPr>
              <w:spacing w:after="0"/>
            </w:pPr>
            <w:r>
              <w:rPr>
                <w:sz w:val="17"/>
              </w:rPr>
              <w:t>Planner</w:t>
            </w:r>
          </w:p>
        </w:tc>
        <w:tc>
          <w:tcPr>
            <w:tcW w:type="dxa" w:w="6984"/>
            <w:tcMar>
              <w:top w:w="80" w:type="dxa"/>
              <w:start w:w="120" w:type="dxa"/>
              <w:bottom w:w="80" w:type="dxa"/>
              <w:end w:w="120" w:type="dxa"/>
            </w:tcMar>
            <w:vAlign w:val="top"/>
          </w:tcPr>
          <w:p>
            <w:pPr>
              <w:spacing w:after="0"/>
            </w:pPr>
            <w:r>
              <w:rPr>
                <w:sz w:val="17"/>
              </w:rPr>
              <w:t>View protected summary and prepare draft cohorts; no unilateral sponsorship or vendor grant.</w:t>
            </w:r>
          </w:p>
        </w:tc>
      </w:tr>
      <w:tr>
        <w:trPr>
          <w:cantSplit/>
        </w:trPr>
        <w:tc>
          <w:tcPr>
            <w:tcW w:type="dxa" w:w="2376"/>
            <w:tcMar>
              <w:top w:w="80" w:type="dxa"/>
              <w:start w:w="120" w:type="dxa"/>
              <w:bottom w:w="80" w:type="dxa"/>
              <w:end w:w="120" w:type="dxa"/>
            </w:tcMar>
            <w:vAlign w:val="top"/>
          </w:tcPr>
          <w:p>
            <w:pPr>
              <w:spacing w:after="0"/>
            </w:pPr>
            <w:r>
              <w:rPr>
                <w:sz w:val="17"/>
              </w:rPr>
              <w:t>Read-only Auditor</w:t>
            </w:r>
          </w:p>
        </w:tc>
        <w:tc>
          <w:tcPr>
            <w:tcW w:type="dxa" w:w="6984"/>
            <w:tcMar>
              <w:top w:w="80" w:type="dxa"/>
              <w:start w:w="120" w:type="dxa"/>
              <w:bottom w:w="80" w:type="dxa"/>
              <w:end w:w="120" w:type="dxa"/>
            </w:tcMar>
            <w:vAlign w:val="top"/>
          </w:tcPr>
          <w:p>
            <w:pPr>
              <w:spacing w:after="0"/>
            </w:pPr>
            <w:r>
              <w:rPr>
                <w:sz w:val="17"/>
              </w:rPr>
              <w:t>Authorised audit and aggregate evidence; no mutation.</w:t>
            </w:r>
          </w:p>
        </w:tc>
      </w:tr>
      <w:tr>
        <w:trPr>
          <w:cantSplit/>
        </w:trPr>
        <w:tc>
          <w:tcPr>
            <w:tcW w:type="dxa" w:w="2376"/>
            <w:tcMar>
              <w:top w:w="80" w:type="dxa"/>
              <w:start w:w="120" w:type="dxa"/>
              <w:bottom w:w="80" w:type="dxa"/>
              <w:end w:w="120" w:type="dxa"/>
            </w:tcMar>
            <w:vAlign w:val="top"/>
          </w:tcPr>
          <w:p>
            <w:pPr>
              <w:spacing w:after="0"/>
            </w:pPr>
            <w:r>
              <w:rPr>
                <w:sz w:val="17"/>
              </w:rPr>
              <w:t>System Administrator</w:t>
            </w:r>
          </w:p>
        </w:tc>
        <w:tc>
          <w:tcPr>
            <w:tcW w:type="dxa" w:w="6984"/>
            <w:tcMar>
              <w:top w:w="80" w:type="dxa"/>
              <w:start w:w="120" w:type="dxa"/>
              <w:bottom w:w="80" w:type="dxa"/>
              <w:end w:w="120" w:type="dxa"/>
            </w:tcMar>
            <w:vAlign w:val="top"/>
          </w:tcPr>
          <w:p>
            <w:pPr>
              <w:spacing w:after="0"/>
            </w:pPr>
            <w:r>
              <w:rPr>
                <w:sz w:val="17"/>
              </w:rPr>
              <w:t>Technical access only; no business authority by default.</w:t>
            </w:r>
          </w:p>
        </w:tc>
      </w:tr>
    </w:tbl>
    <w:p>
      <w:pPr>
        <w:spacing w:after="20"/>
      </w:pPr>
    </w:p>
    <w:p>
      <w:pPr>
        <w:pStyle w:val="Heading2"/>
      </w:pPr>
      <w:r>
        <w:t>11.1 Permission families</w:t>
      </w:r>
    </w:p>
    <w:p>
      <w:r>
        <w:t>merch.collection.*, merch.offer.*, merch.participation.*, merch.capMeasurement.*, merch.fulfilment.*, merch.vendorAssignment.*, merch.exception.*, merch.report.* and merch.audit.view. Vendor permissions are separate, assignment-scoped capabilities and never inherit staff permissions.</w:t>
      </w:r>
    </w:p>
    <w:p>
      <w:pPr>
        <w:pStyle w:val="Heading1"/>
      </w:pPr>
      <w:r>
        <w:t>12. Migration, API and audit</w:t>
      </w:r>
    </w:p>
    <w:p>
      <w:pPr>
        <w:pStyle w:val="ListBullet"/>
        <w:spacing w:after="80"/>
      </w:pPr>
      <w:r>
        <w:t>Add S04C tables without changing existing eventId, phaseId, guestId, partyId, RSVP or communications history.</w:t>
      </w:r>
    </w:p>
    <w:p>
      <w:pPr>
        <w:pStyle w:val="ListBullet"/>
        <w:spacing w:after="80"/>
      </w:pPr>
      <w:r>
        <w:t>Create no offers, cohorts, family relationships or sponsorship assumptions from existing data.</w:t>
      </w:r>
    </w:p>
    <w:p>
      <w:pPr>
        <w:pStyle w:val="ListBullet"/>
        <w:spacing w:after="80"/>
      </w:pPr>
      <w:r>
        <w:t>All mutations enforce organisation/event/phase/guest/assignment scope server-side, optimistic version and idempotency.</w:t>
      </w:r>
    </w:p>
    <w:p>
      <w:pPr>
        <w:pStyle w:val="ListBullet"/>
        <w:spacing w:after="80"/>
      </w:pPr>
      <w:r>
        <w:t>Imports preview and quarantine ambiguous recipients, item labels, commercial fields and vendor references.</w:t>
      </w:r>
    </w:p>
    <w:p>
      <w:pPr>
        <w:pStyle w:val="ListBullet"/>
        <w:spacing w:after="80"/>
      </w:pPr>
      <w:r>
        <w:t>Reject any import column containing prohibited measurements or financial instruments; report without persisting value.</w:t>
      </w:r>
    </w:p>
    <w:p>
      <w:pPr>
        <w:pStyle w:val="ListBullet"/>
        <w:spacing w:after="80"/>
      </w:pPr>
      <w:r>
        <w:t>Audit attempted and completed actions with correlation IDs while redacting tokens, links, contact details and cap circumference from general logs.</w:t>
      </w:r>
    </w:p>
    <w:p>
      <w:pPr>
        <w:pStyle w:val="ListBullet"/>
        <w:spacing w:after="80"/>
      </w:pPr>
      <w:r>
        <w:t>Use versioned projections and compatibility contracts for Guest List, RSVP, Communications and Guest Access.</w:t>
      </w:r>
    </w:p>
    <w:p>
      <w:pPr>
        <w:pStyle w:val="Heading2"/>
      </w:pPr>
      <w:r>
        <w:t>12.1 Core isolation tests</w:t>
      </w:r>
    </w:p>
    <w:p>
      <w:pPr>
        <w:pStyle w:val="ListBullet"/>
        <w:spacing w:after="80"/>
      </w:pPr>
      <w:r>
        <w:t>Vendor cannot call core Guest/RSVP mutation endpoints.</w:t>
      </w:r>
    </w:p>
    <w:p>
      <w:pPr>
        <w:pStyle w:val="ListBullet"/>
        <w:spacing w:after="80"/>
      </w:pPr>
      <w:r>
        <w:t>Merchandise status cannot change invitation, RSVP, credential or attendance.</w:t>
      </w:r>
    </w:p>
    <w:p>
      <w:pPr>
        <w:pStyle w:val="ListBullet"/>
        <w:spacing w:after="80"/>
      </w:pPr>
      <w:r>
        <w:t>Deleting/revoking vendor assignment does not delete guest or fulfilment history.</w:t>
      </w:r>
    </w:p>
    <w:p>
      <w:pPr>
        <w:pStyle w:val="ListBullet"/>
        <w:spacing w:after="80"/>
      </w:pPr>
      <w:r>
        <w:t>Cross-event and cross-vendor IDs are rejected.</w:t>
      </w:r>
    </w:p>
    <w:p>
      <w:pPr>
        <w:pStyle w:val="ListBullet"/>
        <w:spacing w:after="80"/>
      </w:pPr>
      <w:r>
        <w:t>Guest sees only their own offers; household principal cannot see another adult’s private choice by default.</w:t>
      </w:r>
    </w:p>
    <w:p>
      <w:pPr>
        <w:pStyle w:val="Heading1"/>
      </w:pPr>
      <w:r>
        <w:t>13. Failure and exception handling</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736"/>
            <w:shd w:fill="E8EEF5"/>
            <w:tcMar>
              <w:top w:w="80" w:type="dxa"/>
              <w:start w:w="120" w:type="dxa"/>
              <w:bottom w:w="80" w:type="dxa"/>
              <w:end w:w="120" w:type="dxa"/>
            </w:tcMar>
            <w:vAlign w:val="center"/>
          </w:tcPr>
          <w:p>
            <w:r>
              <w:rPr>
                <w:b/>
                <w:color w:val="0B2545"/>
                <w:sz w:val="18"/>
              </w:rPr>
              <w:t>Condition</w:t>
            </w:r>
          </w:p>
        </w:tc>
        <w:tc>
          <w:tcPr>
            <w:tcW w:type="dxa" w:w="6624"/>
            <w:shd w:fill="E8EEF5"/>
            <w:tcMar>
              <w:top w:w="80" w:type="dxa"/>
              <w:start w:w="120" w:type="dxa"/>
              <w:bottom w:w="80" w:type="dxa"/>
              <w:end w:w="120" w:type="dxa"/>
            </w:tcMar>
            <w:vAlign w:val="center"/>
          </w:tcPr>
          <w:p>
            <w:r>
              <w:rPr>
                <w:b/>
                <w:color w:val="0B2545"/>
                <w:sz w:val="18"/>
              </w:rPr>
              <w:t>Required response</w:t>
            </w:r>
          </w:p>
        </w:tc>
      </w:tr>
      <w:tr>
        <w:trPr>
          <w:cantSplit/>
        </w:trPr>
        <w:tc>
          <w:tcPr>
            <w:tcW w:type="dxa" w:w="2736"/>
            <w:tcMar>
              <w:top w:w="80" w:type="dxa"/>
              <w:start w:w="120" w:type="dxa"/>
              <w:bottom w:w="80" w:type="dxa"/>
              <w:end w:w="120" w:type="dxa"/>
            </w:tcMar>
            <w:vAlign w:val="top"/>
          </w:tcPr>
          <w:p>
            <w:pPr>
              <w:spacing w:after="0"/>
            </w:pPr>
            <w:r>
              <w:rPr>
                <w:sz w:val="17"/>
              </w:rPr>
              <w:t>Conflicting host offers</w:t>
            </w:r>
          </w:p>
        </w:tc>
        <w:tc>
          <w:tcPr>
            <w:tcW w:type="dxa" w:w="6624"/>
            <w:tcMar>
              <w:top w:w="80" w:type="dxa"/>
              <w:start w:w="120" w:type="dxa"/>
              <w:bottom w:w="80" w:type="dxa"/>
              <w:end w:w="120" w:type="dxa"/>
            </w:tcMar>
            <w:vAlign w:val="top"/>
          </w:tcPr>
          <w:p>
            <w:pPr>
              <w:spacing w:after="0"/>
            </w:pPr>
            <w:r>
              <w:rPr>
                <w:sz w:val="17"/>
              </w:rPr>
              <w:t>Hold for review; do not choose broadest/highest-value offer.</w:t>
            </w:r>
          </w:p>
        </w:tc>
      </w:tr>
      <w:tr>
        <w:trPr>
          <w:cantSplit/>
        </w:trPr>
        <w:tc>
          <w:tcPr>
            <w:tcW w:type="dxa" w:w="2736"/>
            <w:tcMar>
              <w:top w:w="80" w:type="dxa"/>
              <w:start w:w="120" w:type="dxa"/>
              <w:bottom w:w="80" w:type="dxa"/>
              <w:end w:w="120" w:type="dxa"/>
            </w:tcMar>
            <w:vAlign w:val="top"/>
          </w:tcPr>
          <w:p>
            <w:pPr>
              <w:spacing w:after="0"/>
            </w:pPr>
            <w:r>
              <w:rPr>
                <w:sz w:val="17"/>
              </w:rPr>
              <w:t>Guest opts out</w:t>
            </w:r>
          </w:p>
        </w:tc>
        <w:tc>
          <w:tcPr>
            <w:tcW w:type="dxa" w:w="6624"/>
            <w:tcMar>
              <w:top w:w="80" w:type="dxa"/>
              <w:start w:w="120" w:type="dxa"/>
              <w:bottom w:w="80" w:type="dxa"/>
              <w:end w:w="120" w:type="dxa"/>
            </w:tcMar>
            <w:vAlign w:val="top"/>
          </w:tcPr>
          <w:p>
            <w:pPr>
              <w:spacing w:after="0"/>
            </w:pPr>
            <w:r>
              <w:rPr>
                <w:sz w:val="17"/>
              </w:rPr>
              <w:t>Record privately; stop reminders; do not alter invitation/RSVP.</w:t>
            </w:r>
          </w:p>
        </w:tc>
      </w:tr>
      <w:tr>
        <w:trPr>
          <w:cantSplit/>
        </w:trPr>
        <w:tc>
          <w:tcPr>
            <w:tcW w:type="dxa" w:w="2736"/>
            <w:tcMar>
              <w:top w:w="80" w:type="dxa"/>
              <w:start w:w="120" w:type="dxa"/>
              <w:bottom w:w="80" w:type="dxa"/>
              <w:end w:w="120" w:type="dxa"/>
            </w:tcMar>
            <w:vAlign w:val="top"/>
          </w:tcPr>
          <w:p>
            <w:pPr>
              <w:spacing w:after="0"/>
            </w:pPr>
            <w:r>
              <w:rPr>
                <w:sz w:val="17"/>
              </w:rPr>
              <w:t>Vendor asks for measurements</w:t>
            </w:r>
          </w:p>
        </w:tc>
        <w:tc>
          <w:tcPr>
            <w:tcW w:type="dxa" w:w="6624"/>
            <w:tcMar>
              <w:top w:w="80" w:type="dxa"/>
              <w:start w:w="120" w:type="dxa"/>
              <w:bottom w:w="80" w:type="dxa"/>
              <w:end w:w="120" w:type="dxa"/>
            </w:tcMar>
            <w:vAlign w:val="top"/>
          </w:tcPr>
          <w:p>
            <w:pPr>
              <w:spacing w:after="0"/>
            </w:pPr>
            <w:r>
              <w:rPr>
                <w:sz w:val="17"/>
              </w:rPr>
              <w:t>Direct guest to vendor; do not add fields except authorised cap circumference.</w:t>
            </w:r>
          </w:p>
        </w:tc>
      </w:tr>
      <w:tr>
        <w:trPr>
          <w:cantSplit/>
        </w:trPr>
        <w:tc>
          <w:tcPr>
            <w:tcW w:type="dxa" w:w="2736"/>
            <w:tcMar>
              <w:top w:w="80" w:type="dxa"/>
              <w:start w:w="120" w:type="dxa"/>
              <w:bottom w:w="80" w:type="dxa"/>
              <w:end w:w="120" w:type="dxa"/>
            </w:tcMar>
            <w:vAlign w:val="top"/>
          </w:tcPr>
          <w:p>
            <w:pPr>
              <w:spacing w:after="0"/>
            </w:pPr>
            <w:r>
              <w:rPr>
                <w:sz w:val="17"/>
              </w:rPr>
              <w:t>Vendor update conflicts with guest</w:t>
            </w:r>
          </w:p>
        </w:tc>
        <w:tc>
          <w:tcPr>
            <w:tcW w:type="dxa" w:w="6624"/>
            <w:tcMar>
              <w:top w:w="80" w:type="dxa"/>
              <w:start w:w="120" w:type="dxa"/>
              <w:bottom w:w="80" w:type="dxa"/>
              <w:end w:w="120" w:type="dxa"/>
            </w:tcMar>
            <w:vAlign w:val="top"/>
          </w:tcPr>
          <w:p>
            <w:pPr>
              <w:spacing w:after="0"/>
            </w:pPr>
            <w:r>
              <w:rPr>
                <w:sz w:val="17"/>
              </w:rPr>
              <w:t>Preserve both reports; create review task; no silent overwrite.</w:t>
            </w:r>
          </w:p>
        </w:tc>
      </w:tr>
      <w:tr>
        <w:trPr>
          <w:cantSplit/>
        </w:trPr>
        <w:tc>
          <w:tcPr>
            <w:tcW w:type="dxa" w:w="2736"/>
            <w:tcMar>
              <w:top w:w="80" w:type="dxa"/>
              <w:start w:w="120" w:type="dxa"/>
              <w:bottom w:w="80" w:type="dxa"/>
              <w:end w:w="120" w:type="dxa"/>
            </w:tcMar>
            <w:vAlign w:val="top"/>
          </w:tcPr>
          <w:p>
            <w:pPr>
              <w:spacing w:after="0"/>
            </w:pPr>
            <w:r>
              <w:rPr>
                <w:sz w:val="17"/>
              </w:rPr>
              <w:t>Vendor token shared/expired</w:t>
            </w:r>
          </w:p>
        </w:tc>
        <w:tc>
          <w:tcPr>
            <w:tcW w:type="dxa" w:w="6624"/>
            <w:tcMar>
              <w:top w:w="80" w:type="dxa"/>
              <w:start w:w="120" w:type="dxa"/>
              <w:bottom w:w="80" w:type="dxa"/>
              <w:end w:w="120" w:type="dxa"/>
            </w:tcMar>
            <w:vAlign w:val="top"/>
          </w:tcPr>
          <w:p>
            <w:pPr>
              <w:spacing w:after="0"/>
            </w:pPr>
            <w:r>
              <w:rPr>
                <w:sz w:val="17"/>
              </w:rPr>
              <w:t>Revoke and reissue minimum scope; audit access attempts.</w:t>
            </w:r>
          </w:p>
        </w:tc>
      </w:tr>
      <w:tr>
        <w:trPr>
          <w:cantSplit/>
        </w:trPr>
        <w:tc>
          <w:tcPr>
            <w:tcW w:type="dxa" w:w="2736"/>
            <w:tcMar>
              <w:top w:w="80" w:type="dxa"/>
              <w:start w:w="120" w:type="dxa"/>
              <w:bottom w:w="80" w:type="dxa"/>
              <w:end w:w="120" w:type="dxa"/>
            </w:tcMar>
            <w:vAlign w:val="top"/>
          </w:tcPr>
          <w:p>
            <w:pPr>
              <w:spacing w:after="0"/>
            </w:pPr>
            <w:r>
              <w:rPr>
                <w:sz w:val="17"/>
              </w:rPr>
              <w:t>Wrong recipient/item</w:t>
            </w:r>
          </w:p>
        </w:tc>
        <w:tc>
          <w:tcPr>
            <w:tcW w:type="dxa" w:w="6624"/>
            <w:tcMar>
              <w:top w:w="80" w:type="dxa"/>
              <w:start w:w="120" w:type="dxa"/>
              <w:bottom w:w="80" w:type="dxa"/>
              <w:end w:w="120" w:type="dxa"/>
            </w:tcMar>
            <w:vAlign w:val="top"/>
          </w:tcPr>
          <w:p>
            <w:pPr>
              <w:spacing w:after="0"/>
            </w:pPr>
            <w:r>
              <w:rPr>
                <w:sz w:val="17"/>
              </w:rPr>
              <w:t>Freeze fulfilment, verify identity and append correction/replacement.</w:t>
            </w:r>
          </w:p>
        </w:tc>
      </w:tr>
      <w:tr>
        <w:trPr>
          <w:cantSplit/>
        </w:trPr>
        <w:tc>
          <w:tcPr>
            <w:tcW w:type="dxa" w:w="2736"/>
            <w:tcMar>
              <w:top w:w="80" w:type="dxa"/>
              <w:start w:w="120" w:type="dxa"/>
              <w:bottom w:w="80" w:type="dxa"/>
              <w:end w:w="120" w:type="dxa"/>
            </w:tcMar>
            <w:vAlign w:val="top"/>
          </w:tcPr>
          <w:p>
            <w:pPr>
              <w:spacing w:after="0"/>
            </w:pPr>
            <w:r>
              <w:rPr>
                <w:sz w:val="17"/>
              </w:rPr>
              <w:t>Delay/shortage</w:t>
            </w:r>
          </w:p>
        </w:tc>
        <w:tc>
          <w:tcPr>
            <w:tcW w:type="dxa" w:w="6624"/>
            <w:tcMar>
              <w:top w:w="80" w:type="dxa"/>
              <w:start w:w="120" w:type="dxa"/>
              <w:bottom w:w="80" w:type="dxa"/>
              <w:end w:w="120" w:type="dxa"/>
            </w:tcMar>
            <w:vAlign w:val="top"/>
          </w:tcPr>
          <w:p>
            <w:pPr>
              <w:spacing w:after="0"/>
            </w:pPr>
            <w:r>
              <w:rPr>
                <w:sz w:val="17"/>
              </w:rPr>
              <w:t>Show risk, contingency owner and guest-safe communication approval.</w:t>
            </w:r>
          </w:p>
        </w:tc>
      </w:tr>
      <w:tr>
        <w:trPr>
          <w:cantSplit/>
        </w:trPr>
        <w:tc>
          <w:tcPr>
            <w:tcW w:type="dxa" w:w="2736"/>
            <w:tcMar>
              <w:top w:w="80" w:type="dxa"/>
              <w:start w:w="120" w:type="dxa"/>
              <w:bottom w:w="80" w:type="dxa"/>
              <w:end w:w="120" w:type="dxa"/>
            </w:tcMar>
            <w:vAlign w:val="top"/>
          </w:tcPr>
          <w:p>
            <w:pPr>
              <w:spacing w:after="0"/>
            </w:pPr>
            <w:r>
              <w:rPr>
                <w:sz w:val="17"/>
              </w:rPr>
              <w:t>Payment dispute</w:t>
            </w:r>
          </w:p>
        </w:tc>
        <w:tc>
          <w:tcPr>
            <w:tcW w:type="dxa" w:w="6624"/>
            <w:tcMar>
              <w:top w:w="80" w:type="dxa"/>
              <w:start w:w="120" w:type="dxa"/>
              <w:bottom w:w="80" w:type="dxa"/>
              <w:end w:w="120" w:type="dxa"/>
            </w:tcMar>
            <w:vAlign w:val="top"/>
          </w:tcPr>
          <w:p>
            <w:pPr>
              <w:spacing w:after="0"/>
            </w:pPr>
            <w:r>
              <w:rPr>
                <w:sz w:val="17"/>
              </w:rPr>
              <w:t>Mark DISPUTED_WITH_VENDOR; refer parties; store no amount/receipt.</w:t>
            </w:r>
          </w:p>
        </w:tc>
      </w:tr>
      <w:tr>
        <w:trPr>
          <w:cantSplit/>
        </w:trPr>
        <w:tc>
          <w:tcPr>
            <w:tcW w:type="dxa" w:w="2736"/>
            <w:tcMar>
              <w:top w:w="80" w:type="dxa"/>
              <w:start w:w="120" w:type="dxa"/>
              <w:bottom w:w="80" w:type="dxa"/>
              <w:end w:w="120" w:type="dxa"/>
            </w:tcMar>
            <w:vAlign w:val="top"/>
          </w:tcPr>
          <w:p>
            <w:pPr>
              <w:spacing w:after="0"/>
            </w:pPr>
            <w:r>
              <w:rPr>
                <w:sz w:val="17"/>
              </w:rPr>
              <w:t>Guest contact changes</w:t>
            </w:r>
          </w:p>
        </w:tc>
        <w:tc>
          <w:tcPr>
            <w:tcW w:type="dxa" w:w="6624"/>
            <w:tcMar>
              <w:top w:w="80" w:type="dxa"/>
              <w:start w:w="120" w:type="dxa"/>
              <w:bottom w:w="80" w:type="dxa"/>
              <w:end w:w="120" w:type="dxa"/>
            </w:tcMar>
            <w:vAlign w:val="top"/>
          </w:tcPr>
          <w:p>
            <w:pPr>
              <w:spacing w:after="0"/>
            </w:pPr>
            <w:r>
              <w:rPr>
                <w:sz w:val="17"/>
              </w:rPr>
              <w:t>Use governed S04 correction; vendor cannot update canonical contact.</w:t>
            </w:r>
          </w:p>
        </w:tc>
      </w:tr>
      <w:tr>
        <w:trPr>
          <w:cantSplit/>
        </w:trPr>
        <w:tc>
          <w:tcPr>
            <w:tcW w:type="dxa" w:w="2736"/>
            <w:tcMar>
              <w:top w:w="80" w:type="dxa"/>
              <w:start w:w="120" w:type="dxa"/>
              <w:bottom w:w="80" w:type="dxa"/>
              <w:end w:w="120" w:type="dxa"/>
            </w:tcMar>
            <w:vAlign w:val="top"/>
          </w:tcPr>
          <w:p>
            <w:pPr>
              <w:spacing w:after="0"/>
            </w:pPr>
            <w:r>
              <w:rPr>
                <w:sz w:val="17"/>
              </w:rPr>
              <w:t>Host changes cohort</w:t>
            </w:r>
          </w:p>
        </w:tc>
        <w:tc>
          <w:tcPr>
            <w:tcW w:type="dxa" w:w="6624"/>
            <w:tcMar>
              <w:top w:w="80" w:type="dxa"/>
              <w:start w:w="120" w:type="dxa"/>
              <w:bottom w:w="80" w:type="dxa"/>
              <w:end w:w="120" w:type="dxa"/>
            </w:tcMar>
            <w:vAlign w:val="top"/>
          </w:tcPr>
          <w:p>
            <w:pPr>
              <w:spacing w:after="0"/>
            </w:pPr>
            <w:r>
              <w:rPr>
                <w:sz w:val="17"/>
              </w:rPr>
              <w:t>Preview impacted individual offers and accepted fulfilments before approval.</w:t>
            </w:r>
          </w:p>
        </w:tc>
      </w:tr>
      <w:tr>
        <w:trPr>
          <w:cantSplit/>
        </w:trPr>
        <w:tc>
          <w:tcPr>
            <w:tcW w:type="dxa" w:w="2736"/>
            <w:tcMar>
              <w:top w:w="80" w:type="dxa"/>
              <w:start w:w="120" w:type="dxa"/>
              <w:bottom w:w="80" w:type="dxa"/>
              <w:end w:w="120" w:type="dxa"/>
            </w:tcMar>
            <w:vAlign w:val="top"/>
          </w:tcPr>
          <w:p>
            <w:pPr>
              <w:spacing w:after="0"/>
            </w:pPr>
            <w:r>
              <w:rPr>
                <w:sz w:val="17"/>
              </w:rPr>
              <w:t>Prohibited data submitted</w:t>
            </w:r>
          </w:p>
        </w:tc>
        <w:tc>
          <w:tcPr>
            <w:tcW w:type="dxa" w:w="6624"/>
            <w:tcMar>
              <w:top w:w="80" w:type="dxa"/>
              <w:start w:w="120" w:type="dxa"/>
              <w:bottom w:w="80" w:type="dxa"/>
              <w:end w:w="120" w:type="dxa"/>
            </w:tcMar>
            <w:vAlign w:val="top"/>
          </w:tcPr>
          <w:p>
            <w:pPr>
              <w:spacing w:after="0"/>
            </w:pPr>
            <w:r>
              <w:rPr>
                <w:sz w:val="17"/>
              </w:rPr>
              <w:t>Reject/redact; alert authorised privacy/security role; do not persist.</w:t>
            </w:r>
          </w:p>
        </w:tc>
      </w:tr>
      <w:tr>
        <w:trPr>
          <w:cantSplit/>
        </w:trPr>
        <w:tc>
          <w:tcPr>
            <w:tcW w:type="dxa" w:w="2736"/>
            <w:tcMar>
              <w:top w:w="80" w:type="dxa"/>
              <w:start w:w="120" w:type="dxa"/>
              <w:bottom w:w="80" w:type="dxa"/>
              <w:end w:w="120" w:type="dxa"/>
            </w:tcMar>
            <w:vAlign w:val="top"/>
          </w:tcPr>
          <w:p>
            <w:pPr>
              <w:spacing w:after="0"/>
            </w:pPr>
            <w:r>
              <w:rPr>
                <w:sz w:val="17"/>
              </w:rPr>
              <w:t>Provider unavailable</w:t>
            </w:r>
          </w:p>
        </w:tc>
        <w:tc>
          <w:tcPr>
            <w:tcW w:type="dxa" w:w="6624"/>
            <w:tcMar>
              <w:top w:w="80" w:type="dxa"/>
              <w:start w:w="120" w:type="dxa"/>
              <w:bottom w:w="80" w:type="dxa"/>
              <w:end w:w="120" w:type="dxa"/>
            </w:tcMar>
            <w:vAlign w:val="top"/>
          </w:tcPr>
          <w:p>
            <w:pPr>
              <w:spacing w:after="0"/>
            </w:pPr>
            <w:r>
              <w:rPr>
                <w:sz w:val="17"/>
              </w:rPr>
              <w:t>Preserve draft/update queue and show uncertainty; no invented completion.</w:t>
            </w:r>
          </w:p>
        </w:tc>
      </w:tr>
    </w:tbl>
    <w:p>
      <w:pPr>
        <w:spacing w:after="20"/>
      </w:pPr>
    </w:p>
    <w:p>
      <w:pPr>
        <w:pStyle w:val="Heading1"/>
      </w:pPr>
      <w:r>
        <w:t>14. Acceptance criteria and automated verification</w:t>
      </w:r>
    </w:p>
    <w:p>
      <w:pPr>
        <w:pStyle w:val="ListBullet"/>
        <w:spacing w:after="80"/>
      </w:pPr>
      <w:r>
        <w:t>Host can offer different aso-oke items to parents, family, friends and named guests without inferred relationships.</w:t>
      </w:r>
    </w:p>
    <w:p>
      <w:pPr>
        <w:pStyle w:val="ListBullet"/>
        <w:spacing w:after="80"/>
      </w:pPr>
      <w:r>
        <w:t>Every eligible guest receives an independent offer/participation/fulfilment record.</w:t>
      </w:r>
    </w:p>
    <w:p>
      <w:pPr>
        <w:pStyle w:val="ListBullet"/>
        <w:spacing w:after="80"/>
      </w:pPr>
      <w:r>
        <w:t>Only optional male-cap circumference in inches is captured; all other measurements are absent and rejected.</w:t>
      </w:r>
    </w:p>
    <w:p>
      <w:pPr>
        <w:pStyle w:val="ListBullet"/>
        <w:spacing w:after="80"/>
      </w:pPr>
      <w:r>
        <w:t>Guests can privately accept, choose an alternative or opt out without public exposure.</w:t>
      </w:r>
    </w:p>
    <w:p>
      <w:pPr>
        <w:pStyle w:val="ListBullet"/>
        <w:spacing w:after="80"/>
      </w:pPr>
      <w:r>
        <w:t>Approved WhatsApp/vendor links contain no full PII, payment information or secret credential.</w:t>
      </w:r>
    </w:p>
    <w:p>
      <w:pPr>
        <w:pStyle w:val="ListBullet"/>
        <w:spacing w:after="80"/>
      </w:pPr>
      <w:r>
        <w:t>Vendor portal is assignment-scoped and cannot access or mutate core Guest List/RSVP truth.</w:t>
      </w:r>
    </w:p>
    <w:p>
      <w:pPr>
        <w:pStyle w:val="ListBullet"/>
        <w:spacing w:after="80"/>
      </w:pPr>
      <w:r>
        <w:t>Vendor milestones appear as attributed external reports and can feed approved guest updates.</w:t>
      </w:r>
    </w:p>
    <w:p>
      <w:pPr>
        <w:pStyle w:val="ListBullet"/>
        <w:spacing w:after="80"/>
      </w:pPr>
      <w:r>
        <w:t>Maison Doclar stores no amount, balance, receipt, bank/card data or refund record.</w:t>
      </w:r>
    </w:p>
    <w:p>
      <w:pPr>
        <w:pStyle w:val="ListBullet"/>
        <w:spacing w:after="80"/>
      </w:pPr>
      <w:r>
        <w:t>Merchandise summaries appear beside Guest List/RSVP through protected projections.</w:t>
      </w:r>
    </w:p>
    <w:p>
      <w:pPr>
        <w:pStyle w:val="ListBullet"/>
        <w:spacing w:after="80"/>
      </w:pPr>
      <w:r>
        <w:t>Merchandise never changes invitation, RSVP, access or attendance.</w:t>
      </w:r>
    </w:p>
    <w:p>
      <w:pPr>
        <w:pStyle w:val="ListBullet"/>
        <w:spacing w:after="80"/>
      </w:pPr>
      <w:r>
        <w:t>EOS-S05 remains absent; production remains unauthorised and protected gates unsigned.</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088"/>
            <w:shd w:fill="E8EEF5"/>
            <w:tcMar>
              <w:top w:w="80" w:type="dxa"/>
              <w:start w:w="120" w:type="dxa"/>
              <w:bottom w:w="80" w:type="dxa"/>
              <w:end w:w="120" w:type="dxa"/>
            </w:tcMar>
            <w:vAlign w:val="center"/>
          </w:tcPr>
          <w:p>
            <w:r>
              <w:rPr>
                <w:b/>
                <w:color w:val="0B2545"/>
                <w:sz w:val="18"/>
              </w:rPr>
              <w:t>Test layer</w:t>
            </w:r>
          </w:p>
        </w:tc>
        <w:tc>
          <w:tcPr>
            <w:tcW w:type="dxa" w:w="7272"/>
            <w:shd w:fill="E8EEF5"/>
            <w:tcMar>
              <w:top w:w="80" w:type="dxa"/>
              <w:start w:w="120" w:type="dxa"/>
              <w:bottom w:w="80" w:type="dxa"/>
              <w:end w:w="120" w:type="dxa"/>
            </w:tcMar>
            <w:vAlign w:val="center"/>
          </w:tcPr>
          <w:p>
            <w:r>
              <w:rPr>
                <w:b/>
                <w:color w:val="0B2545"/>
                <w:sz w:val="18"/>
              </w:rPr>
              <w:t>Minimum verification</w:t>
            </w:r>
          </w:p>
        </w:tc>
      </w:tr>
      <w:tr>
        <w:trPr>
          <w:cantSplit/>
        </w:trPr>
        <w:tc>
          <w:tcPr>
            <w:tcW w:type="dxa" w:w="2088"/>
            <w:tcMar>
              <w:top w:w="80" w:type="dxa"/>
              <w:start w:w="120" w:type="dxa"/>
              <w:bottom w:w="80" w:type="dxa"/>
              <w:end w:w="120" w:type="dxa"/>
            </w:tcMar>
            <w:vAlign w:val="top"/>
          </w:tcPr>
          <w:p>
            <w:pPr>
              <w:spacing w:after="0"/>
            </w:pPr>
            <w:r>
              <w:rPr>
                <w:sz w:val="17"/>
              </w:rPr>
              <w:t>Domain</w:t>
            </w:r>
          </w:p>
        </w:tc>
        <w:tc>
          <w:tcPr>
            <w:tcW w:type="dxa" w:w="7272"/>
            <w:tcMar>
              <w:top w:w="80" w:type="dxa"/>
              <w:start w:w="120" w:type="dxa"/>
              <w:bottom w:w="80" w:type="dxa"/>
              <w:end w:w="120" w:type="dxa"/>
            </w:tcMar>
            <w:vAlign w:val="top"/>
          </w:tcPr>
          <w:p>
            <w:pPr>
              <w:spacing w:after="0"/>
            </w:pPr>
            <w:r>
              <w:rPr>
                <w:sz w:val="17"/>
              </w:rPr>
              <w:t>Collections, offers, participation, cap measurement, fulfilment, vendor states and exceptions.</w:t>
            </w:r>
          </w:p>
        </w:tc>
      </w:tr>
      <w:tr>
        <w:trPr>
          <w:cantSplit/>
        </w:trPr>
        <w:tc>
          <w:tcPr>
            <w:tcW w:type="dxa" w:w="2088"/>
            <w:tcMar>
              <w:top w:w="80" w:type="dxa"/>
              <w:start w:w="120" w:type="dxa"/>
              <w:bottom w:w="80" w:type="dxa"/>
              <w:end w:w="120" w:type="dxa"/>
            </w:tcMar>
            <w:vAlign w:val="top"/>
          </w:tcPr>
          <w:p>
            <w:pPr>
              <w:spacing w:after="0"/>
            </w:pPr>
            <w:r>
              <w:rPr>
                <w:sz w:val="17"/>
              </w:rPr>
              <w:t>Permissions</w:t>
            </w:r>
          </w:p>
        </w:tc>
        <w:tc>
          <w:tcPr>
            <w:tcW w:type="dxa" w:w="7272"/>
            <w:tcMar>
              <w:top w:w="80" w:type="dxa"/>
              <w:start w:w="120" w:type="dxa"/>
              <w:bottom w:w="80" w:type="dxa"/>
              <w:end w:w="120" w:type="dxa"/>
            </w:tcMar>
            <w:vAlign w:val="top"/>
          </w:tcPr>
          <w:p>
            <w:pPr>
              <w:spacing w:after="0"/>
            </w:pPr>
            <w:r>
              <w:rPr>
                <w:sz w:val="17"/>
              </w:rPr>
              <w:t>Host/coordinator/planner/concierge/vendor/auditor matrices; cross-event/vendor/guest isolation.</w:t>
            </w:r>
          </w:p>
        </w:tc>
      </w:tr>
      <w:tr>
        <w:trPr>
          <w:cantSplit/>
        </w:trPr>
        <w:tc>
          <w:tcPr>
            <w:tcW w:type="dxa" w:w="2088"/>
            <w:tcMar>
              <w:top w:w="80" w:type="dxa"/>
              <w:start w:w="120" w:type="dxa"/>
              <w:bottom w:w="80" w:type="dxa"/>
              <w:end w:w="120" w:type="dxa"/>
            </w:tcMar>
            <w:vAlign w:val="top"/>
          </w:tcPr>
          <w:p>
            <w:pPr>
              <w:spacing w:after="0"/>
            </w:pPr>
            <w:r>
              <w:rPr>
                <w:sz w:val="17"/>
              </w:rPr>
              <w:t>Privacy</w:t>
            </w:r>
          </w:p>
        </w:tc>
        <w:tc>
          <w:tcPr>
            <w:tcW w:type="dxa" w:w="7272"/>
            <w:tcMar>
              <w:top w:w="80" w:type="dxa"/>
              <w:start w:w="120" w:type="dxa"/>
              <w:bottom w:w="80" w:type="dxa"/>
              <w:end w:w="120" w:type="dxa"/>
            </w:tcMar>
            <w:vAlign w:val="top"/>
          </w:tcPr>
          <w:p>
            <w:pPr>
              <w:spacing w:after="0"/>
            </w:pPr>
            <w:r>
              <w:rPr>
                <w:sz w:val="17"/>
              </w:rPr>
              <w:t>Prohibited measurement/payment rejection; URL/log/export redaction; retention.</w:t>
            </w:r>
          </w:p>
        </w:tc>
      </w:tr>
      <w:tr>
        <w:trPr>
          <w:cantSplit/>
        </w:trPr>
        <w:tc>
          <w:tcPr>
            <w:tcW w:type="dxa" w:w="2088"/>
            <w:tcMar>
              <w:top w:w="80" w:type="dxa"/>
              <w:start w:w="120" w:type="dxa"/>
              <w:bottom w:w="80" w:type="dxa"/>
              <w:end w:w="120" w:type="dxa"/>
            </w:tcMar>
            <w:vAlign w:val="top"/>
          </w:tcPr>
          <w:p>
            <w:pPr>
              <w:spacing w:after="0"/>
            </w:pPr>
            <w:r>
              <w:rPr>
                <w:sz w:val="17"/>
              </w:rPr>
              <w:t>Contracts</w:t>
            </w:r>
          </w:p>
        </w:tc>
        <w:tc>
          <w:tcPr>
            <w:tcW w:type="dxa" w:w="7272"/>
            <w:tcMar>
              <w:top w:w="80" w:type="dxa"/>
              <w:start w:w="120" w:type="dxa"/>
              <w:bottom w:w="80" w:type="dxa"/>
              <w:end w:w="120" w:type="dxa"/>
            </w:tcMar>
            <w:vAlign w:val="top"/>
          </w:tcPr>
          <w:p>
            <w:pPr>
              <w:spacing w:after="0"/>
            </w:pPr>
            <w:r>
              <w:rPr>
                <w:sz w:val="17"/>
              </w:rPr>
              <w:t>Read-only core projections and negative core mutation tests.</w:t>
            </w:r>
          </w:p>
        </w:tc>
      </w:tr>
      <w:tr>
        <w:trPr>
          <w:cantSplit/>
        </w:trPr>
        <w:tc>
          <w:tcPr>
            <w:tcW w:type="dxa" w:w="2088"/>
            <w:tcMar>
              <w:top w:w="80" w:type="dxa"/>
              <w:start w:w="120" w:type="dxa"/>
              <w:bottom w:w="80" w:type="dxa"/>
              <w:end w:w="120" w:type="dxa"/>
            </w:tcMar>
            <w:vAlign w:val="top"/>
          </w:tcPr>
          <w:p>
            <w:pPr>
              <w:spacing w:after="0"/>
            </w:pPr>
            <w:r>
              <w:rPr>
                <w:sz w:val="17"/>
              </w:rPr>
              <w:t>UI</w:t>
            </w:r>
          </w:p>
        </w:tc>
        <w:tc>
          <w:tcPr>
            <w:tcW w:type="dxa" w:w="7272"/>
            <w:tcMar>
              <w:top w:w="80" w:type="dxa"/>
              <w:start w:w="120" w:type="dxa"/>
              <w:bottom w:w="80" w:type="dxa"/>
              <w:end w:w="120" w:type="dxa"/>
            </w:tcMar>
            <w:vAlign w:val="top"/>
          </w:tcPr>
          <w:p>
            <w:pPr>
              <w:spacing w:after="0"/>
            </w:pPr>
            <w:r>
              <w:rPr>
                <w:sz w:val="17"/>
              </w:rPr>
              <w:t>Guest List/RSVP cards, guest access, vendor portal, unavailable/error/mobile states.</w:t>
            </w:r>
          </w:p>
        </w:tc>
      </w:tr>
      <w:tr>
        <w:trPr>
          <w:cantSplit/>
        </w:trPr>
        <w:tc>
          <w:tcPr>
            <w:tcW w:type="dxa" w:w="2088"/>
            <w:tcMar>
              <w:top w:w="80" w:type="dxa"/>
              <w:start w:w="120" w:type="dxa"/>
              <w:bottom w:w="80" w:type="dxa"/>
              <w:end w:w="120" w:type="dxa"/>
            </w:tcMar>
            <w:vAlign w:val="top"/>
          </w:tcPr>
          <w:p>
            <w:pPr>
              <w:spacing w:after="0"/>
            </w:pPr>
            <w:r>
              <w:rPr>
                <w:sz w:val="17"/>
              </w:rPr>
              <w:t>E2E</w:t>
            </w:r>
          </w:p>
        </w:tc>
        <w:tc>
          <w:tcPr>
            <w:tcW w:type="dxa" w:w="7272"/>
            <w:tcMar>
              <w:top w:w="80" w:type="dxa"/>
              <w:start w:w="120" w:type="dxa"/>
              <w:bottom w:w="80" w:type="dxa"/>
              <w:end w:w="120" w:type="dxa"/>
            </w:tcMar>
            <w:vAlign w:val="top"/>
          </w:tcPr>
          <w:p>
            <w:pPr>
              <w:spacing w:after="0"/>
            </w:pPr>
            <w:r>
              <w:rPr>
                <w:sz w:val="17"/>
              </w:rPr>
              <w:t>Parents/friends/family offer split; private opt-out; cap inches; vendor update; delayed replacement.</w:t>
            </w:r>
          </w:p>
        </w:tc>
      </w:tr>
      <w:tr>
        <w:trPr>
          <w:cantSplit/>
        </w:trPr>
        <w:tc>
          <w:tcPr>
            <w:tcW w:type="dxa" w:w="2088"/>
            <w:tcMar>
              <w:top w:w="80" w:type="dxa"/>
              <w:start w:w="120" w:type="dxa"/>
              <w:bottom w:w="80" w:type="dxa"/>
              <w:end w:w="120" w:type="dxa"/>
            </w:tcMar>
            <w:vAlign w:val="top"/>
          </w:tcPr>
          <w:p>
            <w:pPr>
              <w:spacing w:after="0"/>
            </w:pPr>
            <w:r>
              <w:rPr>
                <w:sz w:val="17"/>
              </w:rPr>
              <w:t>Regression</w:t>
            </w:r>
          </w:p>
        </w:tc>
        <w:tc>
          <w:tcPr>
            <w:tcW w:type="dxa" w:w="7272"/>
            <w:tcMar>
              <w:top w:w="80" w:type="dxa"/>
              <w:start w:w="120" w:type="dxa"/>
              <w:bottom w:w="80" w:type="dxa"/>
              <w:end w:w="120" w:type="dxa"/>
            </w:tcMar>
            <w:vAlign w:val="top"/>
          </w:tcPr>
          <w:p>
            <w:pPr>
              <w:spacing w:after="0"/>
            </w:pPr>
            <w:r>
              <w:rPr>
                <w:sz w:val="17"/>
              </w:rPr>
              <w:t>EOS-S01–S04B, Communications, Guest Access and programme validation/build suites.</w:t>
            </w:r>
          </w:p>
        </w:tc>
      </w:tr>
    </w:tbl>
    <w:p>
      <w:pPr>
        <w:spacing w:after="20"/>
      </w:pPr>
    </w:p>
    <w:p>
      <w:r>
        <w:br w:type="page"/>
      </w:r>
    </w:p>
    <w:p>
      <w:pPr>
        <w:pStyle w:val="Heading1"/>
      </w:pPr>
      <w:r>
        <w:t>15. Claude human-verification plan</w:t>
      </w: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b/>
                <w:color w:val="0B2545"/>
              </w:rPr>
              <w:t xml:space="preserve">ROLE BOUNDARY  </w:t>
            </w:r>
            <w:r>
              <w:t>Claude may simulate human browser verification and report evidence. Claude cannot change code/infrastructure, accept the slice, sign gates, authorise production or contact a real vendor/guest.</w:t>
            </w:r>
          </w:p>
        </w:tc>
      </w:tr>
    </w:tbl>
    <w:p>
      <w:pPr>
        <w:spacing w:after="20"/>
      </w:pPr>
    </w:p>
    <w:p>
      <w:pPr>
        <w:pStyle w:val="ListBullet"/>
        <w:spacing w:after="80"/>
      </w:pPr>
      <w:r>
        <w:t>Confirm fixtures and productionAuthorised:false.</w:t>
      </w:r>
    </w:p>
    <w:p>
      <w:pPr>
        <w:pStyle w:val="ListBullet"/>
        <w:spacing w:after="80"/>
      </w:pPr>
      <w:r>
        <w:t>Create synthetic parents/friends/family/named-guest offers with distinct items.</w:t>
      </w:r>
    </w:p>
    <w:p>
      <w:pPr>
        <w:pStyle w:val="ListBullet"/>
        <w:spacing w:after="80"/>
      </w:pPr>
      <w:r>
        <w:t>Verify no relationship is inferred and individual override is audited.</w:t>
      </w:r>
    </w:p>
    <w:p>
      <w:pPr>
        <w:pStyle w:val="ListBullet"/>
        <w:spacing w:after="80"/>
      </w:pPr>
      <w:r>
        <w:t>As a synthetic guest, accept one offer and privately decline another.</w:t>
      </w:r>
    </w:p>
    <w:p>
      <w:pPr>
        <w:pStyle w:val="ListBullet"/>
        <w:spacing w:after="80"/>
      </w:pPr>
      <w:r>
        <w:t>Verify only male-cap circumference in inches is available and all other measurement fields are absent.</w:t>
      </w:r>
    </w:p>
    <w:p>
      <w:pPr>
        <w:pStyle w:val="ListBullet"/>
        <w:spacing w:after="80"/>
      </w:pPr>
      <w:r>
        <w:t>Open a synthetic WhatsApp/vendor link and confirm no full PII/payment/token in the URL; do not send.</w:t>
      </w:r>
    </w:p>
    <w:p>
      <w:pPr>
        <w:pStyle w:val="ListBullet"/>
        <w:spacing w:after="80"/>
      </w:pPr>
      <w:r>
        <w:t>As vendor fixture, view/update only assigned fulfilments and fail cross-vendor/core access.</w:t>
      </w:r>
    </w:p>
    <w:p>
      <w:pPr>
        <w:pStyle w:val="ListBullet"/>
        <w:spacing w:after="80"/>
      </w:pPr>
      <w:r>
        <w:t>Confirm vendor milestone appears as attributed, reviewable report and approved guest-safe update.</w:t>
      </w:r>
    </w:p>
    <w:p>
      <w:pPr>
        <w:pStyle w:val="ListBullet"/>
        <w:spacing w:after="80"/>
      </w:pPr>
      <w:r>
        <w:t>Verify Guest List and RSVP show protected summaries but merchandise cannot alter RSVP.</w:t>
      </w:r>
    </w:p>
    <w:p>
      <w:pPr>
        <w:pStyle w:val="ListBullet"/>
        <w:spacing w:after="80"/>
      </w:pPr>
      <w:r>
        <w:t>Verify auditor read-only, no real communication/payment, EOS-S05 absent and production unauthorised.</w:t>
      </w:r>
    </w:p>
    <w:p>
      <w:pPr>
        <w:pStyle w:val="Heading1"/>
      </w:pPr>
      <w:r>
        <w:t>16. Academy training delta — ACA-S04C</w:t>
      </w:r>
    </w:p>
    <w:p>
      <w:r>
        <w:t>Role-tiered training applies to Event Directors, merchandise coordinators, guest concierges, planners, vendor leads, approved vendor users and auditors.</w:t>
      </w:r>
    </w:p>
    <w:p>
      <w:pPr>
        <w:pStyle w:val="ListBullet"/>
        <w:spacing w:after="80"/>
      </w:pPr>
      <w:r>
        <w:t>Respect the cultural meaning of aso-ebi and aso-oke while preserving private, graceful choice.</w:t>
      </w:r>
    </w:p>
    <w:p>
      <w:pPr>
        <w:pStyle w:val="ListBullet"/>
        <w:spacing w:after="80"/>
      </w:pPr>
      <w:r>
        <w:t>Build host offer rules without guessing family, status or entitlement.</w:t>
      </w:r>
    </w:p>
    <w:p>
      <w:pPr>
        <w:pStyle w:val="ListBullet"/>
        <w:spacing w:after="80"/>
      </w:pPr>
      <w:r>
        <w:t>Explain the strict no-money and no-measurement boundary.</w:t>
      </w:r>
    </w:p>
    <w:p>
      <w:pPr>
        <w:pStyle w:val="ListBullet"/>
        <w:spacing w:after="80"/>
      </w:pPr>
      <w:r>
        <w:t>Handle the single cap-circumference exception with consent, inches, minimum access and retention.</w:t>
      </w:r>
    </w:p>
    <w:p>
      <w:pPr>
        <w:pStyle w:val="ListBullet"/>
        <w:spacing w:after="80"/>
      </w:pPr>
      <w:r>
        <w:t>Use vendor contact handoff and least-privilege portal safely.</w:t>
      </w:r>
    </w:p>
    <w:p>
      <w:pPr>
        <w:pStyle w:val="ListBullet"/>
        <w:spacing w:after="80"/>
      </w:pPr>
      <w:r>
        <w:t>Distinguish vendor-reported milestones from canonical Maison Doclar truth.</w:t>
      </w:r>
    </w:p>
    <w:p>
      <w:pPr>
        <w:pStyle w:val="ListBullet"/>
        <w:spacing w:after="80"/>
      </w:pPr>
      <w:r>
        <w:t>Manage delay, shortage, damage, replacement, non-collection and dispute with dignity.</w:t>
      </w:r>
    </w:p>
    <w:p>
      <w:pPr>
        <w:pStyle w:val="ListBullet"/>
        <w:spacing w:after="80"/>
      </w:pPr>
      <w:r>
        <w:t>Protect Guest List/RSVP authority and minimise data in exports/communications.</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b/>
                <w:color w:val="0B2545"/>
                <w:sz w:val="18"/>
              </w:rPr>
              <w:t>Assessment</w:t>
            </w:r>
          </w:p>
        </w:tc>
        <w:tc>
          <w:tcPr>
            <w:tcW w:type="dxa" w:w="7128"/>
            <w:shd w:fill="E8EEF5"/>
            <w:tcMar>
              <w:top w:w="80" w:type="dxa"/>
              <w:start w:w="120" w:type="dxa"/>
              <w:bottom w:w="80" w:type="dxa"/>
              <w:end w:w="120" w:type="dxa"/>
            </w:tcMar>
            <w:vAlign w:val="center"/>
          </w:tcPr>
          <w:p>
            <w:r>
              <w:rPr>
                <w:b/>
                <w:color w:val="0B2545"/>
                <w:sz w:val="18"/>
              </w:rPr>
              <w:t>Requirement</w:t>
            </w:r>
          </w:p>
        </w:tc>
      </w:tr>
      <w:tr>
        <w:trPr>
          <w:cantSplit/>
        </w:trPr>
        <w:tc>
          <w:tcPr>
            <w:tcW w:type="dxa" w:w="2232"/>
            <w:tcMar>
              <w:top w:w="80" w:type="dxa"/>
              <w:start w:w="120" w:type="dxa"/>
              <w:bottom w:w="80" w:type="dxa"/>
              <w:end w:w="120" w:type="dxa"/>
            </w:tcMar>
            <w:vAlign w:val="top"/>
          </w:tcPr>
          <w:p>
            <w:pPr>
              <w:spacing w:after="0"/>
            </w:pPr>
            <w:r>
              <w:rPr>
                <w:sz w:val="17"/>
              </w:rPr>
              <w:t>Knowledge</w:t>
            </w:r>
          </w:p>
        </w:tc>
        <w:tc>
          <w:tcPr>
            <w:tcW w:type="dxa" w:w="7128"/>
            <w:tcMar>
              <w:top w:w="80" w:type="dxa"/>
              <w:start w:w="120" w:type="dxa"/>
              <w:bottom w:w="80" w:type="dxa"/>
              <w:end w:w="120" w:type="dxa"/>
            </w:tcMar>
            <w:vAlign w:val="top"/>
          </w:tcPr>
          <w:p>
            <w:pPr>
              <w:spacing w:after="0"/>
            </w:pPr>
            <w:r>
              <w:rPr>
                <w:sz w:val="17"/>
              </w:rPr>
              <w:t>Pass 80%; distinction 90%; role-specific questions.</w:t>
            </w:r>
          </w:p>
        </w:tc>
      </w:tr>
      <w:tr>
        <w:trPr>
          <w:cantSplit/>
        </w:trPr>
        <w:tc>
          <w:tcPr>
            <w:tcW w:type="dxa" w:w="2232"/>
            <w:tcMar>
              <w:top w:w="80" w:type="dxa"/>
              <w:start w:w="120" w:type="dxa"/>
              <w:bottom w:w="80" w:type="dxa"/>
              <w:end w:w="120" w:type="dxa"/>
            </w:tcMar>
            <w:vAlign w:val="top"/>
          </w:tcPr>
          <w:p>
            <w:pPr>
              <w:spacing w:after="0"/>
            </w:pPr>
            <w:r>
              <w:rPr>
                <w:sz w:val="17"/>
              </w:rPr>
              <w:t>Scenario</w:t>
            </w:r>
          </w:p>
        </w:tc>
        <w:tc>
          <w:tcPr>
            <w:tcW w:type="dxa" w:w="7128"/>
            <w:tcMar>
              <w:top w:w="80" w:type="dxa"/>
              <w:start w:w="120" w:type="dxa"/>
              <w:bottom w:w="80" w:type="dxa"/>
              <w:end w:w="120" w:type="dxa"/>
            </w:tcMar>
            <w:vAlign w:val="top"/>
          </w:tcPr>
          <w:p>
            <w:pPr>
              <w:spacing w:after="0"/>
            </w:pPr>
            <w:r>
              <w:rPr>
                <w:sz w:val="17"/>
              </w:rPr>
              <w:t>Configure different parent/family/friend offers and a private opt-out.</w:t>
            </w:r>
          </w:p>
        </w:tc>
      </w:tr>
      <w:tr>
        <w:trPr>
          <w:cantSplit/>
        </w:trPr>
        <w:tc>
          <w:tcPr>
            <w:tcW w:type="dxa" w:w="2232"/>
            <w:tcMar>
              <w:top w:w="80" w:type="dxa"/>
              <w:start w:w="120" w:type="dxa"/>
              <w:bottom w:w="80" w:type="dxa"/>
              <w:end w:w="120" w:type="dxa"/>
            </w:tcMar>
            <w:vAlign w:val="top"/>
          </w:tcPr>
          <w:p>
            <w:pPr>
              <w:spacing w:after="0"/>
            </w:pPr>
            <w:r>
              <w:rPr>
                <w:sz w:val="17"/>
              </w:rPr>
              <w:t>Boundary</w:t>
            </w:r>
          </w:p>
        </w:tc>
        <w:tc>
          <w:tcPr>
            <w:tcW w:type="dxa" w:w="7128"/>
            <w:tcMar>
              <w:top w:w="80" w:type="dxa"/>
              <w:start w:w="120" w:type="dxa"/>
              <w:bottom w:w="80" w:type="dxa"/>
              <w:end w:w="120" w:type="dxa"/>
            </w:tcMar>
            <w:vAlign w:val="top"/>
          </w:tcPr>
          <w:p>
            <w:pPr>
              <w:spacing w:after="0"/>
            </w:pPr>
            <w:r>
              <w:rPr>
                <w:sz w:val="17"/>
              </w:rPr>
              <w:t>Reject body measurements, payment data and vendor core access.</w:t>
            </w:r>
          </w:p>
        </w:tc>
      </w:tr>
      <w:tr>
        <w:trPr>
          <w:cantSplit/>
        </w:trPr>
        <w:tc>
          <w:tcPr>
            <w:tcW w:type="dxa" w:w="2232"/>
            <w:tcMar>
              <w:top w:w="80" w:type="dxa"/>
              <w:start w:w="120" w:type="dxa"/>
              <w:bottom w:w="80" w:type="dxa"/>
              <w:end w:w="120" w:type="dxa"/>
            </w:tcMar>
            <w:vAlign w:val="top"/>
          </w:tcPr>
          <w:p>
            <w:pPr>
              <w:spacing w:after="0"/>
            </w:pPr>
            <w:r>
              <w:rPr>
                <w:sz w:val="17"/>
              </w:rPr>
              <w:t>Practical</w:t>
            </w:r>
          </w:p>
        </w:tc>
        <w:tc>
          <w:tcPr>
            <w:tcW w:type="dxa" w:w="7128"/>
            <w:tcMar>
              <w:top w:w="80" w:type="dxa"/>
              <w:start w:w="120" w:type="dxa"/>
              <w:bottom w:w="80" w:type="dxa"/>
              <w:end w:w="120" w:type="dxa"/>
            </w:tcMar>
            <w:vAlign w:val="top"/>
          </w:tcPr>
          <w:p>
            <w:pPr>
              <w:spacing w:after="0"/>
            </w:pPr>
            <w:r>
              <w:rPr>
                <w:sz w:val="17"/>
              </w:rPr>
              <w:t>Process synthetic cap circumference, vendor update and delayed replacement with clean audit.</w:t>
            </w:r>
          </w:p>
        </w:tc>
      </w:tr>
      <w:tr>
        <w:trPr>
          <w:cantSplit/>
        </w:trPr>
        <w:tc>
          <w:tcPr>
            <w:tcW w:type="dxa" w:w="2232"/>
            <w:tcMar>
              <w:top w:w="80" w:type="dxa"/>
              <w:start w:w="120" w:type="dxa"/>
              <w:bottom w:w="80" w:type="dxa"/>
              <w:end w:w="120" w:type="dxa"/>
            </w:tcMar>
            <w:vAlign w:val="top"/>
          </w:tcPr>
          <w:p>
            <w:pPr>
              <w:spacing w:after="0"/>
            </w:pPr>
            <w:r>
              <w:rPr>
                <w:sz w:val="17"/>
              </w:rPr>
              <w:t>Authorisation</w:t>
            </w:r>
          </w:p>
        </w:tc>
        <w:tc>
          <w:tcPr>
            <w:tcW w:type="dxa" w:w="7128"/>
            <w:tcMar>
              <w:top w:w="80" w:type="dxa"/>
              <w:start w:w="120" w:type="dxa"/>
              <w:bottom w:w="80" w:type="dxa"/>
              <w:end w:w="120" w:type="dxa"/>
            </w:tcMar>
            <w:vAlign w:val="top"/>
          </w:tcPr>
          <w:p>
            <w:pPr>
              <w:spacing w:after="0"/>
            </w:pPr>
            <w:r>
              <w:rPr>
                <w:sz w:val="17"/>
              </w:rPr>
              <w:t>Vendor/staff portal rights require role training; event-specific briefing remains separate.</w:t>
            </w:r>
          </w:p>
        </w:tc>
      </w:tr>
    </w:tbl>
    <w:p>
      <w:pPr>
        <w:spacing w:after="20"/>
      </w:pPr>
    </w:p>
    <w:p>
      <w:r>
        <w:br w:type="page"/>
      </w:r>
    </w:p>
    <w:p>
      <w:pPr>
        <w:pStyle w:val="Heading1"/>
      </w:pPr>
      <w:r>
        <w:t>17. Controlled Cursor prompt — issue only after ratification</w:t>
      </w: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b/>
                <w:color w:val="0B2545"/>
              </w:rPr>
              <w:t xml:space="preserve">CONTROL  </w:t>
            </w:r>
            <w:r>
              <w:t>Do not execute this prompt until the CEO separately authorises EOS-S04C implementation after S04A/S04B sequencing and repository reconciliation are confirmed.</w:t>
            </w:r>
          </w:p>
        </w:tc>
      </w:tr>
    </w:tbl>
    <w:p>
      <w:pPr>
        <w:spacing w:after="20"/>
      </w:pPr>
    </w:p>
    <w:p>
      <w:r>
        <w:t>Implement EOS-S04C — Aso-Ebi, Aso-Oke &amp; Event Merchandise Coordination in kglaw-Oluseyi/atelier-doclar only. Railway scope, if later separately authorised, is atelier-doclar only. Preserve productionAuthorised:false and all unsigned protected gates. Do not implement EOS-S05, payments, other measurements, tailoring, real vendor contact or production providers.</w:t>
      </w:r>
    </w:p>
    <w:p>
      <w:pPr>
        <w:pStyle w:val="Heading2"/>
      </w:pPr>
      <w:r>
        <w:t>Required implementation</w:t>
      </w:r>
    </w:p>
    <w:p>
      <w:pPr>
        <w:pStyle w:val="ListBullet"/>
        <w:spacing w:after="80"/>
      </w:pPr>
      <w:r>
        <w:t>Reconcile Guest, Party, RSVP, Communications, Guest Access, phase and vendor-governance contracts before schema changes.</w:t>
      </w:r>
    </w:p>
    <w:p>
      <w:pPr>
        <w:pStyle w:val="ListBullet"/>
        <w:spacing w:after="80"/>
      </w:pPr>
      <w:r>
        <w:t>Implement collection/item/variant/offer/participation/cap-measurement/fulfilment/vendor-assignment/update/exception models.</w:t>
      </w:r>
    </w:p>
    <w:p>
      <w:pPr>
        <w:pStyle w:val="ListBullet"/>
        <w:spacing w:after="80"/>
      </w:pPr>
      <w:r>
        <w:t>Permit only optional male-cap circumference in inches; reject and do not persist all other measurements.</w:t>
      </w:r>
    </w:p>
    <w:p>
      <w:pPr>
        <w:pStyle w:val="ListBullet"/>
        <w:spacing w:after="80"/>
      </w:pPr>
      <w:r>
        <w:t>Implement host cohort/individual offer flexibility with conflict preview and no inferred relationships.</w:t>
      </w:r>
    </w:p>
    <w:p>
      <w:pPr>
        <w:pStyle w:val="ListBullet"/>
        <w:spacing w:after="80"/>
      </w:pPr>
      <w:r>
        <w:t>Implement protected Guest List/RSVP projections, individual guest access and separate least-privilege vendor portal.</w:t>
      </w:r>
    </w:p>
    <w:p>
      <w:pPr>
        <w:pStyle w:val="ListBullet"/>
        <w:spacing w:after="80"/>
      </w:pPr>
      <w:r>
        <w:t>Keep vendor submissions external/attributed; block core mutations and financial data.</w:t>
      </w:r>
    </w:p>
    <w:p>
      <w:pPr>
        <w:pStyle w:val="ListBullet"/>
        <w:spacing w:after="80"/>
      </w:pPr>
      <w:r>
        <w:t>Add unit, permission, privacy, API, migration, UI and Playwright E2E tests.</w:t>
      </w:r>
    </w:p>
    <w:p>
      <w:pPr>
        <w:pStyle w:val="ListBullet"/>
        <w:spacing w:after="80"/>
      </w:pPr>
      <w:r>
        <w:t>Run typecheck, tests, programme validation, build and relevant E2E; return evidence.</w:t>
      </w:r>
    </w:p>
    <w:p>
      <w:pPr>
        <w:pStyle w:val="ListBullet"/>
        <w:spacing w:after="80"/>
      </w:pPr>
      <w:r>
        <w:t>Stop before commit, push or deployment unless each is separately authorised.</w:t>
      </w:r>
    </w:p>
    <w:p>
      <w:pPr>
        <w:pStyle w:val="Heading2"/>
      </w:pPr>
      <w:r>
        <w:t>Mandatory STOP conditions</w:t>
      </w:r>
    </w:p>
    <w:p>
      <w:pPr>
        <w:pStyle w:val="ListBullet"/>
        <w:spacing w:after="80"/>
      </w:pPr>
      <w:r>
        <w:t>S04A/S04B or required core contract is unavailable/contradictory.</w:t>
      </w:r>
    </w:p>
    <w:p>
      <w:pPr>
        <w:pStyle w:val="ListBullet"/>
        <w:spacing w:after="80"/>
      </w:pPr>
      <w:r>
        <w:t>Any implementation requires inferred relationships, core guest/RSVP mutation by vendors, prohibited measurements or financial data.</w:t>
      </w:r>
    </w:p>
    <w:p>
      <w:pPr>
        <w:pStyle w:val="ListBullet"/>
        <w:spacing w:after="80"/>
      </w:pPr>
      <w:r>
        <w:t>Vendor portal cannot be isolated from staff/core authority.</w:t>
      </w:r>
    </w:p>
    <w:p>
      <w:pPr>
        <w:pStyle w:val="ListBullet"/>
        <w:spacing w:after="80"/>
      </w:pPr>
      <w:r>
        <w:t>Repository/branch/HEAD/worktree mismatch, tests cannot run, productionAuthorised true or EOS-S05 required.</w:t>
      </w:r>
    </w:p>
    <w:p>
      <w:r>
        <w:br w:type="page"/>
      </w:r>
    </w:p>
    <w:p>
      <w:pPr>
        <w:pStyle w:val="Heading1"/>
      </w:pPr>
      <w:r>
        <w:t>18. Governance record and decisions required</w:t>
      </w: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b/>
                <w:color w:val="0B2545"/>
              </w:rPr>
              <w:t xml:space="preserve">RATIFICATION EFFECT  </w:t>
            </w:r>
            <w:r>
              <w:t>Approval establishes the intended S04C policy and permits controlled reconciliation/prompt preparation only. It does not itself authorise implementation, commit, push, deployment, vendor contact, payment handling, production, EOS-S05 or any protected gate.</w:t>
            </w:r>
          </w:p>
        </w:tc>
      </w:tr>
    </w:tbl>
    <w:p>
      <w:pPr>
        <w:spacing w:after="20"/>
      </w:pP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448"/>
            <w:shd w:fill="E8EEF5"/>
            <w:tcMar>
              <w:top w:w="80" w:type="dxa"/>
              <w:start w:w="120" w:type="dxa"/>
              <w:bottom w:w="80" w:type="dxa"/>
              <w:end w:w="120" w:type="dxa"/>
            </w:tcMar>
            <w:vAlign w:val="center"/>
          </w:tcPr>
          <w:p>
            <w:r>
              <w:rPr>
                <w:b/>
                <w:color w:val="0B2545"/>
                <w:sz w:val="18"/>
              </w:rPr>
              <w:t>Decision</w:t>
            </w:r>
          </w:p>
        </w:tc>
        <w:tc>
          <w:tcPr>
            <w:tcW w:type="dxa" w:w="6912"/>
            <w:shd w:fill="E8EEF5"/>
            <w:tcMar>
              <w:top w:w="80" w:type="dxa"/>
              <w:start w:w="120" w:type="dxa"/>
              <w:bottom w:w="80" w:type="dxa"/>
              <w:end w:w="120" w:type="dxa"/>
            </w:tcMar>
            <w:vAlign w:val="center"/>
          </w:tcPr>
          <w:p>
            <w:r>
              <w:rPr>
                <w:b/>
                <w:color w:val="0B2545"/>
                <w:sz w:val="18"/>
              </w:rPr>
              <w:t>Draft ruling</w:t>
            </w:r>
          </w:p>
        </w:tc>
      </w:tr>
      <w:tr>
        <w:trPr>
          <w:cantSplit/>
        </w:trPr>
        <w:tc>
          <w:tcPr>
            <w:tcW w:type="dxa" w:w="2448"/>
            <w:tcMar>
              <w:top w:w="80" w:type="dxa"/>
              <w:start w:w="120" w:type="dxa"/>
              <w:bottom w:w="80" w:type="dxa"/>
              <w:end w:w="120" w:type="dxa"/>
            </w:tcMar>
            <w:vAlign w:val="top"/>
          </w:tcPr>
          <w:p>
            <w:pPr>
              <w:spacing w:after="0"/>
            </w:pPr>
            <w:r>
              <w:rPr>
                <w:sz w:val="17"/>
              </w:rPr>
              <w:t>Slice</w:t>
            </w:r>
          </w:p>
        </w:tc>
        <w:tc>
          <w:tcPr>
            <w:tcW w:type="dxa" w:w="6912"/>
            <w:tcMar>
              <w:top w:w="80" w:type="dxa"/>
              <w:start w:w="120" w:type="dxa"/>
              <w:bottom w:w="80" w:type="dxa"/>
              <w:end w:w="120" w:type="dxa"/>
            </w:tcMar>
            <w:vAlign w:val="top"/>
          </w:tcPr>
          <w:p>
            <w:pPr>
              <w:spacing w:after="0"/>
            </w:pPr>
            <w:r>
              <w:rPr>
                <w:sz w:val="17"/>
              </w:rPr>
              <w:t>EOS-S04C after EOS-S04B and before EOS-S05.</w:t>
            </w:r>
          </w:p>
        </w:tc>
      </w:tr>
      <w:tr>
        <w:trPr>
          <w:cantSplit/>
        </w:trPr>
        <w:tc>
          <w:tcPr>
            <w:tcW w:type="dxa" w:w="2448"/>
            <w:tcMar>
              <w:top w:w="80" w:type="dxa"/>
              <w:start w:w="120" w:type="dxa"/>
              <w:bottom w:w="80" w:type="dxa"/>
              <w:end w:w="120" w:type="dxa"/>
            </w:tcMar>
            <w:vAlign w:val="top"/>
          </w:tcPr>
          <w:p>
            <w:pPr>
              <w:spacing w:after="0"/>
            </w:pPr>
            <w:r>
              <w:rPr>
                <w:sz w:val="17"/>
              </w:rPr>
              <w:t>Academy</w:t>
            </w:r>
          </w:p>
        </w:tc>
        <w:tc>
          <w:tcPr>
            <w:tcW w:type="dxa" w:w="6912"/>
            <w:tcMar>
              <w:top w:w="80" w:type="dxa"/>
              <w:start w:w="120" w:type="dxa"/>
              <w:bottom w:w="80" w:type="dxa"/>
              <w:end w:w="120" w:type="dxa"/>
            </w:tcMar>
            <w:vAlign w:val="top"/>
          </w:tcPr>
          <w:p>
            <w:pPr>
              <w:spacing w:after="0"/>
            </w:pPr>
            <w:r>
              <w:rPr>
                <w:sz w:val="17"/>
              </w:rPr>
              <w:t>ACA-S04C aligned with EOS-S04C.</w:t>
            </w:r>
          </w:p>
        </w:tc>
      </w:tr>
      <w:tr>
        <w:trPr>
          <w:cantSplit/>
        </w:trPr>
        <w:tc>
          <w:tcPr>
            <w:tcW w:type="dxa" w:w="2448"/>
            <w:tcMar>
              <w:top w:w="80" w:type="dxa"/>
              <w:start w:w="120" w:type="dxa"/>
              <w:bottom w:w="80" w:type="dxa"/>
              <w:end w:w="120" w:type="dxa"/>
            </w:tcMar>
            <w:vAlign w:val="top"/>
          </w:tcPr>
          <w:p>
            <w:pPr>
              <w:spacing w:after="0"/>
            </w:pPr>
            <w:r>
              <w:rPr>
                <w:sz w:val="17"/>
              </w:rPr>
              <w:t>Measurements</w:t>
            </w:r>
          </w:p>
        </w:tc>
        <w:tc>
          <w:tcPr>
            <w:tcW w:type="dxa" w:w="6912"/>
            <w:tcMar>
              <w:top w:w="80" w:type="dxa"/>
              <w:start w:w="120" w:type="dxa"/>
              <w:bottom w:w="80" w:type="dxa"/>
              <w:end w:w="120" w:type="dxa"/>
            </w:tcMar>
            <w:vAlign w:val="top"/>
          </w:tcPr>
          <w:p>
            <w:pPr>
              <w:spacing w:after="0"/>
            </w:pPr>
            <w:r>
              <w:rPr>
                <w:sz w:val="17"/>
              </w:rPr>
              <w:t>Only optional male-cap head circumference in inches; no other measurements.</w:t>
            </w:r>
          </w:p>
        </w:tc>
      </w:tr>
      <w:tr>
        <w:trPr>
          <w:cantSplit/>
        </w:trPr>
        <w:tc>
          <w:tcPr>
            <w:tcW w:type="dxa" w:w="2448"/>
            <w:tcMar>
              <w:top w:w="80" w:type="dxa"/>
              <w:start w:w="120" w:type="dxa"/>
              <w:bottom w:w="80" w:type="dxa"/>
              <w:end w:w="120" w:type="dxa"/>
            </w:tcMar>
            <w:vAlign w:val="top"/>
          </w:tcPr>
          <w:p>
            <w:pPr>
              <w:spacing w:after="0"/>
            </w:pPr>
            <w:r>
              <w:rPr>
                <w:sz w:val="17"/>
              </w:rPr>
              <w:t>Commerce</w:t>
            </w:r>
          </w:p>
        </w:tc>
        <w:tc>
          <w:tcPr>
            <w:tcW w:type="dxa" w:w="6912"/>
            <w:tcMar>
              <w:top w:w="80" w:type="dxa"/>
              <w:start w:w="120" w:type="dxa"/>
              <w:bottom w:w="80" w:type="dxa"/>
              <w:end w:w="120" w:type="dxa"/>
            </w:tcMar>
            <w:vAlign w:val="top"/>
          </w:tcPr>
          <w:p>
            <w:pPr>
              <w:spacing w:after="0"/>
            </w:pPr>
            <w:r>
              <w:rPr>
                <w:sz w:val="17"/>
              </w:rPr>
              <w:t>Vendor/guest or host/vendor direct; Maison Doclar handles no money.</w:t>
            </w:r>
          </w:p>
        </w:tc>
      </w:tr>
      <w:tr>
        <w:trPr>
          <w:cantSplit/>
        </w:trPr>
        <w:tc>
          <w:tcPr>
            <w:tcW w:type="dxa" w:w="2448"/>
            <w:tcMar>
              <w:top w:w="80" w:type="dxa"/>
              <w:start w:w="120" w:type="dxa"/>
              <w:bottom w:w="80" w:type="dxa"/>
              <w:end w:w="120" w:type="dxa"/>
            </w:tcMar>
            <w:vAlign w:val="top"/>
          </w:tcPr>
          <w:p>
            <w:pPr>
              <w:spacing w:after="0"/>
            </w:pPr>
            <w:r>
              <w:rPr>
                <w:sz w:val="17"/>
              </w:rPr>
              <w:t>Offer flexibility</w:t>
            </w:r>
          </w:p>
        </w:tc>
        <w:tc>
          <w:tcPr>
            <w:tcW w:type="dxa" w:w="6912"/>
            <w:tcMar>
              <w:top w:w="80" w:type="dxa"/>
              <w:start w:w="120" w:type="dxa"/>
              <w:bottom w:w="80" w:type="dxa"/>
              <w:end w:w="120" w:type="dxa"/>
            </w:tcMar>
            <w:vAlign w:val="top"/>
          </w:tcPr>
          <w:p>
            <w:pPr>
              <w:spacing w:after="0"/>
            </w:pPr>
            <w:r>
              <w:rPr>
                <w:sz w:val="17"/>
              </w:rPr>
              <w:t>Cohort and named-guest offers with individual overrides and conflict review.</w:t>
            </w:r>
          </w:p>
        </w:tc>
      </w:tr>
      <w:tr>
        <w:trPr>
          <w:cantSplit/>
        </w:trPr>
        <w:tc>
          <w:tcPr>
            <w:tcW w:type="dxa" w:w="2448"/>
            <w:tcMar>
              <w:top w:w="80" w:type="dxa"/>
              <w:start w:w="120" w:type="dxa"/>
              <w:bottom w:w="80" w:type="dxa"/>
              <w:end w:w="120" w:type="dxa"/>
            </w:tcMar>
            <w:vAlign w:val="top"/>
          </w:tcPr>
          <w:p>
            <w:pPr>
              <w:spacing w:after="0"/>
            </w:pPr>
            <w:r>
              <w:rPr>
                <w:sz w:val="17"/>
              </w:rPr>
              <w:t>Vendor access</w:t>
            </w:r>
          </w:p>
        </w:tc>
        <w:tc>
          <w:tcPr>
            <w:tcW w:type="dxa" w:w="6912"/>
            <w:tcMar>
              <w:top w:w="80" w:type="dxa"/>
              <w:start w:w="120" w:type="dxa"/>
              <w:bottom w:w="80" w:type="dxa"/>
              <w:end w:w="120" w:type="dxa"/>
            </w:tcMar>
            <w:vAlign w:val="top"/>
          </w:tcPr>
          <w:p>
            <w:pPr>
              <w:spacing w:after="0"/>
            </w:pPr>
            <w:r>
              <w:rPr>
                <w:sz w:val="17"/>
              </w:rPr>
              <w:t>Separate tokenised/role portal; assigned fulfilments only; no core OS access.</w:t>
            </w:r>
          </w:p>
        </w:tc>
      </w:tr>
      <w:tr>
        <w:trPr>
          <w:cantSplit/>
        </w:trPr>
        <w:tc>
          <w:tcPr>
            <w:tcW w:type="dxa" w:w="2448"/>
            <w:tcMar>
              <w:top w:w="80" w:type="dxa"/>
              <w:start w:w="120" w:type="dxa"/>
              <w:bottom w:w="80" w:type="dxa"/>
              <w:end w:w="120" w:type="dxa"/>
            </w:tcMar>
            <w:vAlign w:val="top"/>
          </w:tcPr>
          <w:p>
            <w:pPr>
              <w:spacing w:after="0"/>
            </w:pPr>
            <w:r>
              <w:rPr>
                <w:sz w:val="17"/>
              </w:rPr>
              <w:t>Core surfaces</w:t>
            </w:r>
          </w:p>
        </w:tc>
        <w:tc>
          <w:tcPr>
            <w:tcW w:type="dxa" w:w="6912"/>
            <w:tcMar>
              <w:top w:w="80" w:type="dxa"/>
              <w:start w:w="120" w:type="dxa"/>
              <w:bottom w:w="80" w:type="dxa"/>
              <w:end w:w="120" w:type="dxa"/>
            </w:tcMar>
            <w:vAlign w:val="top"/>
          </w:tcPr>
          <w:p>
            <w:pPr>
              <w:spacing w:after="0"/>
            </w:pPr>
            <w:r>
              <w:rPr>
                <w:sz w:val="17"/>
              </w:rPr>
              <w:t>Protected adjacent projections around Guest List and RSVP.</w:t>
            </w:r>
          </w:p>
        </w:tc>
      </w:tr>
      <w:tr>
        <w:trPr>
          <w:cantSplit/>
        </w:trPr>
        <w:tc>
          <w:tcPr>
            <w:tcW w:type="dxa" w:w="2448"/>
            <w:tcMar>
              <w:top w:w="80" w:type="dxa"/>
              <w:start w:w="120" w:type="dxa"/>
              <w:bottom w:w="80" w:type="dxa"/>
              <w:end w:w="120" w:type="dxa"/>
            </w:tcMar>
            <w:vAlign w:val="top"/>
          </w:tcPr>
          <w:p>
            <w:pPr>
              <w:spacing w:after="0"/>
            </w:pPr>
            <w:r>
              <w:rPr>
                <w:sz w:val="17"/>
              </w:rPr>
              <w:t>Implementation</w:t>
            </w:r>
          </w:p>
        </w:tc>
        <w:tc>
          <w:tcPr>
            <w:tcW w:type="dxa" w:w="6912"/>
            <w:tcMar>
              <w:top w:w="80" w:type="dxa"/>
              <w:start w:w="120" w:type="dxa"/>
              <w:bottom w:w="80" w:type="dxa"/>
              <w:end w:w="120" w:type="dxa"/>
            </w:tcMar>
            <w:vAlign w:val="top"/>
          </w:tcPr>
          <w:p>
            <w:pPr>
              <w:spacing w:after="0"/>
            </w:pPr>
            <w:r>
              <w:rPr>
                <w:sz w:val="17"/>
              </w:rPr>
              <w:t>Not authorised by this draft.</w:t>
            </w:r>
          </w:p>
        </w:tc>
      </w:tr>
      <w:tr>
        <w:trPr>
          <w:cantSplit/>
        </w:trPr>
        <w:tc>
          <w:tcPr>
            <w:tcW w:type="dxa" w:w="2448"/>
            <w:tcMar>
              <w:top w:w="80" w:type="dxa"/>
              <w:start w:w="120" w:type="dxa"/>
              <w:bottom w:w="80" w:type="dxa"/>
              <w:end w:w="120" w:type="dxa"/>
            </w:tcMar>
            <w:vAlign w:val="top"/>
          </w:tcPr>
          <w:p>
            <w:pPr>
              <w:spacing w:after="0"/>
            </w:pPr>
            <w:r>
              <w:rPr>
                <w:sz w:val="17"/>
              </w:rPr>
              <w:t>Deployment/production</w:t>
            </w:r>
          </w:p>
        </w:tc>
        <w:tc>
          <w:tcPr>
            <w:tcW w:type="dxa" w:w="6912"/>
            <w:tcMar>
              <w:top w:w="80" w:type="dxa"/>
              <w:start w:w="120" w:type="dxa"/>
              <w:bottom w:w="80" w:type="dxa"/>
              <w:end w:w="120" w:type="dxa"/>
            </w:tcMar>
            <w:vAlign w:val="top"/>
          </w:tcPr>
          <w:p>
            <w:pPr>
              <w:spacing w:after="0"/>
            </w:pPr>
            <w:r>
              <w:rPr>
                <w:sz w:val="17"/>
              </w:rPr>
              <w:t>Not authorised; production remains false and gates unsigned.</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A626C"/>
        <w:sz w:val="16"/>
      </w:rPr>
      <w:t>MAISON DOCLAR  |  EVENT OS CONTROLLED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E22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A626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EOS-S04C Controlled Slice Pack v1.0 Draft</dc:title>
  <dc:subject>Aso-Ebi, Aso-Oke &amp; Event Merchandise Coordination</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