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jc w:val="center"/>
      </w:pPr>
      <w:r>
        <w:rPr>
          <w:rFonts w:ascii="Calibri" w:hAnsi="Calibri"/>
          <w:b/>
          <w:i w:val="0"/>
          <w:color w:val="B79F85"/>
          <w:sz w:val="24"/>
        </w:rPr>
        <w:t>MAISON DOCLAR</w:t>
      </w:r>
    </w:p>
    <w:p>
      <w:pPr>
        <w:pStyle w:val="Title"/>
        <w:jc w:val="center"/>
      </w:pPr>
      <w:r>
        <w:rPr>
          <w:b/>
        </w:rPr>
        <w:t>EOS-S04D</w:t>
      </w:r>
    </w:p>
    <w:p>
      <w:pPr>
        <w:pStyle w:val="Subtitle"/>
        <w:jc w:val="center"/>
      </w:pPr>
      <w:r>
        <w:t>Attendance Forecasting &amp; Planning Intelligence</w:t>
      </w:r>
    </w:p>
    <w:p>
      <w:pPr>
        <w:jc w:val="center"/>
      </w:pPr>
      <w:r>
        <w:rPr>
          <w:rFonts w:ascii="Calibri" w:hAnsi="Calibri"/>
          <w:b/>
          <w:i w:val="0"/>
          <w:color w:val="5A626C"/>
          <w:sz w:val="20"/>
        </w:rPr>
        <w:t>CONTROLLED SLICE PACK · VERSION 1.0 DRAFT</w:t>
      </w:r>
    </w:p>
    <w:p>
      <w:pPr>
        <w:spacing w:after="80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Control</w:t>
            </w:r>
          </w:p>
        </w:tc>
        <w:tc>
          <w:tcPr>
            <w:tcW w:type="dxa" w:w="7128"/>
            <w:shd w:fill="E8EEF5"/>
            <w:tcMar>
              <w:top w:w="80" w:type="dxa"/>
              <w:start w:w="120" w:type="dxa"/>
              <w:bottom w:w="80" w:type="dxa"/>
              <w:end w:w="120" w:type="dxa"/>
            </w:tcMar>
            <w:vAlign w:val="center"/>
          </w:tcPr>
          <w:p>
            <w:r>
              <w:rPr>
                <w:rFonts w:ascii="Calibri" w:hAnsi="Calibri"/>
                <w:b/>
                <w:i w:val="0"/>
                <w:color w:val="0B2545"/>
                <w:sz w:val="18"/>
              </w:rPr>
              <w:t>Value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Product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Maison Doclar Event OS</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Proposed slice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EOS-S04D — after EOS-S04C and before EOS-S04E / EOS-S05</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Status</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DRAFT FOR CEO RATIFICATION — implementation not authorised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Repository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kglaw-Oluseyi/atelier-doclar only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Railway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atelier-doclar only; no deployment authorised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Production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Unauthorised; protected gates remain unsigned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Prepared</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6 September 2026</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CEO DIRECTION  </w:t>
            </w:r>
            <w:r>
              <w:rPr>
                <w:rFonts w:ascii="Calibri" w:hAnsi="Calibri"/>
                <w:b w:val="0"/>
                <w:i w:val="0"/>
                <w:color w:val="1E2228"/>
                <w:sz w:val="21"/>
              </w:rPr>
              <w:t>Turn RSVP and guest data into an explainable, phase-aware attendance range and an explicitly separate operational provision recommendation. Forecasts advise authorised humans; they never alter invitation, RSVP, guest, credential or attendance truth.</w:t>
            </w:r>
          </w:p>
        </w:tc>
      </w:tr>
    </w:tbl>
    <w:p>
      <w:pPr>
        <w:spacing w:after="20"/>
      </w:pPr>
    </w:p>
    <w:p>
      <w:r>
        <w:br w:type="page"/>
      </w:r>
    </w:p>
    <w:p>
      <w:pPr>
        <w:pStyle w:val="Heading1"/>
      </w:pPr>
      <w:r>
        <w:t>1. Executive decision and product shape</w:t>
      </w:r>
    </w:p>
    <w:p>
      <w:r>
        <w:t>EOS-S04D introduces controlled attendance intelligence after an RSVP campaign and continuously as response conditions change. It counts people rather than invitation rows, respects party and companion lineage, and produces low, expected and high attendance alongside a separately governed operational provision recommendation.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RECOMMENDATION  </w:t>
            </w:r>
            <w:r>
              <w:rPr>
                <w:rFonts w:ascii="Calibri" w:hAnsi="Calibri"/>
                <w:b w:val="0"/>
                <w:i w:val="0"/>
                <w:color w:val="1E2228"/>
                <w:sz w:val="21"/>
              </w:rPr>
              <w:t>Insert EOS-S04D after S04C. Begin with transparent governed rates and shadow-mode calibration. Do not release a self-learning or opaque model before evidence, independent review and the existing AI shadow-mode gate.</w:t>
            </w:r>
          </w:p>
        </w:tc>
      </w:tr>
    </w:tbl>
    <w:p>
      <w:pPr>
        <w:spacing w:after="20"/>
      </w:pPr>
    </w:p>
    <w:p>
      <w:pPr>
        <w:pStyle w:val="Heading2"/>
      </w:pPr>
      <w:r>
        <w:t>1.1 Decision products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rFonts w:ascii="Calibri" w:hAnsi="Calibri"/>
                <w:b/>
                <w:i w:val="0"/>
                <w:color w:val="0B2545"/>
                <w:sz w:val="18"/>
              </w:rPr>
              <w:t>Product</w:t>
            </w:r>
          </w:p>
        </w:tc>
        <w:tc>
          <w:tcPr>
            <w:tcW w:type="dxa" w:w="6984"/>
            <w:shd w:fill="E8EEF5"/>
            <w:tcMar>
              <w:top w:w="80" w:type="dxa"/>
              <w:start w:w="120" w:type="dxa"/>
              <w:bottom w:w="80" w:type="dxa"/>
              <w:end w:w="120" w:type="dxa"/>
            </w:tcMar>
            <w:vAlign w:val="center"/>
          </w:tcPr>
          <w:p>
            <w:r>
              <w:rPr>
                <w:rFonts w:ascii="Calibri" w:hAnsi="Calibri"/>
                <w:b/>
                <w:i w:val="0"/>
                <w:color w:val="0B2545"/>
                <w:sz w:val="18"/>
              </w:rPr>
              <w:t>Meaning</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Observed RSVP count</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Current canonical people by response state; not a prediction.</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Likely attendance</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Central estimate from versioned assumptions and current data.</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Planning range</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Low / expected / high values with stated confidence.</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Operational provision</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Human-approved catering, seating, staffing or transport planning number.</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Capacity exposure</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Distance between plausible demand and venue/phase capacity.</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Uncertainty drivers</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Named causes such as non-response or unresolved companion entitlement.</w:t>
            </w:r>
          </w:p>
        </w:tc>
      </w:tr>
    </w:tbl>
    <w:p>
      <w:pPr>
        <w:spacing w:after="20"/>
      </w:pPr>
    </w:p>
    <w:p>
      <w:pPr>
        <w:pStyle w:val="Heading1"/>
      </w:pPr>
      <w:r>
        <w:t>2. Reconciliation and no duplication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r>
              <w:rPr>
                <w:rFonts w:ascii="Calibri" w:hAnsi="Calibri"/>
                <w:b/>
                <w:i w:val="0"/>
                <w:color w:val="0B2545"/>
                <w:sz w:val="18"/>
              </w:rPr>
              <w:t>Authority</w:t>
            </w:r>
          </w:p>
        </w:tc>
        <w:tc>
          <w:tcPr>
            <w:tcW w:type="dxa" w:w="3384"/>
            <w:shd w:fill="E8EEF5"/>
            <w:tcMar>
              <w:top w:w="80" w:type="dxa"/>
              <w:start w:w="120" w:type="dxa"/>
              <w:bottom w:w="80" w:type="dxa"/>
              <w:end w:w="120" w:type="dxa"/>
            </w:tcMar>
            <w:vAlign w:val="center"/>
          </w:tcPr>
          <w:p>
            <w:r>
              <w:rPr>
                <w:rFonts w:ascii="Calibri" w:hAnsi="Calibri"/>
                <w:b/>
                <w:i w:val="0"/>
                <w:color w:val="0B2545"/>
                <w:sz w:val="18"/>
              </w:rPr>
              <w:t>Retained truth</w:t>
            </w:r>
          </w:p>
        </w:tc>
        <w:tc>
          <w:tcPr>
            <w:tcW w:type="dxa" w:w="4032"/>
            <w:shd w:fill="E8EEF5"/>
            <w:tcMar>
              <w:top w:w="80" w:type="dxa"/>
              <w:start w:w="120" w:type="dxa"/>
              <w:bottom w:w="80" w:type="dxa"/>
              <w:end w:w="120" w:type="dxa"/>
            </w:tcMar>
            <w:vAlign w:val="center"/>
          </w:tcPr>
          <w:p>
            <w:r>
              <w:rPr>
                <w:rFonts w:ascii="Calibri" w:hAnsi="Calibri"/>
                <w:b/>
                <w:i w:val="0"/>
                <w:color w:val="0B2545"/>
                <w:sz w:val="18"/>
              </w:rPr>
              <w:t>S04D treatment</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EOS-S03</w:t>
            </w:r>
          </w:p>
        </w:tc>
        <w:tc>
          <w:tcPr>
            <w:tcW w:type="dxa" w:w="3384"/>
            <w:tcMar>
              <w:top w:w="80" w:type="dxa"/>
              <w:start w:w="120" w:type="dxa"/>
              <w:bottom w:w="80" w:type="dxa"/>
              <w:end w:w="120" w:type="dxa"/>
            </w:tcMar>
            <w:vAlign w:val="top"/>
          </w:tcPr>
          <w:p>
            <w:pPr>
              <w:spacing w:after="0"/>
            </w:pPr>
            <w:r>
              <w:rPr>
                <w:rFonts w:ascii="Calibri" w:hAnsi="Calibri"/>
                <w:b w:val="0"/>
                <w:i w:val="0"/>
                <w:color w:val="1E2228"/>
                <w:sz w:val="17"/>
              </w:rPr>
              <w:t>Invitation and RSVP</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Read-only source; no inferred response or mutation.</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EOS-S04A</w:t>
            </w:r>
          </w:p>
        </w:tc>
        <w:tc>
          <w:tcPr>
            <w:tcW w:type="dxa" w:w="3384"/>
            <w:tcMar>
              <w:top w:w="80" w:type="dxa"/>
              <w:start w:w="120" w:type="dxa"/>
              <w:bottom w:w="80" w:type="dxa"/>
              <w:end w:w="120" w:type="dxa"/>
            </w:tcMar>
            <w:vAlign w:val="top"/>
          </w:tcPr>
          <w:p>
            <w:pPr>
              <w:spacing w:after="0"/>
            </w:pPr>
            <w:r>
              <w:rPr>
                <w:rFonts w:ascii="Calibri" w:hAnsi="Calibri"/>
                <w:b w:val="0"/>
                <w:i w:val="0"/>
                <w:color w:val="1E2228"/>
                <w:sz w:val="17"/>
              </w:rPr>
              <w:t>guestId, partyId, child age band, relationships, companion lineage</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Counts distinct people and unresolved entitlements correctly.</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EOS-S04B</w:t>
            </w:r>
          </w:p>
        </w:tc>
        <w:tc>
          <w:tcPr>
            <w:tcW w:type="dxa" w:w="3384"/>
            <w:tcMar>
              <w:top w:w="80" w:type="dxa"/>
              <w:start w:w="120" w:type="dxa"/>
              <w:bottom w:w="80" w:type="dxa"/>
              <w:end w:w="120" w:type="dxa"/>
            </w:tcMar>
            <w:vAlign w:val="top"/>
          </w:tcPr>
          <w:p>
            <w:pPr>
              <w:spacing w:after="0"/>
            </w:pPr>
            <w:r>
              <w:rPr>
                <w:rFonts w:ascii="Calibri" w:hAnsi="Calibri"/>
                <w:b w:val="0"/>
                <w:i w:val="0"/>
                <w:color w:val="1E2228"/>
                <w:sz w:val="17"/>
              </w:rPr>
              <w:t>Events, days, phases, locations and phase invitations</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Forecasts each phase plus unique whole-programme attendance.</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EOS-S04/C</w:t>
            </w:r>
          </w:p>
        </w:tc>
        <w:tc>
          <w:tcPr>
            <w:tcW w:type="dxa" w:w="3384"/>
            <w:tcMar>
              <w:top w:w="80" w:type="dxa"/>
              <w:start w:w="120" w:type="dxa"/>
              <w:bottom w:w="80" w:type="dxa"/>
              <w:end w:w="120" w:type="dxa"/>
            </w:tcMar>
            <w:vAlign w:val="top"/>
          </w:tcPr>
          <w:p>
            <w:pPr>
              <w:spacing w:after="0"/>
            </w:pPr>
            <w:r>
              <w:rPr>
                <w:rFonts w:ascii="Calibri" w:hAnsi="Calibri"/>
                <w:b w:val="0"/>
                <w:i w:val="0"/>
                <w:color w:val="1E2228"/>
                <w:sz w:val="17"/>
              </w:rPr>
              <w:t>Communications and merchandise</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May provide permitted signals; never substitutes for RSVP.</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Event-day runtime</w:t>
            </w:r>
          </w:p>
        </w:tc>
        <w:tc>
          <w:tcPr>
            <w:tcW w:type="dxa" w:w="3384"/>
            <w:tcMar>
              <w:top w:w="80" w:type="dxa"/>
              <w:start w:w="120" w:type="dxa"/>
              <w:bottom w:w="80" w:type="dxa"/>
              <w:end w:w="120" w:type="dxa"/>
            </w:tcMar>
            <w:vAlign w:val="top"/>
          </w:tcPr>
          <w:p>
            <w:pPr>
              <w:spacing w:after="0"/>
            </w:pPr>
            <w:r>
              <w:rPr>
                <w:rFonts w:ascii="Calibri" w:hAnsi="Calibri"/>
                <w:b w:val="0"/>
                <w:i w:val="0"/>
                <w:color w:val="1E2228"/>
                <w:sz w:val="17"/>
              </w:rPr>
              <w:t>Check-in and verified attendance ledger</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Supplies outcome evidence after reconciliation, including offline sync.</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Intelligence framework</w:t>
            </w:r>
          </w:p>
        </w:tc>
        <w:tc>
          <w:tcPr>
            <w:tcW w:type="dxa" w:w="3384"/>
            <w:tcMar>
              <w:top w:w="80" w:type="dxa"/>
              <w:start w:w="120" w:type="dxa"/>
              <w:bottom w:w="80" w:type="dxa"/>
              <w:end w:w="120" w:type="dxa"/>
            </w:tcMar>
            <w:vAlign w:val="top"/>
          </w:tcPr>
          <w:p>
            <w:pPr>
              <w:spacing w:after="0"/>
            </w:pPr>
            <w:r>
              <w:rPr>
                <w:rFonts w:ascii="Calibri" w:hAnsi="Calibri"/>
                <w:b w:val="0"/>
                <w:i w:val="0"/>
                <w:color w:val="1E2228"/>
                <w:sz w:val="17"/>
              </w:rPr>
              <w:t>Provenance, freshness, confidence, explanation and human authority</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Governs every forecast and recommendation.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NO DUPLICATION  </w:t>
            </w:r>
            <w:r>
              <w:rPr>
                <w:rFonts w:ascii="Calibri" w:hAnsi="Calibri"/>
                <w:b w:val="0"/>
                <w:i w:val="0"/>
                <w:color w:val="1E2228"/>
                <w:sz w:val="21"/>
              </w:rPr>
              <w:t>The event-day runtime owns observed arrivals and attendance evidence. S04D predicts before and during planning, then consumes reconciled outcomes for evaluation; it does not create a second check-in ledger.</w:t>
            </w:r>
          </w:p>
        </w:tc>
      </w:tr>
    </w:tbl>
    <w:p>
      <w:pPr>
        <w:spacing w:after="20"/>
      </w:pPr>
    </w:p>
    <w:p>
      <w:pPr>
        <w:pStyle w:val="Heading1"/>
      </w:pPr>
      <w:r>
        <w:t>3. Scope and exclusions</w:t>
      </w:r>
    </w:p>
    <w:p>
      <w:pPr>
        <w:pStyle w:val="Heading2"/>
      </w:pPr>
      <w:r>
        <w:t>3.1 In scope</w:t>
      </w:r>
    </w:p>
    <w:p>
      <w:pPr>
        <w:pStyle w:val="ListBullet"/>
      </w:pPr>
      <w:r>
        <w:t>Post-campaign and rolling forecasts by event, day, phase and selected cohort.</w:t>
      </w:r>
    </w:p>
    <w:p>
      <w:pPr>
        <w:pStyle w:val="ListBullet"/>
      </w:pPr>
      <w:r>
        <w:t>Distinct-person counting for adults, children, named companions, entourage and operationally relevant support attendees.</w:t>
      </w:r>
    </w:p>
    <w:p>
      <w:pPr>
        <w:pStyle w:val="ListBullet"/>
      </w:pPr>
      <w:r>
        <w:t>Low/expected/high range, confidence, freshness and uncertainty explanation.</w:t>
      </w:r>
    </w:p>
    <w:p>
      <w:pPr>
        <w:pStyle w:val="ListBullet"/>
      </w:pPr>
      <w:r>
        <w:t>Human-approved planning provision for catering, seating, transport, parking and staffing.</w:t>
      </w:r>
    </w:p>
    <w:p>
      <w:pPr>
        <w:pStyle w:val="ListBullet"/>
      </w:pPr>
      <w:r>
        <w:t>Versioned default rates, event-specific overrides and evidence-based historical calibration.</w:t>
      </w:r>
    </w:p>
    <w:p>
      <w:pPr>
        <w:pStyle w:val="ListBullet"/>
      </w:pPr>
      <w:r>
        <w:t>Shadow-mode comparison with verified event-day outcomes and bias/error monitoring.</w:t>
      </w:r>
    </w:p>
    <w:p>
      <w:pPr>
        <w:pStyle w:val="ListBullet"/>
      </w:pPr>
      <w:r>
        <w:t>Calm host-facing projection through S04E.</w:t>
      </w:r>
    </w:p>
    <w:p>
      <w:pPr>
        <w:pStyle w:val="Heading2"/>
      </w:pPr>
      <w:r>
        <w:t>3.2 Explicit exclusions</w:t>
      </w:r>
    </w:p>
    <w:p>
      <w:pPr>
        <w:pStyle w:val="ListBullet"/>
      </w:pPr>
      <w:r>
        <w:t>Changing RSVP, invitation, guest, phase, credential or attendance records.</w:t>
      </w:r>
    </w:p>
    <w:p>
      <w:pPr>
        <w:pStyle w:val="ListBullet"/>
      </w:pPr>
      <w:r>
        <w:t>Treating an invitation, party or household as one person.</w:t>
      </w:r>
    </w:p>
    <w:p>
      <w:pPr>
        <w:pStyle w:val="ListBullet"/>
      </w:pPr>
      <w:r>
        <w:t>Publishing Lagos percentages as universal fact.</w:t>
      </w:r>
    </w:p>
    <w:p>
      <w:pPr>
        <w:pStyle w:val="ListBullet"/>
      </w:pPr>
      <w:r>
        <w:t>Inferring attendance from sensitive traits, wealth, ethnicity, religion, health or private notes.</w:t>
      </w:r>
    </w:p>
    <w:p>
      <w:pPr>
        <w:pStyle w:val="ListBullet"/>
      </w:pPr>
      <w:r>
        <w:t>Autonomous vendor orders, venue commitments, overbooking or guest communications.</w:t>
      </w:r>
    </w:p>
    <w:p>
      <w:pPr>
        <w:pStyle w:val="ListBullet"/>
      </w:pPr>
      <w:r>
        <w:t>Unreviewed machine learning or production AI before its release gate.</w:t>
      </w:r>
    </w:p>
    <w:p>
      <w:pPr>
        <w:pStyle w:val="ListBullet"/>
      </w:pPr>
      <w:r>
        <w:t>EOS-S05 implementation or production authorisation.</w:t>
      </w:r>
    </w:p>
    <w:p>
      <w:pPr>
        <w:pStyle w:val="Heading1"/>
      </w:pPr>
      <w:r>
        <w:t>4. Counting law and denominator control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COUNT PEOPLE  </w:t>
            </w:r>
            <w:r>
              <w:rPr>
                <w:rFonts w:ascii="Calibri" w:hAnsi="Calibri"/>
                <w:b w:val="0"/>
                <w:i w:val="0"/>
                <w:color w:val="1E2228"/>
                <w:sz w:val="21"/>
              </w:rPr>
              <w:t>Every materialised attendee is counted by guestId. A party or household is a relationship container, not a headcount. Every child has a guestId and age band. Every named additional guest has a guestId.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rFonts w:ascii="Calibri" w:hAnsi="Calibri"/>
                <w:b/>
                <w:i w:val="0"/>
                <w:color w:val="0B2545"/>
                <w:sz w:val="18"/>
              </w:rPr>
              <w:t>Population</w:t>
            </w:r>
          </w:p>
        </w:tc>
        <w:tc>
          <w:tcPr>
            <w:tcW w:type="dxa" w:w="6840"/>
            <w:shd w:fill="E8EEF5"/>
            <w:tcMar>
              <w:top w:w="80" w:type="dxa"/>
              <w:start w:w="120" w:type="dxa"/>
              <w:bottom w:w="80" w:type="dxa"/>
              <w:end w:w="120" w:type="dxa"/>
            </w:tcMar>
            <w:vAlign w:val="center"/>
          </w:tcPr>
          <w:p>
            <w:r>
              <w:rPr>
                <w:rFonts w:ascii="Calibri" w:hAnsi="Calibri"/>
                <w:b/>
                <w:i w:val="0"/>
                <w:color w:val="0B2545"/>
                <w:sz w:val="18"/>
              </w:rPr>
              <w:t>Counting rule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Named adult/child</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One person per distinct guestId, subject to phase eligibility.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Confirmed plus-one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Count independent guestId; preserve sponsor/companion lineage.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Unnamed entitlement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Do not fabricate guestId; model as unresolved entitlement uncertainty.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Driver/security/entourage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Count only for phases/services where presence affects capacity or provision.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Vendor/staff</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Separate workforce/service forecast; never merge into guest attendance.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Declined guest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Retains very low governed probability only if configured and evidenced.</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No response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Cohort/event-type probability with uncertainty widened appropriately.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Cancelled/revoked invitation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Zero guest probability unless authorised exception states otherwise.</w:t>
            </w:r>
          </w:p>
        </w:tc>
      </w:tr>
    </w:tbl>
    <w:p>
      <w:pPr>
        <w:spacing w:after="20"/>
      </w:pPr>
    </w:p>
    <w:p>
      <w:pPr>
        <w:pStyle w:val="Heading2"/>
      </w:pPr>
      <w:r>
        <w:t>4.1 Deduplication laws</w:t>
      </w:r>
    </w:p>
    <w:p>
      <w:pPr>
        <w:pStyle w:val="ListBullet"/>
      </w:pPr>
      <w:r>
        <w:t>Unique whole-event count is not the sum of phase counts.</w:t>
      </w:r>
    </w:p>
    <w:p>
      <w:pPr>
        <w:pStyle w:val="ListBullet"/>
      </w:pPr>
      <w:r>
        <w:t>A person attending church and reception is one whole-event person but one person in each applicable phase.</w:t>
      </w:r>
    </w:p>
    <w:p>
      <w:pPr>
        <w:pStyle w:val="ListBullet"/>
      </w:pPr>
      <w:r>
        <w:t>Identity uncertainty produces an exception; the engine never merges similar names automatically.</w:t>
      </w:r>
    </w:p>
    <w:p>
      <w:pPr>
        <w:pStyle w:val="ListBullet"/>
      </w:pPr>
      <w:r>
        <w:t>Capacity comparisons use the phase/location occupancy definition, not whole-event unique count.</w:t>
      </w:r>
    </w:p>
    <w:p>
      <w:pPr>
        <w:pStyle w:val="Heading1"/>
      </w:pPr>
      <w:r>
        <w:t>5. Forecast model v1 — transparent and governed</w:t>
      </w:r>
    </w:p>
    <w:p>
      <w:r>
        <w:t>For each eligible person or unresolved entitlement, the engine assigns an attendance probability under a named, versioned parameter set. The expected count is the sum of those probabilities. Initial rates are controlled defaults, not claims about Nigeria or Lagos.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BASE EQUATION  </w:t>
            </w:r>
            <w:r>
              <w:rPr>
                <w:rFonts w:ascii="Calibri" w:hAnsi="Calibri"/>
                <w:b w:val="0"/>
                <w:i w:val="0"/>
                <w:color w:val="1E2228"/>
                <w:sz w:val="21"/>
              </w:rPr>
              <w:t>Expected attendance = Σ probability(person or unresolved entitlement attends the applicable phase). A grouped Yes / No-response / No formula is a valid aggregate implementation only when its denominators represent people.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448"/>
            <w:shd w:fill="E8EEF5"/>
            <w:tcMar>
              <w:top w:w="80" w:type="dxa"/>
              <w:start w:w="120" w:type="dxa"/>
              <w:bottom w:w="80" w:type="dxa"/>
              <w:end w:w="120" w:type="dxa"/>
            </w:tcMar>
            <w:vAlign w:val="center"/>
          </w:tcPr>
          <w:p>
            <w:r>
              <w:rPr>
                <w:rFonts w:ascii="Calibri" w:hAnsi="Calibri"/>
                <w:b/>
                <w:i w:val="0"/>
                <w:color w:val="0B2545"/>
                <w:sz w:val="18"/>
              </w:rPr>
              <w:t>RSVP class</w:t>
            </w:r>
          </w:p>
        </w:tc>
        <w:tc>
          <w:tcPr>
            <w:tcW w:type="dxa" w:w="2160"/>
            <w:shd w:fill="E8EEF5"/>
            <w:tcMar>
              <w:top w:w="80" w:type="dxa"/>
              <w:start w:w="120" w:type="dxa"/>
              <w:bottom w:w="80" w:type="dxa"/>
              <w:end w:w="120" w:type="dxa"/>
            </w:tcMar>
            <w:vAlign w:val="center"/>
          </w:tcPr>
          <w:p>
            <w:r>
              <w:rPr>
                <w:rFonts w:ascii="Calibri" w:hAnsi="Calibri"/>
                <w:b/>
                <w:i w:val="0"/>
                <w:color w:val="0B2545"/>
                <w:sz w:val="18"/>
              </w:rPr>
              <w:t>Draft starting band</w:t>
            </w:r>
          </w:p>
        </w:tc>
        <w:tc>
          <w:tcPr>
            <w:tcW w:type="dxa" w:w="4752"/>
            <w:shd w:fill="E8EEF5"/>
            <w:tcMar>
              <w:top w:w="80" w:type="dxa"/>
              <w:start w:w="120" w:type="dxa"/>
              <w:bottom w:w="80" w:type="dxa"/>
              <w:end w:w="120" w:type="dxa"/>
            </w:tcMar>
            <w:vAlign w:val="center"/>
          </w:tcPr>
          <w:p>
            <w:r>
              <w:rPr>
                <w:rFonts w:ascii="Calibri" w:hAnsi="Calibri"/>
                <w:b/>
                <w:i w:val="0"/>
                <w:color w:val="0B2545"/>
                <w:sz w:val="18"/>
              </w:rPr>
              <w:t>Control</w:t>
            </w:r>
          </w:p>
        </w:tc>
      </w:tr>
      <w:tr>
        <w:trPr>
          <w:cantSplit/>
        </w:trPr>
        <w:tc>
          <w:tcPr>
            <w:tcW w:type="dxa" w:w="2448"/>
            <w:tcMar>
              <w:top w:w="80" w:type="dxa"/>
              <w:start w:w="120" w:type="dxa"/>
              <w:bottom w:w="80" w:type="dxa"/>
              <w:end w:w="120" w:type="dxa"/>
            </w:tcMar>
            <w:vAlign w:val="top"/>
          </w:tcPr>
          <w:p>
            <w:pPr>
              <w:spacing w:after="0"/>
            </w:pPr>
            <w:r>
              <w:rPr>
                <w:rFonts w:ascii="Calibri" w:hAnsi="Calibri"/>
                <w:b w:val="0"/>
                <w:i w:val="0"/>
                <w:color w:val="1E2228"/>
                <w:sz w:val="17"/>
              </w:rPr>
              <w:t>YES</w:t>
            </w:r>
          </w:p>
        </w:tc>
        <w:tc>
          <w:tcPr>
            <w:tcW w:type="dxa" w:w="2160"/>
            <w:tcMar>
              <w:top w:w="80" w:type="dxa"/>
              <w:start w:w="120" w:type="dxa"/>
              <w:bottom w:w="80" w:type="dxa"/>
              <w:end w:w="120" w:type="dxa"/>
            </w:tcMar>
            <w:vAlign w:val="top"/>
          </w:tcPr>
          <w:p>
            <w:pPr>
              <w:spacing w:after="0"/>
            </w:pPr>
            <w:r>
              <w:rPr>
                <w:rFonts w:ascii="Calibri" w:hAnsi="Calibri"/>
                <w:b w:val="0"/>
                <w:i w:val="0"/>
                <w:color w:val="1E2228"/>
                <w:sz w:val="17"/>
              </w:rPr>
              <w:t>0.85–0.95</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Event-type default; never assumed certain.</w:t>
            </w:r>
          </w:p>
        </w:tc>
      </w:tr>
      <w:tr>
        <w:trPr>
          <w:cantSplit/>
        </w:trPr>
        <w:tc>
          <w:tcPr>
            <w:tcW w:type="dxa" w:w="2448"/>
            <w:tcMar>
              <w:top w:w="80" w:type="dxa"/>
              <w:start w:w="120" w:type="dxa"/>
              <w:bottom w:w="80" w:type="dxa"/>
              <w:end w:w="120" w:type="dxa"/>
            </w:tcMar>
            <w:vAlign w:val="top"/>
          </w:tcPr>
          <w:p>
            <w:pPr>
              <w:spacing w:after="0"/>
            </w:pPr>
            <w:r>
              <w:rPr>
                <w:rFonts w:ascii="Calibri" w:hAnsi="Calibri"/>
                <w:b w:val="0"/>
                <w:i w:val="0"/>
                <w:color w:val="1E2228"/>
                <w:sz w:val="17"/>
              </w:rPr>
              <w:t>NO_RESPONSE</w:t>
            </w:r>
          </w:p>
        </w:tc>
        <w:tc>
          <w:tcPr>
            <w:tcW w:type="dxa" w:w="2160"/>
            <w:tcMar>
              <w:top w:w="80" w:type="dxa"/>
              <w:start w:w="120" w:type="dxa"/>
              <w:bottom w:w="80" w:type="dxa"/>
              <w:end w:w="120" w:type="dxa"/>
            </w:tcMar>
            <w:vAlign w:val="top"/>
          </w:tcPr>
          <w:p>
            <w:pPr>
              <w:spacing w:after="0"/>
            </w:pPr>
            <w:r>
              <w:rPr>
                <w:rFonts w:ascii="Calibri" w:hAnsi="Calibri"/>
                <w:b w:val="0"/>
                <w:i w:val="0"/>
                <w:color w:val="1E2228"/>
                <w:sz w:val="17"/>
              </w:rPr>
              <w:t>0.30–0.50</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Wider uncertainty; segment only with permitted evidence.</w:t>
            </w:r>
          </w:p>
        </w:tc>
      </w:tr>
      <w:tr>
        <w:trPr>
          <w:cantSplit/>
        </w:trPr>
        <w:tc>
          <w:tcPr>
            <w:tcW w:type="dxa" w:w="2448"/>
            <w:tcMar>
              <w:top w:w="80" w:type="dxa"/>
              <w:start w:w="120" w:type="dxa"/>
              <w:bottom w:w="80" w:type="dxa"/>
              <w:end w:w="120" w:type="dxa"/>
            </w:tcMar>
            <w:vAlign w:val="top"/>
          </w:tcPr>
          <w:p>
            <w:pPr>
              <w:spacing w:after="0"/>
            </w:pPr>
            <w:r>
              <w:rPr>
                <w:rFonts w:ascii="Calibri" w:hAnsi="Calibri"/>
                <w:b w:val="0"/>
                <w:i w:val="0"/>
                <w:color w:val="1E2228"/>
                <w:sz w:val="17"/>
              </w:rPr>
              <w:t>NO</w:t>
            </w:r>
          </w:p>
        </w:tc>
        <w:tc>
          <w:tcPr>
            <w:tcW w:type="dxa" w:w="2160"/>
            <w:tcMar>
              <w:top w:w="80" w:type="dxa"/>
              <w:start w:w="120" w:type="dxa"/>
              <w:bottom w:w="80" w:type="dxa"/>
              <w:end w:w="120" w:type="dxa"/>
            </w:tcMar>
            <w:vAlign w:val="top"/>
          </w:tcPr>
          <w:p>
            <w:pPr>
              <w:spacing w:after="0"/>
            </w:pPr>
            <w:r>
              <w:rPr>
                <w:rFonts w:ascii="Calibri" w:hAnsi="Calibri"/>
                <w:b w:val="0"/>
                <w:i w:val="0"/>
                <w:color w:val="1E2228"/>
                <w:sz w:val="17"/>
              </w:rPr>
              <w:t>0.00–0.10</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Normally near zero; late-change behaviour must be evidenced.</w:t>
            </w:r>
          </w:p>
        </w:tc>
      </w:tr>
      <w:tr>
        <w:trPr>
          <w:cantSplit/>
        </w:trPr>
        <w:tc>
          <w:tcPr>
            <w:tcW w:type="dxa" w:w="2448"/>
            <w:tcMar>
              <w:top w:w="80" w:type="dxa"/>
              <w:start w:w="120" w:type="dxa"/>
              <w:bottom w:w="80" w:type="dxa"/>
              <w:end w:w="120" w:type="dxa"/>
            </w:tcMar>
            <w:vAlign w:val="top"/>
          </w:tcPr>
          <w:p>
            <w:pPr>
              <w:spacing w:after="0"/>
            </w:pPr>
            <w:r>
              <w:rPr>
                <w:rFonts w:ascii="Calibri" w:hAnsi="Calibri"/>
                <w:b w:val="0"/>
                <w:i w:val="0"/>
                <w:color w:val="1E2228"/>
                <w:sz w:val="17"/>
              </w:rPr>
              <w:t>UNKNOWN / DATA GAP</w:t>
            </w:r>
          </w:p>
        </w:tc>
        <w:tc>
          <w:tcPr>
            <w:tcW w:type="dxa" w:w="2160"/>
            <w:tcMar>
              <w:top w:w="80" w:type="dxa"/>
              <w:start w:w="120" w:type="dxa"/>
              <w:bottom w:w="80" w:type="dxa"/>
              <w:end w:w="120" w:type="dxa"/>
            </w:tcMar>
            <w:vAlign w:val="top"/>
          </w:tcPr>
          <w:p>
            <w:pPr>
              <w:spacing w:after="0"/>
            </w:pPr>
            <w:r>
              <w:rPr>
                <w:rFonts w:ascii="Calibri" w:hAnsi="Calibri"/>
                <w:b w:val="0"/>
                <w:i w:val="0"/>
                <w:color w:val="1E2228"/>
                <w:sz w:val="17"/>
              </w:rPr>
              <w:t>No silent rate</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Expose missing data and widen range or require decision.</w:t>
            </w:r>
          </w:p>
        </w:tc>
      </w:tr>
    </w:tbl>
    <w:p>
      <w:pPr>
        <w:spacing w:after="20"/>
      </w:pPr>
    </w:p>
    <w:p>
      <w:pPr>
        <w:pStyle w:val="Heading2"/>
      </w:pPr>
      <w:r>
        <w:t>5.1 Permitted adjustments</w:t>
      </w:r>
    </w:p>
    <w:p>
      <w:pPr>
        <w:pStyle w:val="ListBullet"/>
      </w:pPr>
      <w:r>
        <w:t>Event type and service format; weekday/weekend; lead time and response recency.</w:t>
      </w:r>
    </w:p>
    <w:p>
      <w:pPr>
        <w:pStyle w:val="ListBullet"/>
      </w:pPr>
      <w:r>
        <w:t>Phase-specific invitation and declared phase attendance.</w:t>
      </w:r>
    </w:p>
    <w:p>
      <w:pPr>
        <w:pStyle w:val="ListBullet"/>
      </w:pPr>
      <w:r>
        <w:t>Local/diaspora travel practicality where explicitly supplied and purpose-compatible.</w:t>
      </w:r>
    </w:p>
    <w:p>
      <w:pPr>
        <w:pStyle w:val="ListBullet"/>
      </w:pPr>
      <w:r>
        <w:t>Confirmed party composition and unresolved companion entitlement.</w:t>
      </w:r>
    </w:p>
    <w:p>
      <w:pPr>
        <w:pStyle w:val="ListBullet"/>
      </w:pPr>
      <w:r>
        <w:t>Historical attendance behaviour only when identity, consent/purpose, retention and minimum sample controls permit it.</w:t>
      </w:r>
    </w:p>
    <w:p>
      <w:pPr>
        <w:pStyle w:val="ListBullet"/>
      </w:pPr>
      <w:r>
        <w:t>Operational cohorts such as protocol/VIP only where the distinction materially affects attendance and is governed.</w:t>
      </w:r>
    </w:p>
    <w:p>
      <w:pPr>
        <w:pStyle w:val="Heading2"/>
      </w:pPr>
      <w:r>
        <w:t>5.2 Prohibited adjustments</w:t>
      </w:r>
    </w:p>
    <w:p>
      <w:pPr>
        <w:pStyle w:val="ListBullet"/>
      </w:pPr>
      <w:r>
        <w:t>Sensitive or protected traits; private concierge content; perceived wealth; inferred family status; merchandise/payment status; arbitrary staff intuition encoded without provenance.</w:t>
      </w:r>
    </w:p>
    <w:p>
      <w:pPr>
        <w:pStyle w:val="ListBullet"/>
      </w:pPr>
      <w:r>
        <w:t>A person-level label such as “unreliable guest.” Historical evidence informs a bounded probability, never a dignity-reducing profile.</w:t>
      </w:r>
    </w:p>
    <w:p>
      <w:pPr>
        <w:pStyle w:val="Heading1"/>
      </w:pPr>
      <w:r>
        <w:t>6. Range, confidence and provision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rFonts w:ascii="Calibri" w:hAnsi="Calibri"/>
                <w:b/>
                <w:i w:val="0"/>
                <w:color w:val="0B2545"/>
                <w:sz w:val="18"/>
              </w:rPr>
              <w:t>Output</w:t>
            </w:r>
          </w:p>
        </w:tc>
        <w:tc>
          <w:tcPr>
            <w:tcW w:type="dxa" w:w="6984"/>
            <w:shd w:fill="E8EEF5"/>
            <w:tcMar>
              <w:top w:w="80" w:type="dxa"/>
              <w:start w:w="120" w:type="dxa"/>
              <w:bottom w:w="80" w:type="dxa"/>
              <w:end w:w="120" w:type="dxa"/>
            </w:tcMar>
            <w:vAlign w:val="center"/>
          </w:tcPr>
          <w:p>
            <w:r>
              <w:rPr>
                <w:rFonts w:ascii="Calibri" w:hAnsi="Calibri"/>
                <w:b/>
                <w:i w:val="0"/>
                <w:color w:val="0B2545"/>
                <w:sz w:val="18"/>
              </w:rPr>
              <w:t>Required treatment</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Low / expected / high</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Derived by approved uncertainty method; show whole numbers and timestamp.</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Confidence</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HIGH / MEDIUM / LOW with sample, response coverage, freshness and data-quality reasons.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Buffer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Explicit operational policy, not hidden inside predicted attendance.</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Provision number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Rounded and constrained by service policy, capacity and human approval.</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Scenario</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Base, cautious and constrained-capacity scenarios preserved side by side.</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Explanation</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Top drivers, changed inputs, parameter version and effect since last run.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SEPARATION LAW  </w:t>
            </w:r>
            <w:r>
              <w:rPr>
                <w:rFonts w:ascii="Calibri" w:hAnsi="Calibri"/>
                <w:b w:val="0"/>
                <w:i w:val="0"/>
                <w:color w:val="1E2228"/>
                <w:sz w:val="21"/>
              </w:rPr>
              <w:t>Attendance forecast ≠ catering guarantee ≠ venue capacity. The interface must never collapse these three numbers into one.</w:t>
            </w:r>
          </w:p>
        </w:tc>
      </w:tr>
    </w:tbl>
    <w:p>
      <w:pPr>
        <w:spacing w:after="20"/>
      </w:pPr>
    </w:p>
    <w:p>
      <w:pPr>
        <w:pStyle w:val="Heading2"/>
      </w:pPr>
      <w:r>
        <w:t>6.1 Example host-safe output</w:t>
      </w:r>
    </w:p>
    <w:p>
      <w:r>
        <w:t>Likely attendance: 443. Plausible range: 421–472. Maison Doclar recommends planning service for 465, subject to the Event Director’s approval. Confidence: Medium. Main uncertainty: 61 non-responders and 14 unnamed companion entitlements.</w:t>
      </w:r>
    </w:p>
    <w:p>
      <w:pPr>
        <w:pStyle w:val="Heading1"/>
      </w:pPr>
      <w:r>
        <w:t>7. Multiphase and multiday intelligence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View</w:t>
            </w:r>
          </w:p>
        </w:tc>
        <w:tc>
          <w:tcPr>
            <w:tcW w:type="dxa" w:w="7128"/>
            <w:shd w:fill="E8EEF5"/>
            <w:tcMar>
              <w:top w:w="80" w:type="dxa"/>
              <w:start w:w="120" w:type="dxa"/>
              <w:bottom w:w="80" w:type="dxa"/>
              <w:end w:w="120" w:type="dxa"/>
            </w:tcMar>
            <w:vAlign w:val="center"/>
          </w:tcPr>
          <w:p>
            <w:r>
              <w:rPr>
                <w:rFonts w:ascii="Calibri" w:hAnsi="Calibri"/>
                <w:b/>
                <w:i w:val="0"/>
                <w:color w:val="0B2545"/>
                <w:sz w:val="18"/>
              </w:rPr>
              <w:t>Definition</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Programme unique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Distinct people expected to attend at least one phase.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Day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Distinct people expected on that calendar day.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Phase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Expected occupancy/attendance for church, registry, reception or other phase.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Location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Expected people physically present during configured interval.</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Transition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Expected movement between phases/locations, with transport and timing uncertainty.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Service cohort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Meals, seats, parking, shuttles or other provision eligibility for that phase.</w:t>
            </w:r>
          </w:p>
        </w:tc>
      </w:tr>
    </w:tbl>
    <w:p>
      <w:pPr>
        <w:spacing w:after="20"/>
      </w:pPr>
    </w:p>
    <w:p>
      <w:pPr>
        <w:pStyle w:val="ListBullet"/>
      </w:pPr>
      <w:r>
        <w:t>A single-day multiphase event uses the same model as a multiday programme.</w:t>
      </w:r>
    </w:p>
    <w:p>
      <w:pPr>
        <w:pStyle w:val="ListBullet"/>
      </w:pPr>
      <w:r>
        <w:t>Phase forecasts use phase eligibility and phase response where available; they do not inherit whole-event Yes blindly.</w:t>
      </w:r>
    </w:p>
    <w:p>
      <w:pPr>
        <w:pStyle w:val="ListBullet"/>
      </w:pPr>
      <w:r>
        <w:t>Transition estimates must not double-count people or imply confirmed transport arrangements.</w:t>
      </w:r>
    </w:p>
    <w:p>
      <w:pPr>
        <w:pStyle w:val="ListBullet"/>
      </w:pPr>
      <w:r>
        <w:t>Children may have different provision rules by age band, but remain individual people.</w:t>
      </w:r>
    </w:p>
    <w:p>
      <w:pPr>
        <w:pStyle w:val="Heading1"/>
      </w:pPr>
      <w:r>
        <w:t>8. Canonical records and contracts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736"/>
            <w:shd w:fill="E8EEF5"/>
            <w:tcMar>
              <w:top w:w="80" w:type="dxa"/>
              <w:start w:w="120" w:type="dxa"/>
              <w:bottom w:w="80" w:type="dxa"/>
              <w:end w:w="120" w:type="dxa"/>
            </w:tcMar>
            <w:vAlign w:val="center"/>
          </w:tcPr>
          <w:p>
            <w:r>
              <w:rPr>
                <w:rFonts w:ascii="Calibri" w:hAnsi="Calibri"/>
                <w:b/>
                <w:i w:val="0"/>
                <w:color w:val="0B2545"/>
                <w:sz w:val="18"/>
              </w:rPr>
              <w:t>Record</w:t>
            </w:r>
          </w:p>
        </w:tc>
        <w:tc>
          <w:tcPr>
            <w:tcW w:type="dxa" w:w="6624"/>
            <w:shd w:fill="E8EEF5"/>
            <w:tcMar>
              <w:top w:w="80" w:type="dxa"/>
              <w:start w:w="120" w:type="dxa"/>
              <w:bottom w:w="80" w:type="dxa"/>
              <w:end w:w="120" w:type="dxa"/>
            </w:tcMar>
            <w:vAlign w:val="center"/>
          </w:tcPr>
          <w:p>
            <w:r>
              <w:rPr>
                <w:rFonts w:ascii="Calibri" w:hAnsi="Calibri"/>
                <w:b/>
                <w:i w:val="0"/>
                <w:color w:val="0B2545"/>
                <w:sz w:val="18"/>
              </w:rPr>
              <w:t>Essential fields</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ForecastRun</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forecastRunId, event/programme scope, asOf, modelVersion, inputSnapshotId, status.</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ForecastPopulation</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person/entitlement reference, phase scope, RSVP class, inclusion reason.</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ForecastEstimate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scope, low, expected, high, confidence, freshness, explanation.</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ModelParameterSet</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version, applicability, rates/bands, source, status, owner, approval.</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ProvisionRecommendation</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domain, proposed quantity/buffer, rationale, capacity, approver, state.</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ForecastOverride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field, prior/new value, reason, maker/checker, expiry.</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ForecastOutcome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reconciled actual count, source ledger, completeness, variance and review.</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ForecastEvaluation</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error metrics, calibration, cohort checks, release recommendation.</w:t>
            </w:r>
          </w:p>
        </w:tc>
      </w:tr>
    </w:tbl>
    <w:p>
      <w:pPr>
        <w:spacing w:after="20"/>
      </w:pPr>
    </w:p>
    <w:p>
      <w:pPr>
        <w:pStyle w:val="Heading2"/>
      </w:pPr>
      <w:r>
        <w:t>8.1 API and eventing</w:t>
      </w:r>
    </w:p>
    <w:p>
      <w:pPr>
        <w:pStyle w:val="ListBullet"/>
      </w:pPr>
      <w:r>
        <w:t>Read RSVP/guest/phase snapshots through versioned contracts; reject stale or cross-event inputs.</w:t>
      </w:r>
    </w:p>
    <w:p>
      <w:pPr>
        <w:pStyle w:val="ListBullet"/>
      </w:pPr>
      <w:r>
        <w:t>Recompute on relevant changes and on authorised schedule; debounce bursts and preserve correlation IDs.</w:t>
      </w:r>
    </w:p>
    <w:p>
      <w:pPr>
        <w:pStyle w:val="ListBullet"/>
      </w:pPr>
      <w:r>
        <w:t>Expose immutable forecast versions and a latest-approved projection.</w:t>
      </w:r>
    </w:p>
    <w:p>
      <w:pPr>
        <w:pStyle w:val="ListBullet"/>
      </w:pPr>
      <w:r>
        <w:t>Never emit core mutation events; provision approval emits only planning-domain decisions.</w:t>
      </w:r>
    </w:p>
    <w:p>
      <w:pPr>
        <w:pStyle w:val="ListBullet"/>
      </w:pPr>
      <w:r>
        <w:t>Offline event-day data is consumed only after sync/reconciliation state is explicit.</w:t>
      </w:r>
    </w:p>
    <w:p>
      <w:pPr>
        <w:pStyle w:val="Heading1"/>
      </w:pPr>
      <w:r>
        <w:t>9. Calibration and learning</w:t>
      </w:r>
    </w:p>
    <w:p>
      <w:pPr>
        <w:pStyle w:val="ListNumber"/>
      </w:pPr>
      <w:r>
        <w:t>After each event, reconcile RSVP-deadline categories with verified attendance by phase.</w:t>
      </w:r>
    </w:p>
    <w:p>
      <w:pPr>
        <w:pStyle w:val="ListNumber"/>
      </w:pPr>
      <w:r>
        <w:t>Calculate calibration and error by event type, phase and permitted cohort.</w:t>
      </w:r>
    </w:p>
    <w:p>
      <w:pPr>
        <w:pStyle w:val="ListNumber"/>
      </w:pPr>
      <w:r>
        <w:t>Require minimum sample and event count before recommending parameter changes.</w:t>
      </w:r>
    </w:p>
    <w:p>
      <w:pPr>
        <w:pStyle w:val="ListNumber"/>
      </w:pPr>
      <w:r>
        <w:t>Review drift, systematic under/overestimation and disparate operational impact.</w:t>
      </w:r>
    </w:p>
    <w:p>
      <w:pPr>
        <w:pStyle w:val="ListNumber"/>
      </w:pPr>
      <w:r>
        <w:t>Approve a new parameter version through maker/checker; never self-promote.</w:t>
      </w:r>
    </w:p>
    <w:p>
      <w:pPr>
        <w:pStyle w:val="ListNumber"/>
      </w:pPr>
      <w:r>
        <w:t>Retain old versions and reproduce every historical forecast.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COLD START  </w:t>
            </w:r>
            <w:r>
              <w:rPr>
                <w:rFonts w:ascii="Calibri" w:hAnsi="Calibri"/>
                <w:b w:val="0"/>
                <w:i w:val="0"/>
                <w:color w:val="1E2228"/>
                <w:sz w:val="21"/>
              </w:rPr>
              <w:t>Until Maison Doclar has sufficient verified outcomes, defaults remain provisional, confidence remains qualified and human operational judgement remains controlling.</w:t>
            </w:r>
          </w:p>
        </w:tc>
      </w:tr>
    </w:tbl>
    <w:p>
      <w:pPr>
        <w:spacing w:after="20"/>
      </w:pPr>
    </w:p>
    <w:p>
      <w:pPr>
        <w:pStyle w:val="Heading1"/>
      </w:pPr>
      <w:r>
        <w:t>10. Permissions, approvals and audit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rFonts w:ascii="Calibri" w:hAnsi="Calibri"/>
                <w:b/>
                <w:i w:val="0"/>
                <w:color w:val="0B2545"/>
                <w:sz w:val="18"/>
              </w:rPr>
              <w:t>Role</w:t>
            </w:r>
          </w:p>
        </w:tc>
        <w:tc>
          <w:tcPr>
            <w:tcW w:type="dxa" w:w="6984"/>
            <w:shd w:fill="E8EEF5"/>
            <w:tcMar>
              <w:top w:w="80" w:type="dxa"/>
              <w:start w:w="120" w:type="dxa"/>
              <w:bottom w:w="80" w:type="dxa"/>
              <w:end w:w="120" w:type="dxa"/>
            </w:tcMar>
            <w:vAlign w:val="center"/>
          </w:tcPr>
          <w:p>
            <w:r>
              <w:rPr>
                <w:rFonts w:ascii="Calibri" w:hAnsi="Calibri"/>
                <w:b/>
                <w:i w:val="0"/>
                <w:color w:val="0B2545"/>
                <w:sz w:val="18"/>
              </w:rPr>
              <w:t>Default intent</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CEO</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View host-safe summary; approve reserved provision/capacity decisions.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Event Director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Run/approve forecasts and operational provision within event authority.</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Planner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View detail, prepare scenarios and propose justified overrides.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Domain lead</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Approve catering/seating/transport-specific provision where delegated.</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Host portal user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Read approved calm projection only; no model controls.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Auditor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Read inputs, versions, approvals and evaluation; no mutation.</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System administrator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Technical operation only; no business/model authority by default.</w:t>
            </w:r>
          </w:p>
        </w:tc>
      </w:tr>
    </w:tbl>
    <w:p>
      <w:pPr>
        <w:spacing w:after="20"/>
      </w:pPr>
    </w:p>
    <w:p>
      <w:r>
        <w:t>Permission families: forecast.run, forecast.detail.view, forecast.hostProjection.view, forecast.override.propose, forecast.override.approve, provision.propose, provision.approve, model.parameters.manage, model.evaluate and forecast.audit.view.</w:t>
      </w:r>
    </w:p>
    <w:p>
      <w:pPr>
        <w:pStyle w:val="Heading1"/>
      </w:pPr>
      <w:r>
        <w:t>11. Failure and exception handling</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736"/>
            <w:shd w:fill="E8EEF5"/>
            <w:tcMar>
              <w:top w:w="80" w:type="dxa"/>
              <w:start w:w="120" w:type="dxa"/>
              <w:bottom w:w="80" w:type="dxa"/>
              <w:end w:w="120" w:type="dxa"/>
            </w:tcMar>
            <w:vAlign w:val="center"/>
          </w:tcPr>
          <w:p>
            <w:r>
              <w:rPr>
                <w:rFonts w:ascii="Calibri" w:hAnsi="Calibri"/>
                <w:b/>
                <w:i w:val="0"/>
                <w:color w:val="0B2545"/>
                <w:sz w:val="18"/>
              </w:rPr>
              <w:t>Condition</w:t>
            </w:r>
          </w:p>
        </w:tc>
        <w:tc>
          <w:tcPr>
            <w:tcW w:type="dxa" w:w="6624"/>
            <w:shd w:fill="E8EEF5"/>
            <w:tcMar>
              <w:top w:w="80" w:type="dxa"/>
              <w:start w:w="120" w:type="dxa"/>
              <w:bottom w:w="80" w:type="dxa"/>
              <w:end w:w="120" w:type="dxa"/>
            </w:tcMar>
            <w:vAlign w:val="center"/>
          </w:tcPr>
          <w:p>
            <w:r>
              <w:rPr>
                <w:rFonts w:ascii="Calibri" w:hAnsi="Calibri"/>
                <w:b/>
                <w:i w:val="0"/>
                <w:color w:val="0B2545"/>
                <w:sz w:val="18"/>
              </w:rPr>
              <w:t>Required response</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Stale/incomplete RSVP snapshot</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Show age and missing fields; lower confidence; do not invent values.</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Duplicate/ambiguous person</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Quarantine from person-level calculation or model as explicit uncertainty.</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Capacity below high range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Raise decision, scenarios and deadline; do not auto-overbook or suppress.</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Forecast swings materially</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Explain changed inputs and notify authorised operator only.</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Insufficient history</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Use provisional default and disclose weak evidence.</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Outcome ledger incomplete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Do not calibrate until completeness is accepted.</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Model service unavailable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Serve last approved forecast with timestamp; show unavailable/stale state.</w:t>
            </w:r>
          </w:p>
        </w:tc>
      </w:tr>
      <w:tr>
        <w:trPr>
          <w:cantSplit/>
        </w:trPr>
        <w:tc>
          <w:tcPr>
            <w:tcW w:type="dxa" w:w="2736"/>
            <w:tcMar>
              <w:top w:w="80" w:type="dxa"/>
              <w:start w:w="120" w:type="dxa"/>
              <w:bottom w:w="80" w:type="dxa"/>
              <w:end w:w="120" w:type="dxa"/>
            </w:tcMar>
            <w:vAlign w:val="top"/>
          </w:tcPr>
          <w:p>
            <w:pPr>
              <w:spacing w:after="0"/>
            </w:pPr>
            <w:r>
              <w:rPr>
                <w:rFonts w:ascii="Calibri" w:hAnsi="Calibri"/>
                <w:b w:val="0"/>
                <w:i w:val="0"/>
                <w:color w:val="1E2228"/>
                <w:sz w:val="17"/>
              </w:rPr>
              <w:t>Manual override</w:t>
            </w:r>
          </w:p>
        </w:tc>
        <w:tc>
          <w:tcPr>
            <w:tcW w:type="dxa" w:w="6624"/>
            <w:tcMar>
              <w:top w:w="80" w:type="dxa"/>
              <w:start w:w="120" w:type="dxa"/>
              <w:bottom w:w="80" w:type="dxa"/>
              <w:end w:w="120" w:type="dxa"/>
            </w:tcMar>
            <w:vAlign w:val="top"/>
          </w:tcPr>
          <w:p>
            <w:pPr>
              <w:spacing w:after="0"/>
            </w:pPr>
            <w:r>
              <w:rPr>
                <w:rFonts w:ascii="Calibri" w:hAnsi="Calibri"/>
                <w:b w:val="0"/>
                <w:i w:val="0"/>
                <w:color w:val="1E2228"/>
                <w:sz w:val="17"/>
              </w:rPr>
              <w:t>Require reason, expiry, maker/checker and visible comparison.</w:t>
            </w:r>
          </w:p>
        </w:tc>
      </w:tr>
    </w:tbl>
    <w:p>
      <w:pPr>
        <w:spacing w:after="20"/>
      </w:pPr>
    </w:p>
    <w:p>
      <w:pPr>
        <w:pStyle w:val="Heading1"/>
      </w:pPr>
      <w:r>
        <w:t>12. UX surfaces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rFonts w:ascii="Calibri" w:hAnsi="Calibri"/>
                <w:b/>
                <w:i w:val="0"/>
                <w:color w:val="0B2545"/>
                <w:sz w:val="18"/>
              </w:rPr>
              <w:t>Surface</w:t>
            </w:r>
          </w:p>
        </w:tc>
        <w:tc>
          <w:tcPr>
            <w:tcW w:type="dxa" w:w="6984"/>
            <w:shd w:fill="E8EEF5"/>
            <w:tcMar>
              <w:top w:w="80" w:type="dxa"/>
              <w:start w:w="120" w:type="dxa"/>
              <w:bottom w:w="80" w:type="dxa"/>
              <w:end w:w="120" w:type="dxa"/>
            </w:tcMar>
            <w:vAlign w:val="center"/>
          </w:tcPr>
          <w:p>
            <w:r>
              <w:rPr>
                <w:rFonts w:ascii="Calibri" w:hAnsi="Calibri"/>
                <w:b/>
                <w:i w:val="0"/>
                <w:color w:val="0B2545"/>
                <w:sz w:val="18"/>
              </w:rPr>
              <w:t>Content</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Event OS overview</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Current range, provision, capacity exposure, confidence and change.</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RSVP workspace</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Read-only forecast strip plus response/uncertainty drivers.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Phase workspace</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Phase occupancy and transition projection.</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Planning domains</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Approved provision by catering, seating, transport, parking and staffing.</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Host portal</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Plain-language approved summary; no rate/model internals.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Audit/evaluation</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Reproducible inputs, versions, approvals, outcomes and error.</w:t>
            </w:r>
          </w:p>
        </w:tc>
      </w:tr>
    </w:tbl>
    <w:p>
      <w:pPr>
        <w:spacing w:after="20"/>
      </w:pPr>
    </w:p>
    <w:p>
      <w:pPr>
        <w:pStyle w:val="Heading1"/>
      </w:pPr>
      <w:r>
        <w:t>13. Acceptance criteria and automated verification</w:t>
      </w:r>
    </w:p>
    <w:p>
      <w:pPr>
        <w:pStyle w:val="ListBullet"/>
      </w:pPr>
      <w:r>
        <w:t>Counts distinct guestIds, not invitations/households; children and named companions count independently.</w:t>
      </w:r>
    </w:p>
    <w:p>
      <w:pPr>
        <w:pStyle w:val="ListBullet"/>
      </w:pPr>
      <w:r>
        <w:t>Unnamed entitlements remain explicit uncertainty and never fabricate guests.</w:t>
      </w:r>
    </w:p>
    <w:p>
      <w:pPr>
        <w:pStyle w:val="ListBullet"/>
      </w:pPr>
      <w:r>
        <w:t>Whole-programme, day, phase, location and transition outputs reconcile without double-counting.</w:t>
      </w:r>
    </w:p>
    <w:p>
      <w:pPr>
        <w:pStyle w:val="ListBullet"/>
      </w:pPr>
      <w:r>
        <w:t>Low/expected/high and confidence are reproducible from versioned inputs.</w:t>
      </w:r>
    </w:p>
    <w:p>
      <w:pPr>
        <w:pStyle w:val="ListBullet"/>
      </w:pPr>
      <w:r>
        <w:t>Operational provision and buffer are separate from forecast and require authority.</w:t>
      </w:r>
    </w:p>
    <w:p>
      <w:pPr>
        <w:pStyle w:val="ListBullet"/>
      </w:pPr>
      <w:r>
        <w:t>No sensitive/private fields influence the model; no core RSVP/guest mutation exists.</w:t>
      </w:r>
    </w:p>
    <w:p>
      <w:pPr>
        <w:pStyle w:val="ListBullet"/>
      </w:pPr>
      <w:r>
        <w:t>Cold-start defaults are provisional and cannot self-calibrate.</w:t>
      </w:r>
    </w:p>
    <w:p>
      <w:pPr>
        <w:pStyle w:val="ListBullet"/>
      </w:pPr>
      <w:r>
        <w:t>Event-day outcomes calibrate only after reconciliation completeness.</w:t>
      </w:r>
    </w:p>
    <w:p>
      <w:pPr>
        <w:pStyle w:val="ListBullet"/>
      </w:pPr>
      <w:r>
        <w:t>Host projection uses plain language and exposes uncertainty without technical overload.</w:t>
      </w:r>
    </w:p>
    <w:p>
      <w:pPr>
        <w:pStyle w:val="ListBullet"/>
      </w:pPr>
      <w:r>
        <w:t>EOS-S05 remains absent; production remains unauthorised and gates unsigned.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Test layer</w:t>
            </w:r>
          </w:p>
        </w:tc>
        <w:tc>
          <w:tcPr>
            <w:tcW w:type="dxa" w:w="7272"/>
            <w:shd w:fill="E8EEF5"/>
            <w:tcMar>
              <w:top w:w="80" w:type="dxa"/>
              <w:start w:w="120" w:type="dxa"/>
              <w:bottom w:w="80" w:type="dxa"/>
              <w:end w:w="120" w:type="dxa"/>
            </w:tcMar>
            <w:vAlign w:val="center"/>
          </w:tcPr>
          <w:p>
            <w:r>
              <w:rPr>
                <w:rFonts w:ascii="Calibri" w:hAnsi="Calibri"/>
                <w:b/>
                <w:i w:val="0"/>
                <w:color w:val="0B2545"/>
                <w:sz w:val="18"/>
              </w:rPr>
              <w:t>Minimum verification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Domain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People/entitlements, phases, ranges, confidence, parameters, provision and outcomes.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Property tests</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No double count; bounds/order invariants; deterministic reproduction.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Permissions</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Planner/director/CEO/host/auditor separation; maker/checker overrides.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Privacy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Forbidden-feature tests and minimum-data projections.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E2E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Single-phase, same-day multiphase, multiday and capacity-risk scenarios.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Regression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S01–S04C plus event-day sync and programme validation/build suites.</w:t>
            </w:r>
          </w:p>
        </w:tc>
      </w:tr>
    </w:tbl>
    <w:p>
      <w:pPr>
        <w:spacing w:after="20"/>
      </w:pPr>
    </w:p>
    <w:p>
      <w:r>
        <w:br w:type="page"/>
      </w:r>
    </w:p>
    <w:p>
      <w:pPr>
        <w:pStyle w:val="Heading1"/>
      </w:pPr>
      <w:r>
        <w:t>14. Claude human-verification plan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ROLE BOUNDARY  </w:t>
            </w:r>
            <w:r>
              <w:rPr>
                <w:rFonts w:ascii="Calibri" w:hAnsi="Calibri"/>
                <w:b w:val="0"/>
                <w:i w:val="0"/>
                <w:color w:val="1E2228"/>
                <w:sz w:val="21"/>
              </w:rPr>
              <w:t>Claude may execute authorised synthetic browser checks and report. It cannot change code/infrastructure, accept the slice, approve production, sign a protected gate or create real commitments.</w:t>
            </w:r>
          </w:p>
        </w:tc>
      </w:tr>
    </w:tbl>
    <w:p>
      <w:pPr>
        <w:spacing w:after="20"/>
      </w:pPr>
    </w:p>
    <w:p>
      <w:pPr>
        <w:pStyle w:val="ListBullet"/>
      </w:pPr>
      <w:r>
        <w:t>Confirm productionAuthorised:false and synthetic fixtures.</w:t>
      </w:r>
    </w:p>
    <w:p>
      <w:pPr>
        <w:pStyle w:val="ListBullet"/>
      </w:pPr>
      <w:r>
        <w:t>Create/inspect a synthetic event with adult, child, named companion and unnamed entitlement.</w:t>
      </w:r>
    </w:p>
    <w:p>
      <w:pPr>
        <w:pStyle w:val="ListBullet"/>
      </w:pPr>
      <w:r>
        <w:t>Verify person count differs correctly from party/invitation count.</w:t>
      </w:r>
    </w:p>
    <w:p>
      <w:pPr>
        <w:pStyle w:val="ListBullet"/>
      </w:pPr>
      <w:r>
        <w:t>Compare whole-event, same-day phase and multiday phase outputs.</w:t>
      </w:r>
    </w:p>
    <w:p>
      <w:pPr>
        <w:pStyle w:val="ListBullet"/>
      </w:pPr>
      <w:r>
        <w:t>Confirm low ≤ expected ≤ high and provision is separately labelled/approved.</w:t>
      </w:r>
    </w:p>
    <w:p>
      <w:pPr>
        <w:pStyle w:val="ListBullet"/>
      </w:pPr>
      <w:r>
        <w:t>Change an RSVP and verify a new forecast version explains the delta.</w:t>
      </w:r>
    </w:p>
    <w:p>
      <w:pPr>
        <w:pStyle w:val="ListBullet"/>
      </w:pPr>
      <w:r>
        <w:t>Force stale/missing data and verify confidence falls rather than facts being invented.</w:t>
      </w:r>
    </w:p>
    <w:p>
      <w:pPr>
        <w:pStyle w:val="ListBullet"/>
      </w:pPr>
      <w:r>
        <w:t>Verify host projection contains calm summary but no model internals/private data.</w:t>
      </w:r>
    </w:p>
    <w:p>
      <w:pPr>
        <w:pStyle w:val="ListBullet"/>
      </w:pPr>
      <w:r>
        <w:t>Confirm auditor read-only and no RSVP/guest mutation path.</w:t>
      </w:r>
    </w:p>
    <w:p>
      <w:pPr>
        <w:pStyle w:val="ListBullet"/>
      </w:pPr>
      <w:r>
        <w:t>Confirm EOS-S05 absent, no real communication and all gates unsigned.</w:t>
      </w:r>
    </w:p>
    <w:p>
      <w:pPr>
        <w:pStyle w:val="Heading1"/>
      </w:pPr>
      <w:r>
        <w:t>15. Academy training delta — ACA-S04D</w:t>
      </w:r>
    </w:p>
    <w:p>
      <w:pPr>
        <w:pStyle w:val="ListBullet"/>
      </w:pPr>
      <w:r>
        <w:t>Count people correctly across parties, children, companions, phases and days.</w:t>
      </w:r>
    </w:p>
    <w:p>
      <w:pPr>
        <w:pStyle w:val="ListBullet"/>
      </w:pPr>
      <w:r>
        <w:t>Explain forecast, range, confidence, buffer, capacity and provision as different concepts.</w:t>
      </w:r>
    </w:p>
    <w:p>
      <w:pPr>
        <w:pStyle w:val="ListBullet"/>
      </w:pPr>
      <w:r>
        <w:t>Use provisional defaults without presenting them as Lagos fact.</w:t>
      </w:r>
    </w:p>
    <w:p>
      <w:pPr>
        <w:pStyle w:val="ListBullet"/>
      </w:pPr>
      <w:r>
        <w:t>Interpret uncertainty and challenge poor inputs.</w:t>
      </w:r>
    </w:p>
    <w:p>
      <w:pPr>
        <w:pStyle w:val="ListBullet"/>
      </w:pPr>
      <w:r>
        <w:t>Approve overrides/provision through maker/checker authority.</w:t>
      </w:r>
    </w:p>
    <w:p>
      <w:pPr>
        <w:pStyle w:val="ListBullet"/>
      </w:pPr>
      <w:r>
        <w:t>Reconcile event-day actuals and evaluate forecast error without blame labels.</w:t>
      </w:r>
    </w:p>
    <w:p>
      <w:pPr>
        <w:pStyle w:val="ListBullet"/>
      </w:pPr>
      <w:r>
        <w:t>Communicate calm host-safe intelligence.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Assessment</w:t>
            </w:r>
          </w:p>
        </w:tc>
        <w:tc>
          <w:tcPr>
            <w:tcW w:type="dxa" w:w="7128"/>
            <w:shd w:fill="E8EEF5"/>
            <w:tcMar>
              <w:top w:w="80" w:type="dxa"/>
              <w:start w:w="120" w:type="dxa"/>
              <w:bottom w:w="80" w:type="dxa"/>
              <w:end w:w="120" w:type="dxa"/>
            </w:tcMar>
            <w:vAlign w:val="center"/>
          </w:tcPr>
          <w:p>
            <w:r>
              <w:rPr>
                <w:rFonts w:ascii="Calibri" w:hAnsi="Calibri"/>
                <w:b/>
                <w:i w:val="0"/>
                <w:color w:val="0B2545"/>
                <w:sz w:val="18"/>
              </w:rPr>
              <w:t>Requirement</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Knowledge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Pass 80%; distinction 90%; role-specific question bank.</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Scenario</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Build single/multiphase forecast and respond to capacity exposure.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Boundary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Reject invitation counting, sensitive features and autonomous commitments.</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Practical</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Explain a forecast change and approve a provision recommendation.</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Authorisation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Role capability plus event-specific briefing and release state.</w:t>
            </w:r>
          </w:p>
        </w:tc>
      </w:tr>
    </w:tbl>
    <w:p>
      <w:pPr>
        <w:spacing w:after="20"/>
      </w:pPr>
    </w:p>
    <w:p>
      <w:pPr>
        <w:pStyle w:val="Heading1"/>
      </w:pPr>
      <w:r>
        <w:t>16. Controlled Cursor prompt — issue only after ratification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CONTROL  </w:t>
            </w:r>
            <w:r>
              <w:rPr>
                <w:rFonts w:ascii="Calibri" w:hAnsi="Calibri"/>
                <w:b w:val="0"/>
                <w:i w:val="0"/>
                <w:color w:val="1E2228"/>
                <w:sz w:val="21"/>
              </w:rPr>
              <w:t>Do not execute until the CEO separately authorises S04D implementation and confirms prior slice contracts are available at the accepted repository state.</w:t>
            </w:r>
          </w:p>
        </w:tc>
      </w:tr>
    </w:tbl>
    <w:p>
      <w:pPr>
        <w:spacing w:after="20"/>
      </w:pPr>
    </w:p>
    <w:p>
      <w:r>
        <w:t>Implement EOS-S04D in kglaw-Oluseyi/atelier-doclar only. Railway, if later separately authorised, is atelier-doclar only. Preserve productionAuthorised:false and unsigned gates. Do not implement EOS-S05, deploy, contact real guests/vendors or introduce opaque/self-learning production AI.</w:t>
      </w:r>
    </w:p>
    <w:p>
      <w:pPr>
        <w:pStyle w:val="ListBullet"/>
      </w:pPr>
      <w:r>
        <w:t>Reconcile S03, S04A–C, programme-phase and event-day outcome contracts before schema work.</w:t>
      </w:r>
    </w:p>
    <w:p>
      <w:pPr>
        <w:pStyle w:val="ListBullet"/>
      </w:pPr>
      <w:r>
        <w:t>Implement immutable forecast inputs/runs/estimates, parameter versions, provision decisions and evaluations.</w:t>
      </w:r>
    </w:p>
    <w:p>
      <w:pPr>
        <w:pStyle w:val="ListBullet"/>
      </w:pPr>
      <w:r>
        <w:t>Count distinct people and unresolved entitlements; implement phase/day/unique reconciliation.</w:t>
      </w:r>
    </w:p>
    <w:p>
      <w:pPr>
        <w:pStyle w:val="ListBullet"/>
      </w:pPr>
      <w:r>
        <w:t>Separate ranges, confidence, buffer, provision and capacity exposure in domain and UI.</w:t>
      </w:r>
    </w:p>
    <w:p>
      <w:pPr>
        <w:pStyle w:val="ListBullet"/>
      </w:pPr>
      <w:r>
        <w:t>Apply strict permission, privacy, maker/checker, audit and cross-event isolation.</w:t>
      </w:r>
    </w:p>
    <w:p>
      <w:pPr>
        <w:pStyle w:val="ListBullet"/>
      </w:pPr>
      <w:r>
        <w:t>Add deterministic, property, permission, privacy, contract and Playwright tests.</w:t>
      </w:r>
    </w:p>
    <w:p>
      <w:pPr>
        <w:pStyle w:val="ListBullet"/>
      </w:pPr>
      <w:r>
        <w:t>Run typecheck, tests, programme validation, build and relevant E2E; return evidence.</w:t>
      </w:r>
    </w:p>
    <w:p>
      <w:pPr>
        <w:pStyle w:val="ListBullet"/>
      </w:pPr>
      <w:r>
        <w:t>Stop before commit/push/deploy unless each is separately authorised.</w:t>
      </w:r>
    </w:p>
    <w:p>
      <w:pPr>
        <w:pStyle w:val="Heading2"/>
      </w:pPr>
      <w:r>
        <w:t>Mandatory STOP conditions</w:t>
      </w:r>
    </w:p>
    <w:p>
      <w:pPr>
        <w:pStyle w:val="ListBullet"/>
      </w:pPr>
      <w:r>
        <w:t>Required accepted contract unavailable or contradictory.</w:t>
      </w:r>
    </w:p>
    <w:p>
      <w:pPr>
        <w:pStyle w:val="ListBullet"/>
      </w:pPr>
      <w:r>
        <w:t>A design would mutate RSVP/guest/attendance truth or count invitation records as people.</w:t>
      </w:r>
    </w:p>
    <w:p>
      <w:pPr>
        <w:pStyle w:val="ListBullet"/>
      </w:pPr>
      <w:r>
        <w:t>Model input requires sensitive/private inference or cannot be explained/reproduced.</w:t>
      </w:r>
    </w:p>
    <w:p>
      <w:pPr>
        <w:pStyle w:val="ListBullet"/>
      </w:pPr>
      <w:r>
        <w:t>Event-day outcomes are unreconciled but calibration is requested.</w:t>
      </w:r>
    </w:p>
    <w:p>
      <w:pPr>
        <w:pStyle w:val="ListBullet"/>
      </w:pPr>
      <w:r>
        <w:t>Repository/branch/worktree mismatch, productionAuthorised true or EOS-S05 required.</w:t>
      </w:r>
    </w:p>
    <w:p>
      <w:pPr>
        <w:pStyle w:val="Heading1"/>
      </w:pPr>
      <w:r>
        <w:t>17. Governance record and decisions required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rFonts w:ascii="Calibri" w:hAnsi="Calibri"/>
                <w:b/>
                <w:i w:val="0"/>
                <w:color w:val="0B2545"/>
                <w:sz w:val="18"/>
              </w:rPr>
              <w:t>Decision</w:t>
            </w:r>
          </w:p>
        </w:tc>
        <w:tc>
          <w:tcPr>
            <w:tcW w:type="dxa" w:w="6840"/>
            <w:shd w:fill="E8EEF5"/>
            <w:tcMar>
              <w:top w:w="80" w:type="dxa"/>
              <w:start w:w="120" w:type="dxa"/>
              <w:bottom w:w="80" w:type="dxa"/>
              <w:end w:w="120" w:type="dxa"/>
            </w:tcMar>
            <w:vAlign w:val="center"/>
          </w:tcPr>
          <w:p>
            <w:r>
              <w:rPr>
                <w:rFonts w:ascii="Calibri" w:hAnsi="Calibri"/>
                <w:b/>
                <w:i w:val="0"/>
                <w:color w:val="0B2545"/>
                <w:sz w:val="18"/>
              </w:rPr>
              <w:t>Draft ruling</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Slice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EOS-S04D after S04C and before S04E/EOS-S05.</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Model</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Transparent governed defaults first; calibrated learning only after evidence/gates.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Counting</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Distinct people and explicit unresolved entitlements; phase-aware.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Output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Range/confidence plus separate human-approved provision.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Authority</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Read-only over core truth; no autonomous commitments.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Academy</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ACA-S04D role-tiered delta.</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Implementation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Not authorised by this draft.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Deployment/production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Not authorised; production false and gates unsigned.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A626C"/>
        <w:sz w:val="16"/>
      </w:rPr>
      <w:t>MAISON DOCLAR  |  EVENT OS CONTROLLED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b w:val="0"/>
      <w:color w:val="1E22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b w:val="0"/>
      <w:color w:val="1E222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b w:val="0"/>
      <w:color w:val="1E222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EOS-S04D Controlled Slice Pack v1.0 Draft</dc:title>
  <dc:subject>Attendance Forecasting and Planning Intelligence</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