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560"/>
      </w:pPr>
    </w:p>
    <w:p>
      <w:pPr>
        <w:jc w:val="center"/>
      </w:pPr>
      <w:r>
        <w:rPr>
          <w:rFonts w:ascii="Calibri" w:hAnsi="Calibri"/>
          <w:b/>
          <w:i w:val="0"/>
          <w:color w:val="B79F85"/>
          <w:sz w:val="24"/>
        </w:rPr>
        <w:t>MAISON DOCLAR</w:t>
      </w:r>
    </w:p>
    <w:p>
      <w:pPr>
        <w:pStyle w:val="Title"/>
        <w:jc w:val="center"/>
      </w:pPr>
      <w:r>
        <w:rPr>
          <w:b/>
        </w:rPr>
        <w:t>EOS-S04E</w:t>
      </w:r>
    </w:p>
    <w:p>
      <w:pPr>
        <w:pStyle w:val="Subtitle"/>
        <w:jc w:val="center"/>
      </w:pPr>
      <w:r>
        <w:t>Maison Doclar Private Event Atelier</w:t>
        <w:br/>
        <w:t>Event Blueprint, Journey &amp; Host Experience</w:t>
      </w:r>
    </w:p>
    <w:p>
      <w:pPr>
        <w:jc w:val="center"/>
      </w:pPr>
      <w:r>
        <w:rPr>
          <w:rFonts w:ascii="Calibri" w:hAnsi="Calibri"/>
          <w:b/>
          <w:i w:val="0"/>
          <w:color w:val="5A626C"/>
          <w:sz w:val="20"/>
        </w:rPr>
        <w:t>CONTROLLED SLICE PACK · VERSION 1.0 DRAFT</w:t>
      </w:r>
    </w:p>
    <w:p>
      <w:pPr>
        <w:spacing w:after="800"/>
      </w:pP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2232"/>
            <w:shd w:fill="E8EEF5"/>
            <w:tcMar>
              <w:top w:w="80" w:type="dxa"/>
              <w:start w:w="120" w:type="dxa"/>
              <w:bottom w:w="80" w:type="dxa"/>
              <w:end w:w="120" w:type="dxa"/>
            </w:tcMar>
            <w:vAlign w:val="center"/>
          </w:tcPr>
          <w:p>
            <w:r>
              <w:rPr>
                <w:rFonts w:ascii="Calibri" w:hAnsi="Calibri"/>
                <w:b/>
                <w:i w:val="0"/>
                <w:color w:val="0B2545"/>
                <w:sz w:val="18"/>
              </w:rPr>
              <w:t>Control</w:t>
            </w:r>
          </w:p>
        </w:tc>
        <w:tc>
          <w:tcPr>
            <w:tcW w:type="dxa" w:w="7128"/>
            <w:shd w:fill="E8EEF5"/>
            <w:tcMar>
              <w:top w:w="80" w:type="dxa"/>
              <w:start w:w="120" w:type="dxa"/>
              <w:bottom w:w="80" w:type="dxa"/>
              <w:end w:w="120" w:type="dxa"/>
            </w:tcMar>
            <w:vAlign w:val="center"/>
          </w:tcPr>
          <w:p>
            <w:r>
              <w:rPr>
                <w:rFonts w:ascii="Calibri" w:hAnsi="Calibri"/>
                <w:b/>
                <w:i w:val="0"/>
                <w:color w:val="0B2545"/>
                <w:sz w:val="18"/>
              </w:rPr>
              <w:t>Value</w:t>
            </w:r>
          </w:p>
        </w:tc>
      </w:tr>
      <w:tr>
        <w:trPr>
          <w:cantSplit/>
        </w:trPr>
        <w:tc>
          <w:tcPr>
            <w:tcW w:type="dxa" w:w="2232"/>
            <w:tcMar>
              <w:top w:w="80" w:type="dxa"/>
              <w:start w:w="120" w:type="dxa"/>
              <w:bottom w:w="80" w:type="dxa"/>
              <w:end w:w="120" w:type="dxa"/>
            </w:tcMar>
            <w:vAlign w:val="top"/>
          </w:tcPr>
          <w:p>
            <w:pPr>
              <w:spacing w:after="0"/>
            </w:pPr>
            <w:r>
              <w:rPr>
                <w:rFonts w:ascii="Calibri" w:hAnsi="Calibri"/>
                <w:b w:val="0"/>
                <w:i w:val="0"/>
                <w:color w:val="1E2228"/>
                <w:sz w:val="17"/>
              </w:rPr>
              <w:t>Product</w:t>
            </w:r>
          </w:p>
        </w:tc>
        <w:tc>
          <w:tcPr>
            <w:tcW w:type="dxa" w:w="7128"/>
            <w:tcMar>
              <w:top w:w="80" w:type="dxa"/>
              <w:start w:w="120" w:type="dxa"/>
              <w:bottom w:w="80" w:type="dxa"/>
              <w:end w:w="120" w:type="dxa"/>
            </w:tcMar>
            <w:vAlign w:val="top"/>
          </w:tcPr>
          <w:p>
            <w:pPr>
              <w:spacing w:after="0"/>
            </w:pPr>
            <w:r>
              <w:rPr>
                <w:rFonts w:ascii="Calibri" w:hAnsi="Calibri"/>
                <w:b w:val="0"/>
                <w:i w:val="0"/>
                <w:color w:val="1E2228"/>
                <w:sz w:val="17"/>
              </w:rPr>
              <w:t>Maison Doclar Event OS</w:t>
            </w:r>
          </w:p>
        </w:tc>
      </w:tr>
      <w:tr>
        <w:trPr>
          <w:cantSplit/>
        </w:trPr>
        <w:tc>
          <w:tcPr>
            <w:tcW w:type="dxa" w:w="2232"/>
            <w:tcMar>
              <w:top w:w="80" w:type="dxa"/>
              <w:start w:w="120" w:type="dxa"/>
              <w:bottom w:w="80" w:type="dxa"/>
              <w:end w:w="120" w:type="dxa"/>
            </w:tcMar>
            <w:vAlign w:val="top"/>
          </w:tcPr>
          <w:p>
            <w:pPr>
              <w:spacing w:after="0"/>
            </w:pPr>
            <w:r>
              <w:rPr>
                <w:rFonts w:ascii="Calibri" w:hAnsi="Calibri"/>
                <w:b w:val="0"/>
                <w:i w:val="0"/>
                <w:color w:val="1E2228"/>
                <w:sz w:val="17"/>
              </w:rPr>
              <w:t>Proposed slice</w:t>
            </w:r>
          </w:p>
        </w:tc>
        <w:tc>
          <w:tcPr>
            <w:tcW w:type="dxa" w:w="7128"/>
            <w:tcMar>
              <w:top w:w="80" w:type="dxa"/>
              <w:start w:w="120" w:type="dxa"/>
              <w:bottom w:w="80" w:type="dxa"/>
              <w:end w:w="120" w:type="dxa"/>
            </w:tcMar>
            <w:vAlign w:val="top"/>
          </w:tcPr>
          <w:p>
            <w:pPr>
              <w:spacing w:after="0"/>
            </w:pPr>
            <w:r>
              <w:rPr>
                <w:rFonts w:ascii="Calibri" w:hAnsi="Calibri"/>
                <w:b w:val="0"/>
                <w:i w:val="0"/>
                <w:color w:val="1E2228"/>
                <w:sz w:val="17"/>
              </w:rPr>
              <w:t>EOS-S04E — after EOS-S04D and before EOS-S05</w:t>
            </w:r>
          </w:p>
        </w:tc>
      </w:tr>
      <w:tr>
        <w:trPr>
          <w:cantSplit/>
        </w:trPr>
        <w:tc>
          <w:tcPr>
            <w:tcW w:type="dxa" w:w="2232"/>
            <w:tcMar>
              <w:top w:w="80" w:type="dxa"/>
              <w:start w:w="120" w:type="dxa"/>
              <w:bottom w:w="80" w:type="dxa"/>
              <w:end w:w="120" w:type="dxa"/>
            </w:tcMar>
            <w:vAlign w:val="top"/>
          </w:tcPr>
          <w:p>
            <w:pPr>
              <w:spacing w:after="0"/>
            </w:pPr>
            <w:r>
              <w:rPr>
                <w:rFonts w:ascii="Calibri" w:hAnsi="Calibri"/>
                <w:b w:val="0"/>
                <w:i w:val="0"/>
                <w:color w:val="1E2228"/>
                <w:sz w:val="17"/>
              </w:rPr>
              <w:t>Status</w:t>
            </w:r>
          </w:p>
        </w:tc>
        <w:tc>
          <w:tcPr>
            <w:tcW w:type="dxa" w:w="7128"/>
            <w:tcMar>
              <w:top w:w="80" w:type="dxa"/>
              <w:start w:w="120" w:type="dxa"/>
              <w:bottom w:w="80" w:type="dxa"/>
              <w:end w:w="120" w:type="dxa"/>
            </w:tcMar>
            <w:vAlign w:val="top"/>
          </w:tcPr>
          <w:p>
            <w:pPr>
              <w:spacing w:after="0"/>
            </w:pPr>
            <w:r>
              <w:rPr>
                <w:rFonts w:ascii="Calibri" w:hAnsi="Calibri"/>
                <w:b w:val="0"/>
                <w:i w:val="0"/>
                <w:color w:val="1E2228"/>
                <w:sz w:val="17"/>
              </w:rPr>
              <w:t>DRAFT FOR CEO RATIFICATION — implementation not authorised</w:t>
            </w:r>
          </w:p>
        </w:tc>
      </w:tr>
      <w:tr>
        <w:trPr>
          <w:cantSplit/>
        </w:trPr>
        <w:tc>
          <w:tcPr>
            <w:tcW w:type="dxa" w:w="2232"/>
            <w:tcMar>
              <w:top w:w="80" w:type="dxa"/>
              <w:start w:w="120" w:type="dxa"/>
              <w:bottom w:w="80" w:type="dxa"/>
              <w:end w:w="120" w:type="dxa"/>
            </w:tcMar>
            <w:vAlign w:val="top"/>
          </w:tcPr>
          <w:p>
            <w:pPr>
              <w:spacing w:after="0"/>
            </w:pPr>
            <w:r>
              <w:rPr>
                <w:rFonts w:ascii="Calibri" w:hAnsi="Calibri"/>
                <w:b w:val="0"/>
                <w:i w:val="0"/>
                <w:color w:val="1E2228"/>
                <w:sz w:val="17"/>
              </w:rPr>
              <w:t>Repository</w:t>
            </w:r>
          </w:p>
        </w:tc>
        <w:tc>
          <w:tcPr>
            <w:tcW w:type="dxa" w:w="7128"/>
            <w:tcMar>
              <w:top w:w="80" w:type="dxa"/>
              <w:start w:w="120" w:type="dxa"/>
              <w:bottom w:w="80" w:type="dxa"/>
              <w:end w:w="120" w:type="dxa"/>
            </w:tcMar>
            <w:vAlign w:val="top"/>
          </w:tcPr>
          <w:p>
            <w:pPr>
              <w:spacing w:after="0"/>
            </w:pPr>
            <w:r>
              <w:rPr>
                <w:rFonts w:ascii="Calibri" w:hAnsi="Calibri"/>
                <w:b w:val="0"/>
                <w:i w:val="0"/>
                <w:color w:val="1E2228"/>
                <w:sz w:val="17"/>
              </w:rPr>
              <w:t>kglaw-Oluseyi/atelier-doclar only</w:t>
            </w:r>
          </w:p>
        </w:tc>
      </w:tr>
      <w:tr>
        <w:trPr>
          <w:cantSplit/>
        </w:trPr>
        <w:tc>
          <w:tcPr>
            <w:tcW w:type="dxa" w:w="2232"/>
            <w:tcMar>
              <w:top w:w="80" w:type="dxa"/>
              <w:start w:w="120" w:type="dxa"/>
              <w:bottom w:w="80" w:type="dxa"/>
              <w:end w:w="120" w:type="dxa"/>
            </w:tcMar>
            <w:vAlign w:val="top"/>
          </w:tcPr>
          <w:p>
            <w:pPr>
              <w:spacing w:after="0"/>
            </w:pPr>
            <w:r>
              <w:rPr>
                <w:rFonts w:ascii="Calibri" w:hAnsi="Calibri"/>
                <w:b w:val="0"/>
                <w:i w:val="0"/>
                <w:color w:val="1E2228"/>
                <w:sz w:val="17"/>
              </w:rPr>
              <w:t>Railway</w:t>
            </w:r>
          </w:p>
        </w:tc>
        <w:tc>
          <w:tcPr>
            <w:tcW w:type="dxa" w:w="7128"/>
            <w:tcMar>
              <w:top w:w="80" w:type="dxa"/>
              <w:start w:w="120" w:type="dxa"/>
              <w:bottom w:w="80" w:type="dxa"/>
              <w:end w:w="120" w:type="dxa"/>
            </w:tcMar>
            <w:vAlign w:val="top"/>
          </w:tcPr>
          <w:p>
            <w:pPr>
              <w:spacing w:after="0"/>
            </w:pPr>
            <w:r>
              <w:rPr>
                <w:rFonts w:ascii="Calibri" w:hAnsi="Calibri"/>
                <w:b w:val="0"/>
                <w:i w:val="0"/>
                <w:color w:val="1E2228"/>
                <w:sz w:val="17"/>
              </w:rPr>
              <w:t>atelier-doclar only; no deployment authorised</w:t>
            </w:r>
          </w:p>
        </w:tc>
      </w:tr>
      <w:tr>
        <w:trPr>
          <w:cantSplit/>
        </w:trPr>
        <w:tc>
          <w:tcPr>
            <w:tcW w:type="dxa" w:w="2232"/>
            <w:tcMar>
              <w:top w:w="80" w:type="dxa"/>
              <w:start w:w="120" w:type="dxa"/>
              <w:bottom w:w="80" w:type="dxa"/>
              <w:end w:w="120" w:type="dxa"/>
            </w:tcMar>
            <w:vAlign w:val="top"/>
          </w:tcPr>
          <w:p>
            <w:pPr>
              <w:spacing w:after="0"/>
            </w:pPr>
            <w:r>
              <w:rPr>
                <w:rFonts w:ascii="Calibri" w:hAnsi="Calibri"/>
                <w:b w:val="0"/>
                <w:i w:val="0"/>
                <w:color w:val="1E2228"/>
                <w:sz w:val="17"/>
              </w:rPr>
              <w:t>Production</w:t>
            </w:r>
          </w:p>
        </w:tc>
        <w:tc>
          <w:tcPr>
            <w:tcW w:type="dxa" w:w="7128"/>
            <w:tcMar>
              <w:top w:w="80" w:type="dxa"/>
              <w:start w:w="120" w:type="dxa"/>
              <w:bottom w:w="80" w:type="dxa"/>
              <w:end w:w="120" w:type="dxa"/>
            </w:tcMar>
            <w:vAlign w:val="top"/>
          </w:tcPr>
          <w:p>
            <w:pPr>
              <w:spacing w:after="0"/>
            </w:pPr>
            <w:r>
              <w:rPr>
                <w:rFonts w:ascii="Calibri" w:hAnsi="Calibri"/>
                <w:b w:val="0"/>
                <w:i w:val="0"/>
                <w:color w:val="1E2228"/>
                <w:sz w:val="17"/>
              </w:rPr>
              <w:t>Unauthorised; protected gates remain unsigned</w:t>
            </w:r>
          </w:p>
        </w:tc>
      </w:tr>
      <w:tr>
        <w:trPr>
          <w:cantSplit/>
        </w:trPr>
        <w:tc>
          <w:tcPr>
            <w:tcW w:type="dxa" w:w="2232"/>
            <w:tcMar>
              <w:top w:w="80" w:type="dxa"/>
              <w:start w:w="120" w:type="dxa"/>
              <w:bottom w:w="80" w:type="dxa"/>
              <w:end w:w="120" w:type="dxa"/>
            </w:tcMar>
            <w:vAlign w:val="top"/>
          </w:tcPr>
          <w:p>
            <w:pPr>
              <w:spacing w:after="0"/>
            </w:pPr>
            <w:r>
              <w:rPr>
                <w:rFonts w:ascii="Calibri" w:hAnsi="Calibri"/>
                <w:b w:val="0"/>
                <w:i w:val="0"/>
                <w:color w:val="1E2228"/>
                <w:sz w:val="17"/>
              </w:rPr>
              <w:t>Prepared</w:t>
            </w:r>
          </w:p>
        </w:tc>
        <w:tc>
          <w:tcPr>
            <w:tcW w:type="dxa" w:w="7128"/>
            <w:tcMar>
              <w:top w:w="80" w:type="dxa"/>
              <w:start w:w="120" w:type="dxa"/>
              <w:bottom w:w="80" w:type="dxa"/>
              <w:end w:w="120" w:type="dxa"/>
            </w:tcMar>
            <w:vAlign w:val="top"/>
          </w:tcPr>
          <w:p>
            <w:pPr>
              <w:spacing w:after="0"/>
            </w:pPr>
            <w:r>
              <w:rPr>
                <w:rFonts w:ascii="Calibri" w:hAnsi="Calibri"/>
                <w:b w:val="0"/>
                <w:i w:val="0"/>
                <w:color w:val="1E2228"/>
                <w:sz w:val="17"/>
              </w:rPr>
              <w:t>6 September 2026</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shd w:fill="F2F4F7"/>
            <w:tcMar>
              <w:top w:w="130" w:type="dxa"/>
              <w:start w:w="180" w:type="dxa"/>
              <w:bottom w:w="130" w:type="dxa"/>
              <w:end w:w="180" w:type="dxa"/>
            </w:tcMar>
          </w:tcPr>
          <w:p>
            <w:pPr>
              <w:spacing w:after="0"/>
            </w:pPr>
            <w:r>
              <w:rPr>
                <w:rFonts w:ascii="Calibri" w:hAnsi="Calibri"/>
                <w:b/>
                <w:i w:val="0"/>
                <w:color w:val="0B2545"/>
                <w:sz w:val="21"/>
              </w:rPr>
              <w:t xml:space="preserve">CEO DIRECTION  </w:t>
            </w:r>
            <w:r>
              <w:rPr>
                <w:rFonts w:ascii="Calibri" w:hAnsi="Calibri"/>
                <w:b w:val="0"/>
                <w:i w:val="0"/>
                <w:color w:val="1E2228"/>
                <w:sz w:val="21"/>
              </w:rPr>
              <w:t>Create a private, story-led Event Atelier in which the host experiences the vision, blueprint and unfolding journey of the event with quiet confidence. Host assurance remains one protected chapter within the Atelier—not the product itself. The experience must feel commissioned by Maison Doclar, never like a SaaS dashboard.</w:t>
            </w:r>
          </w:p>
        </w:tc>
      </w:tr>
    </w:tbl>
    <w:p>
      <w:pPr>
        <w:spacing w:after="20"/>
      </w:pPr>
    </w:p>
    <w:p>
      <w:r>
        <w:br w:type="page"/>
      </w:r>
    </w:p>
    <w:p>
      <w:pPr>
        <w:pStyle w:val="Heading1"/>
      </w:pPr>
      <w:r>
        <w:t>1. Executive product decision</w:t>
      </w:r>
    </w:p>
    <w:p>
      <w:r>
        <w:t>EOS-S04E is redefined as the Maison Doclar Private Event Atelier: the premium host-facing expression of the event from accepted brief through planning, production, live delivery and considered close-out. It translates controlled Event OS truth into a curated narrative, a comprehensible blueprint and a calm host journey.</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shd w:fill="F2F4F7"/>
            <w:tcMar>
              <w:top w:w="130" w:type="dxa"/>
              <w:start w:w="180" w:type="dxa"/>
              <w:bottom w:w="130" w:type="dxa"/>
              <w:end w:w="180" w:type="dxa"/>
            </w:tcMar>
          </w:tcPr>
          <w:p>
            <w:pPr>
              <w:spacing w:after="0"/>
            </w:pPr>
            <w:r>
              <w:rPr>
                <w:rFonts w:ascii="Calibri" w:hAnsi="Calibri"/>
                <w:b/>
                <w:i w:val="0"/>
                <w:color w:val="0B2545"/>
                <w:sz w:val="21"/>
              </w:rPr>
              <w:t xml:space="preserve">RULING  </w:t>
            </w:r>
            <w:r>
              <w:rPr>
                <w:rFonts w:ascii="Calibri" w:hAnsi="Calibri"/>
                <w:b w:val="0"/>
                <w:i w:val="0"/>
                <w:color w:val="1E2228"/>
                <w:sz w:val="21"/>
              </w:rPr>
              <w:t>Replace the narrow “Host Assurance Portal” concept. Assurance is retained as a core design promise and information layer, but the host receives a complete private event experience: Vision, Blueprint, Journey, Decisions, Editions and Updates.</w:t>
            </w:r>
          </w:p>
        </w:tc>
      </w:tr>
    </w:tbl>
    <w:p>
      <w:pPr>
        <w:spacing w:after="20"/>
      </w:pPr>
    </w:p>
    <w:p>
      <w:pPr>
        <w:pStyle w:val="Heading2"/>
      </w:pPr>
      <w:r>
        <w:t>1.1 The three-layer promise</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cantSplit/>
        </w:trPr>
        <w:tc>
          <w:tcPr>
            <w:tcW w:type="dxa" w:w="1800"/>
            <w:shd w:fill="E8EEF5"/>
            <w:tcMar>
              <w:top w:w="80" w:type="dxa"/>
              <w:start w:w="120" w:type="dxa"/>
              <w:bottom w:w="80" w:type="dxa"/>
              <w:end w:w="120" w:type="dxa"/>
            </w:tcMar>
            <w:vAlign w:val="center"/>
          </w:tcPr>
          <w:p>
            <w:r>
              <w:rPr>
                <w:rFonts w:ascii="Calibri" w:hAnsi="Calibri"/>
                <w:b/>
                <w:i w:val="0"/>
                <w:color w:val="0B2545"/>
                <w:sz w:val="18"/>
              </w:rPr>
              <w:t>Layer</w:t>
            </w:r>
          </w:p>
        </w:tc>
        <w:tc>
          <w:tcPr>
            <w:tcW w:type="dxa" w:w="3168"/>
            <w:shd w:fill="E8EEF5"/>
            <w:tcMar>
              <w:top w:w="80" w:type="dxa"/>
              <w:start w:w="120" w:type="dxa"/>
              <w:bottom w:w="80" w:type="dxa"/>
              <w:end w:w="120" w:type="dxa"/>
            </w:tcMar>
            <w:vAlign w:val="center"/>
          </w:tcPr>
          <w:p>
            <w:r>
              <w:rPr>
                <w:rFonts w:ascii="Calibri" w:hAnsi="Calibri"/>
                <w:b/>
                <w:i w:val="0"/>
                <w:color w:val="0B2545"/>
                <w:sz w:val="18"/>
              </w:rPr>
              <w:t>Host experience</w:t>
            </w:r>
          </w:p>
        </w:tc>
        <w:tc>
          <w:tcPr>
            <w:tcW w:type="dxa" w:w="4392"/>
            <w:shd w:fill="E8EEF5"/>
            <w:tcMar>
              <w:top w:w="80" w:type="dxa"/>
              <w:start w:w="120" w:type="dxa"/>
              <w:bottom w:w="80" w:type="dxa"/>
              <w:end w:w="120" w:type="dxa"/>
            </w:tcMar>
            <w:vAlign w:val="center"/>
          </w:tcPr>
          <w:p>
            <w:r>
              <w:rPr>
                <w:rFonts w:ascii="Calibri" w:hAnsi="Calibri"/>
                <w:b/>
                <w:i w:val="0"/>
                <w:color w:val="0B2545"/>
                <w:sz w:val="18"/>
              </w:rPr>
              <w:t>System responsibility</w:t>
            </w:r>
          </w:p>
        </w:tc>
      </w:tr>
      <w:tr>
        <w:trPr>
          <w:cantSplit/>
        </w:trPr>
        <w:tc>
          <w:tcPr>
            <w:tcW w:type="dxa" w:w="1800"/>
            <w:tcMar>
              <w:top w:w="80" w:type="dxa"/>
              <w:start w:w="120" w:type="dxa"/>
              <w:bottom w:w="80" w:type="dxa"/>
              <w:end w:w="120" w:type="dxa"/>
            </w:tcMar>
            <w:vAlign w:val="top"/>
          </w:tcPr>
          <w:p>
            <w:pPr>
              <w:spacing w:after="0"/>
            </w:pPr>
            <w:r>
              <w:rPr>
                <w:rFonts w:ascii="Calibri" w:hAnsi="Calibri"/>
                <w:b w:val="0"/>
                <w:i w:val="0"/>
                <w:color w:val="1E2228"/>
                <w:sz w:val="17"/>
              </w:rPr>
              <w:t>Vision</w:t>
            </w:r>
          </w:p>
        </w:tc>
        <w:tc>
          <w:tcPr>
            <w:tcW w:type="dxa" w:w="3168"/>
            <w:tcMar>
              <w:top w:w="80" w:type="dxa"/>
              <w:start w:w="120" w:type="dxa"/>
              <w:bottom w:w="80" w:type="dxa"/>
              <w:end w:w="120" w:type="dxa"/>
            </w:tcMar>
            <w:vAlign w:val="top"/>
          </w:tcPr>
          <w:p>
            <w:pPr>
              <w:spacing w:after="0"/>
            </w:pPr>
            <w:r>
              <w:rPr>
                <w:rFonts w:ascii="Calibri" w:hAnsi="Calibri"/>
                <w:b w:val="0"/>
                <w:i w:val="0"/>
                <w:color w:val="1E2228"/>
                <w:sz w:val="17"/>
              </w:rPr>
              <w:t>Why the event exists and how it should feel.</w:t>
            </w:r>
          </w:p>
        </w:tc>
        <w:tc>
          <w:tcPr>
            <w:tcW w:type="dxa" w:w="4392"/>
            <w:tcMar>
              <w:top w:w="80" w:type="dxa"/>
              <w:start w:w="120" w:type="dxa"/>
              <w:bottom w:w="80" w:type="dxa"/>
              <w:end w:w="120" w:type="dxa"/>
            </w:tcMar>
            <w:vAlign w:val="top"/>
          </w:tcPr>
          <w:p>
            <w:pPr>
              <w:spacing w:after="0"/>
            </w:pPr>
            <w:r>
              <w:rPr>
                <w:rFonts w:ascii="Calibri" w:hAnsi="Calibri"/>
                <w:b w:val="0"/>
                <w:i w:val="0"/>
                <w:color w:val="1E2228"/>
                <w:sz w:val="17"/>
              </w:rPr>
              <w:t>Approved story, experience pillars, cultural/brand intent, mood and guest journey.</w:t>
            </w:r>
          </w:p>
        </w:tc>
      </w:tr>
      <w:tr>
        <w:trPr>
          <w:cantSplit/>
        </w:trPr>
        <w:tc>
          <w:tcPr>
            <w:tcW w:type="dxa" w:w="1800"/>
            <w:tcMar>
              <w:top w:w="80" w:type="dxa"/>
              <w:start w:w="120" w:type="dxa"/>
              <w:bottom w:w="80" w:type="dxa"/>
              <w:end w:w="120" w:type="dxa"/>
            </w:tcMar>
            <w:vAlign w:val="top"/>
          </w:tcPr>
          <w:p>
            <w:pPr>
              <w:spacing w:after="0"/>
            </w:pPr>
            <w:r>
              <w:rPr>
                <w:rFonts w:ascii="Calibri" w:hAnsi="Calibri"/>
                <w:b w:val="0"/>
                <w:i w:val="0"/>
                <w:color w:val="1E2228"/>
                <w:sz w:val="17"/>
              </w:rPr>
              <w:t>Blueprint</w:t>
            </w:r>
          </w:p>
        </w:tc>
        <w:tc>
          <w:tcPr>
            <w:tcW w:type="dxa" w:w="3168"/>
            <w:tcMar>
              <w:top w:w="80" w:type="dxa"/>
              <w:start w:w="120" w:type="dxa"/>
              <w:bottom w:w="80" w:type="dxa"/>
              <w:end w:w="120" w:type="dxa"/>
            </w:tcMar>
            <w:vAlign w:val="top"/>
          </w:tcPr>
          <w:p>
            <w:pPr>
              <w:spacing w:after="0"/>
            </w:pPr>
            <w:r>
              <w:rPr>
                <w:rFonts w:ascii="Calibri" w:hAnsi="Calibri"/>
                <w:b w:val="0"/>
                <w:i w:val="0"/>
                <w:color w:val="1E2228"/>
                <w:sz w:val="17"/>
              </w:rPr>
              <w:t>How the event is taking shape.</w:t>
            </w:r>
          </w:p>
        </w:tc>
        <w:tc>
          <w:tcPr>
            <w:tcW w:type="dxa" w:w="4392"/>
            <w:tcMar>
              <w:top w:w="80" w:type="dxa"/>
              <w:start w:w="120" w:type="dxa"/>
              <w:bottom w:w="80" w:type="dxa"/>
              <w:end w:w="120" w:type="dxa"/>
            </w:tcMar>
            <w:vAlign w:val="top"/>
          </w:tcPr>
          <w:p>
            <w:pPr>
              <w:spacing w:after="0"/>
            </w:pPr>
            <w:r>
              <w:rPr>
                <w:rFonts w:ascii="Calibri" w:hAnsi="Calibri"/>
                <w:b w:val="0"/>
                <w:i w:val="0"/>
                <w:color w:val="1E2228"/>
                <w:sz w:val="17"/>
              </w:rPr>
              <w:t>Curated phases, milestones, programme, budget assurance, vendor ensemble, decisions and contingencies.</w:t>
            </w:r>
          </w:p>
        </w:tc>
      </w:tr>
      <w:tr>
        <w:trPr>
          <w:cantSplit/>
        </w:trPr>
        <w:tc>
          <w:tcPr>
            <w:tcW w:type="dxa" w:w="1800"/>
            <w:tcMar>
              <w:top w:w="80" w:type="dxa"/>
              <w:start w:w="120" w:type="dxa"/>
              <w:bottom w:w="80" w:type="dxa"/>
              <w:end w:w="120" w:type="dxa"/>
            </w:tcMar>
            <w:vAlign w:val="top"/>
          </w:tcPr>
          <w:p>
            <w:pPr>
              <w:spacing w:after="0"/>
            </w:pPr>
            <w:r>
              <w:rPr>
                <w:rFonts w:ascii="Calibri" w:hAnsi="Calibri"/>
                <w:b w:val="0"/>
                <w:i w:val="0"/>
                <w:color w:val="1E2228"/>
                <w:sz w:val="17"/>
              </w:rPr>
              <w:t>Journey</w:t>
            </w:r>
          </w:p>
        </w:tc>
        <w:tc>
          <w:tcPr>
            <w:tcW w:type="dxa" w:w="3168"/>
            <w:tcMar>
              <w:top w:w="80" w:type="dxa"/>
              <w:start w:w="120" w:type="dxa"/>
              <w:bottom w:w="80" w:type="dxa"/>
              <w:end w:w="120" w:type="dxa"/>
            </w:tcMar>
            <w:vAlign w:val="top"/>
          </w:tcPr>
          <w:p>
            <w:pPr>
              <w:spacing w:after="0"/>
            </w:pPr>
            <w:r>
              <w:rPr>
                <w:rFonts w:ascii="Calibri" w:hAnsi="Calibri"/>
                <w:b w:val="0"/>
                <w:i w:val="0"/>
                <w:color w:val="1E2228"/>
                <w:sz w:val="17"/>
              </w:rPr>
              <w:t>How Maison Doclar accompanies the host.</w:t>
            </w:r>
          </w:p>
        </w:tc>
        <w:tc>
          <w:tcPr>
            <w:tcW w:type="dxa" w:w="4392"/>
            <w:tcMar>
              <w:top w:w="80" w:type="dxa"/>
              <w:start w:w="120" w:type="dxa"/>
              <w:bottom w:w="80" w:type="dxa"/>
              <w:end w:w="120" w:type="dxa"/>
            </w:tcMar>
            <w:vAlign w:val="top"/>
          </w:tcPr>
          <w:p>
            <w:pPr>
              <w:spacing w:after="0"/>
            </w:pPr>
            <w:r>
              <w:rPr>
                <w:rFonts w:ascii="Calibri" w:hAnsi="Calibri"/>
                <w:b w:val="0"/>
                <w:i w:val="0"/>
                <w:color w:val="1E2228"/>
                <w:sz w:val="17"/>
              </w:rPr>
              <w:t>Timely updates, next moments, low-friction approvals, live-day calm and post-event closure.</w:t>
            </w:r>
          </w:p>
        </w:tc>
      </w:tr>
    </w:tbl>
    <w:p>
      <w:pPr>
        <w:spacing w:after="20"/>
      </w:pPr>
    </w:p>
    <w:p>
      <w:pPr>
        <w:pStyle w:val="Heading2"/>
      </w:pPr>
      <w:r>
        <w:t>1.2 Emotional acceptance criteria</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2088"/>
            <w:shd w:fill="E8EEF5"/>
            <w:tcMar>
              <w:top w:w="80" w:type="dxa"/>
              <w:start w:w="120" w:type="dxa"/>
              <w:bottom w:w="80" w:type="dxa"/>
              <w:end w:w="120" w:type="dxa"/>
            </w:tcMar>
            <w:vAlign w:val="center"/>
          </w:tcPr>
          <w:p>
            <w:r>
              <w:rPr>
                <w:rFonts w:ascii="Calibri" w:hAnsi="Calibri"/>
                <w:b/>
                <w:i w:val="0"/>
                <w:color w:val="0B2545"/>
                <w:sz w:val="18"/>
              </w:rPr>
              <w:t>Host should feel</w:t>
            </w:r>
          </w:p>
        </w:tc>
        <w:tc>
          <w:tcPr>
            <w:tcW w:type="dxa" w:w="7272"/>
            <w:shd w:fill="E8EEF5"/>
            <w:tcMar>
              <w:top w:w="80" w:type="dxa"/>
              <w:start w:w="120" w:type="dxa"/>
              <w:bottom w:w="80" w:type="dxa"/>
              <w:end w:w="120" w:type="dxa"/>
            </w:tcMar>
            <w:vAlign w:val="center"/>
          </w:tcPr>
          <w:p>
            <w:r>
              <w:rPr>
                <w:rFonts w:ascii="Calibri" w:hAnsi="Calibri"/>
                <w:b/>
                <w:i w:val="0"/>
                <w:color w:val="0B2545"/>
                <w:sz w:val="18"/>
              </w:rPr>
              <w:t>Product evidence</w:t>
            </w:r>
          </w:p>
        </w:tc>
      </w:tr>
      <w:tr>
        <w:trPr>
          <w:cantSplit/>
        </w:trPr>
        <w:tc>
          <w:tcPr>
            <w:tcW w:type="dxa" w:w="2088"/>
            <w:tcMar>
              <w:top w:w="80" w:type="dxa"/>
              <w:start w:w="120" w:type="dxa"/>
              <w:bottom w:w="80" w:type="dxa"/>
              <w:end w:w="120" w:type="dxa"/>
            </w:tcMar>
            <w:vAlign w:val="top"/>
          </w:tcPr>
          <w:p>
            <w:pPr>
              <w:spacing w:after="0"/>
            </w:pPr>
            <w:r>
              <w:rPr>
                <w:rFonts w:ascii="Calibri" w:hAnsi="Calibri"/>
                <w:b w:val="0"/>
                <w:i w:val="0"/>
                <w:color w:val="1E2228"/>
                <w:sz w:val="17"/>
              </w:rPr>
              <w:t>Calm</w:t>
            </w:r>
          </w:p>
        </w:tc>
        <w:tc>
          <w:tcPr>
            <w:tcW w:type="dxa" w:w="7272"/>
            <w:tcMar>
              <w:top w:w="80" w:type="dxa"/>
              <w:start w:w="120" w:type="dxa"/>
              <w:bottom w:w="80" w:type="dxa"/>
              <w:end w:w="120" w:type="dxa"/>
            </w:tcMar>
            <w:vAlign w:val="top"/>
          </w:tcPr>
          <w:p>
            <w:pPr>
              <w:spacing w:after="0"/>
            </w:pPr>
            <w:r>
              <w:rPr>
                <w:rFonts w:ascii="Calibri" w:hAnsi="Calibri"/>
                <w:b w:val="0"/>
                <w:i w:val="0"/>
                <w:color w:val="1E2228"/>
                <w:sz w:val="17"/>
              </w:rPr>
              <w:t>One coherent story, few priorities, no raw operational noise.</w:t>
            </w:r>
          </w:p>
        </w:tc>
      </w:tr>
      <w:tr>
        <w:trPr>
          <w:cantSplit/>
        </w:trPr>
        <w:tc>
          <w:tcPr>
            <w:tcW w:type="dxa" w:w="2088"/>
            <w:tcMar>
              <w:top w:w="80" w:type="dxa"/>
              <w:start w:w="120" w:type="dxa"/>
              <w:bottom w:w="80" w:type="dxa"/>
              <w:end w:w="120" w:type="dxa"/>
            </w:tcMar>
            <w:vAlign w:val="top"/>
          </w:tcPr>
          <w:p>
            <w:pPr>
              <w:spacing w:after="0"/>
            </w:pPr>
            <w:r>
              <w:rPr>
                <w:rFonts w:ascii="Calibri" w:hAnsi="Calibri"/>
                <w:b w:val="0"/>
                <w:i w:val="0"/>
                <w:color w:val="1E2228"/>
                <w:sz w:val="17"/>
              </w:rPr>
              <w:t>Confident</w:t>
            </w:r>
          </w:p>
        </w:tc>
        <w:tc>
          <w:tcPr>
            <w:tcW w:type="dxa" w:w="7272"/>
            <w:tcMar>
              <w:top w:w="80" w:type="dxa"/>
              <w:start w:w="120" w:type="dxa"/>
              <w:bottom w:w="80" w:type="dxa"/>
              <w:end w:w="120" w:type="dxa"/>
            </w:tcMar>
            <w:vAlign w:val="top"/>
          </w:tcPr>
          <w:p>
            <w:pPr>
              <w:spacing w:after="0"/>
            </w:pPr>
            <w:r>
              <w:rPr>
                <w:rFonts w:ascii="Calibri" w:hAnsi="Calibri"/>
                <w:b w:val="0"/>
                <w:i w:val="0"/>
                <w:color w:val="1E2228"/>
                <w:sz w:val="17"/>
              </w:rPr>
              <w:t>Clear ownership, verified milestones and visible contingency thinking.</w:t>
            </w:r>
          </w:p>
        </w:tc>
      </w:tr>
      <w:tr>
        <w:trPr>
          <w:cantSplit/>
        </w:trPr>
        <w:tc>
          <w:tcPr>
            <w:tcW w:type="dxa" w:w="2088"/>
            <w:tcMar>
              <w:top w:w="80" w:type="dxa"/>
              <w:start w:w="120" w:type="dxa"/>
              <w:bottom w:w="80" w:type="dxa"/>
              <w:end w:w="120" w:type="dxa"/>
            </w:tcMar>
            <w:vAlign w:val="top"/>
          </w:tcPr>
          <w:p>
            <w:pPr>
              <w:spacing w:after="0"/>
            </w:pPr>
            <w:r>
              <w:rPr>
                <w:rFonts w:ascii="Calibri" w:hAnsi="Calibri"/>
                <w:b w:val="0"/>
                <w:i w:val="0"/>
                <w:color w:val="1E2228"/>
                <w:sz w:val="17"/>
              </w:rPr>
              <w:t>Excited</w:t>
            </w:r>
          </w:p>
        </w:tc>
        <w:tc>
          <w:tcPr>
            <w:tcW w:type="dxa" w:w="7272"/>
            <w:tcMar>
              <w:top w:w="80" w:type="dxa"/>
              <w:start w:w="120" w:type="dxa"/>
              <w:bottom w:w="80" w:type="dxa"/>
              <w:end w:w="120" w:type="dxa"/>
            </w:tcMar>
            <w:vAlign w:val="top"/>
          </w:tcPr>
          <w:p>
            <w:pPr>
              <w:spacing w:after="0"/>
            </w:pPr>
            <w:r>
              <w:rPr>
                <w:rFonts w:ascii="Calibri" w:hAnsi="Calibri"/>
                <w:b w:val="0"/>
                <w:i w:val="0"/>
                <w:color w:val="1E2228"/>
                <w:sz w:val="17"/>
              </w:rPr>
              <w:t>Beautiful, approved imagery and language make the occasion tangible.</w:t>
            </w:r>
          </w:p>
        </w:tc>
      </w:tr>
      <w:tr>
        <w:trPr>
          <w:cantSplit/>
        </w:trPr>
        <w:tc>
          <w:tcPr>
            <w:tcW w:type="dxa" w:w="2088"/>
            <w:tcMar>
              <w:top w:w="80" w:type="dxa"/>
              <w:start w:w="120" w:type="dxa"/>
              <w:bottom w:w="80" w:type="dxa"/>
              <w:end w:w="120" w:type="dxa"/>
            </w:tcMar>
            <w:vAlign w:val="top"/>
          </w:tcPr>
          <w:p>
            <w:pPr>
              <w:spacing w:after="0"/>
            </w:pPr>
            <w:r>
              <w:rPr>
                <w:rFonts w:ascii="Calibri" w:hAnsi="Calibri"/>
                <w:b w:val="0"/>
                <w:i w:val="0"/>
                <w:color w:val="1E2228"/>
                <w:sz w:val="17"/>
              </w:rPr>
              <w:t>Cared for</w:t>
            </w:r>
          </w:p>
        </w:tc>
        <w:tc>
          <w:tcPr>
            <w:tcW w:type="dxa" w:w="7272"/>
            <w:tcMar>
              <w:top w:w="80" w:type="dxa"/>
              <w:start w:w="120" w:type="dxa"/>
              <w:bottom w:w="80" w:type="dxa"/>
              <w:end w:w="120" w:type="dxa"/>
            </w:tcMar>
            <w:vAlign w:val="top"/>
          </w:tcPr>
          <w:p>
            <w:pPr>
              <w:spacing w:after="0"/>
            </w:pPr>
            <w:r>
              <w:rPr>
                <w:rFonts w:ascii="Calibri" w:hAnsi="Calibri"/>
                <w:b w:val="0"/>
                <w:i w:val="0"/>
                <w:color w:val="1E2228"/>
                <w:sz w:val="17"/>
              </w:rPr>
              <w:t>Personalised context, discreet human contact and remembered preferences.</w:t>
            </w:r>
          </w:p>
        </w:tc>
      </w:tr>
      <w:tr>
        <w:trPr>
          <w:cantSplit/>
        </w:trPr>
        <w:tc>
          <w:tcPr>
            <w:tcW w:type="dxa" w:w="2088"/>
            <w:tcMar>
              <w:top w:w="80" w:type="dxa"/>
              <w:start w:w="120" w:type="dxa"/>
              <w:bottom w:w="80" w:type="dxa"/>
              <w:end w:w="120" w:type="dxa"/>
            </w:tcMar>
            <w:vAlign w:val="top"/>
          </w:tcPr>
          <w:p>
            <w:pPr>
              <w:spacing w:after="0"/>
            </w:pPr>
            <w:r>
              <w:rPr>
                <w:rFonts w:ascii="Calibri" w:hAnsi="Calibri"/>
                <w:b w:val="0"/>
                <w:i w:val="0"/>
                <w:color w:val="1E2228"/>
                <w:sz w:val="17"/>
              </w:rPr>
              <w:t>In control</w:t>
            </w:r>
          </w:p>
        </w:tc>
        <w:tc>
          <w:tcPr>
            <w:tcW w:type="dxa" w:w="7272"/>
            <w:tcMar>
              <w:top w:w="80" w:type="dxa"/>
              <w:start w:w="120" w:type="dxa"/>
              <w:bottom w:w="80" w:type="dxa"/>
              <w:end w:w="120" w:type="dxa"/>
            </w:tcMar>
            <w:vAlign w:val="top"/>
          </w:tcPr>
          <w:p>
            <w:pPr>
              <w:spacing w:after="0"/>
            </w:pPr>
            <w:r>
              <w:rPr>
                <w:rFonts w:ascii="Calibri" w:hAnsi="Calibri"/>
                <w:b w:val="0"/>
                <w:i w:val="0"/>
                <w:color w:val="1E2228"/>
                <w:sz w:val="17"/>
              </w:rPr>
              <w:t>Reserved decisions are obvious, bounded and receipted.</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shd w:fill="F2F4F7"/>
            <w:tcMar>
              <w:top w:w="130" w:type="dxa"/>
              <w:start w:w="180" w:type="dxa"/>
              <w:bottom w:w="130" w:type="dxa"/>
              <w:end w:w="180" w:type="dxa"/>
            </w:tcMar>
          </w:tcPr>
          <w:p>
            <w:pPr>
              <w:spacing w:after="0"/>
            </w:pPr>
            <w:r>
              <w:rPr>
                <w:rFonts w:ascii="Calibri" w:hAnsi="Calibri"/>
                <w:b/>
                <w:i w:val="0"/>
                <w:color w:val="0B2545"/>
                <w:sz w:val="21"/>
              </w:rPr>
              <w:t xml:space="preserve">NON-SAAS TEST  </w:t>
            </w:r>
            <w:r>
              <w:rPr>
                <w:rFonts w:ascii="Calibri" w:hAnsi="Calibri"/>
                <w:b w:val="0"/>
                <w:i w:val="0"/>
                <w:color w:val="1E2228"/>
                <w:sz w:val="21"/>
              </w:rPr>
              <w:t>If the first impression resembles a project-management dashboard, admin portal, CRM or analytics product, the design has failed even if every function works.</w:t>
            </w:r>
          </w:p>
        </w:tc>
      </w:tr>
    </w:tbl>
    <w:p>
      <w:pPr>
        <w:spacing w:after="20"/>
      </w:pPr>
    </w:p>
    <w:p>
      <w:pPr>
        <w:pStyle w:val="Heading1"/>
      </w:pPr>
      <w:r>
        <w:t>2. Reconciliation with the programme</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cantSplit/>
        </w:trPr>
        <w:tc>
          <w:tcPr>
            <w:tcW w:type="dxa" w:w="2088"/>
            <w:shd w:fill="E8EEF5"/>
            <w:tcMar>
              <w:top w:w="80" w:type="dxa"/>
              <w:start w:w="120" w:type="dxa"/>
              <w:bottom w:w="80" w:type="dxa"/>
              <w:end w:w="120" w:type="dxa"/>
            </w:tcMar>
            <w:vAlign w:val="center"/>
          </w:tcPr>
          <w:p>
            <w:r>
              <w:rPr>
                <w:rFonts w:ascii="Calibri" w:hAnsi="Calibri"/>
                <w:b/>
                <w:i w:val="0"/>
                <w:color w:val="0B2545"/>
                <w:sz w:val="18"/>
              </w:rPr>
              <w:t>Existing authority</w:t>
            </w:r>
          </w:p>
        </w:tc>
        <w:tc>
          <w:tcPr>
            <w:tcW w:type="dxa" w:w="3240"/>
            <w:shd w:fill="E8EEF5"/>
            <w:tcMar>
              <w:top w:w="80" w:type="dxa"/>
              <w:start w:w="120" w:type="dxa"/>
              <w:bottom w:w="80" w:type="dxa"/>
              <w:end w:w="120" w:type="dxa"/>
            </w:tcMar>
            <w:vAlign w:val="center"/>
          </w:tcPr>
          <w:p>
            <w:r>
              <w:rPr>
                <w:rFonts w:ascii="Calibri" w:hAnsi="Calibri"/>
                <w:b/>
                <w:i w:val="0"/>
                <w:color w:val="0B2545"/>
                <w:sz w:val="18"/>
              </w:rPr>
              <w:t>Truth retained there</w:t>
            </w:r>
          </w:p>
        </w:tc>
        <w:tc>
          <w:tcPr>
            <w:tcW w:type="dxa" w:w="4032"/>
            <w:shd w:fill="E8EEF5"/>
            <w:tcMar>
              <w:top w:w="80" w:type="dxa"/>
              <w:start w:w="120" w:type="dxa"/>
              <w:bottom w:w="80" w:type="dxa"/>
              <w:end w:w="120" w:type="dxa"/>
            </w:tcMar>
            <w:vAlign w:val="center"/>
          </w:tcPr>
          <w:p>
            <w:r>
              <w:rPr>
                <w:rFonts w:ascii="Calibri" w:hAnsi="Calibri"/>
                <w:b/>
                <w:i w:val="0"/>
                <w:color w:val="0B2545"/>
                <w:sz w:val="18"/>
              </w:rPr>
              <w:t>S04E treatment</w:t>
            </w:r>
          </w:p>
        </w:tc>
      </w:tr>
      <w:tr>
        <w:trPr>
          <w:cantSplit/>
        </w:trPr>
        <w:tc>
          <w:tcPr>
            <w:tcW w:type="dxa" w:w="2088"/>
            <w:tcMar>
              <w:top w:w="80" w:type="dxa"/>
              <w:start w:w="120" w:type="dxa"/>
              <w:bottom w:w="80" w:type="dxa"/>
              <w:end w:w="120" w:type="dxa"/>
            </w:tcMar>
            <w:vAlign w:val="top"/>
          </w:tcPr>
          <w:p>
            <w:pPr>
              <w:spacing w:after="0"/>
            </w:pPr>
            <w:r>
              <w:rPr>
                <w:rFonts w:ascii="Calibri" w:hAnsi="Calibri"/>
                <w:b w:val="0"/>
                <w:i w:val="0"/>
                <w:color w:val="1E2228"/>
                <w:sz w:val="17"/>
              </w:rPr>
              <w:t>Core Event OS</w:t>
            </w:r>
          </w:p>
        </w:tc>
        <w:tc>
          <w:tcPr>
            <w:tcW w:type="dxa" w:w="3240"/>
            <w:tcMar>
              <w:top w:w="80" w:type="dxa"/>
              <w:start w:w="120" w:type="dxa"/>
              <w:bottom w:w="80" w:type="dxa"/>
              <w:end w:w="120" w:type="dxa"/>
            </w:tcMar>
            <w:vAlign w:val="top"/>
          </w:tcPr>
          <w:p>
            <w:pPr>
              <w:spacing w:after="0"/>
            </w:pPr>
            <w:r>
              <w:rPr>
                <w:rFonts w:ascii="Calibri" w:hAnsi="Calibri"/>
                <w:b w:val="0"/>
                <w:i w:val="0"/>
                <w:color w:val="1E2228"/>
                <w:sz w:val="17"/>
              </w:rPr>
              <w:t>Canonical event, people, permissions and governed actions.</w:t>
            </w:r>
          </w:p>
        </w:tc>
        <w:tc>
          <w:tcPr>
            <w:tcW w:type="dxa" w:w="4032"/>
            <w:tcMar>
              <w:top w:w="80" w:type="dxa"/>
              <w:start w:w="120" w:type="dxa"/>
              <w:bottom w:w="80" w:type="dxa"/>
              <w:end w:w="120" w:type="dxa"/>
            </w:tcMar>
            <w:vAlign w:val="top"/>
          </w:tcPr>
          <w:p>
            <w:pPr>
              <w:spacing w:after="0"/>
            </w:pPr>
            <w:r>
              <w:rPr>
                <w:rFonts w:ascii="Calibri" w:hAnsi="Calibri"/>
                <w:b w:val="0"/>
                <w:i w:val="0"/>
                <w:color w:val="1E2228"/>
                <w:sz w:val="17"/>
              </w:rPr>
              <w:t>Read-only projections and governed requests; never a second source of truth.</w:t>
            </w:r>
          </w:p>
        </w:tc>
      </w:tr>
      <w:tr>
        <w:trPr>
          <w:cantSplit/>
        </w:trPr>
        <w:tc>
          <w:tcPr>
            <w:tcW w:type="dxa" w:w="2088"/>
            <w:tcMar>
              <w:top w:w="80" w:type="dxa"/>
              <w:start w:w="120" w:type="dxa"/>
              <w:bottom w:w="80" w:type="dxa"/>
              <w:end w:w="120" w:type="dxa"/>
            </w:tcMar>
            <w:vAlign w:val="top"/>
          </w:tcPr>
          <w:p>
            <w:pPr>
              <w:spacing w:after="0"/>
            </w:pPr>
            <w:r>
              <w:rPr>
                <w:rFonts w:ascii="Calibri" w:hAnsi="Calibri"/>
                <w:b w:val="0"/>
                <w:i w:val="0"/>
                <w:color w:val="1E2228"/>
                <w:sz w:val="17"/>
              </w:rPr>
              <w:t>EOS-S03</w:t>
            </w:r>
          </w:p>
        </w:tc>
        <w:tc>
          <w:tcPr>
            <w:tcW w:type="dxa" w:w="3240"/>
            <w:tcMar>
              <w:top w:w="80" w:type="dxa"/>
              <w:start w:w="120" w:type="dxa"/>
              <w:bottom w:w="80" w:type="dxa"/>
              <w:end w:w="120" w:type="dxa"/>
            </w:tcMar>
            <w:vAlign w:val="top"/>
          </w:tcPr>
          <w:p>
            <w:pPr>
              <w:spacing w:after="0"/>
            </w:pPr>
            <w:r>
              <w:rPr>
                <w:rFonts w:ascii="Calibri" w:hAnsi="Calibri"/>
                <w:b w:val="0"/>
                <w:i w:val="0"/>
                <w:color w:val="1E2228"/>
                <w:sz w:val="17"/>
              </w:rPr>
              <w:t>Invitation and RSVP authority.</w:t>
            </w:r>
          </w:p>
        </w:tc>
        <w:tc>
          <w:tcPr>
            <w:tcW w:type="dxa" w:w="4032"/>
            <w:tcMar>
              <w:top w:w="80" w:type="dxa"/>
              <w:start w:w="120" w:type="dxa"/>
              <w:bottom w:w="80" w:type="dxa"/>
              <w:end w:w="120" w:type="dxa"/>
            </w:tcMar>
            <w:vAlign w:val="top"/>
          </w:tcPr>
          <w:p>
            <w:pPr>
              <w:spacing w:after="0"/>
            </w:pPr>
            <w:r>
              <w:rPr>
                <w:rFonts w:ascii="Calibri" w:hAnsi="Calibri"/>
                <w:b w:val="0"/>
                <w:i w:val="0"/>
                <w:color w:val="1E2228"/>
                <w:sz w:val="17"/>
              </w:rPr>
              <w:t>Curated invitation/response assurance only; no duplicate RSVP ledger.</w:t>
            </w:r>
          </w:p>
        </w:tc>
      </w:tr>
      <w:tr>
        <w:trPr>
          <w:cantSplit/>
        </w:trPr>
        <w:tc>
          <w:tcPr>
            <w:tcW w:type="dxa" w:w="2088"/>
            <w:tcMar>
              <w:top w:w="80" w:type="dxa"/>
              <w:start w:w="120" w:type="dxa"/>
              <w:bottom w:w="80" w:type="dxa"/>
              <w:end w:w="120" w:type="dxa"/>
            </w:tcMar>
            <w:vAlign w:val="top"/>
          </w:tcPr>
          <w:p>
            <w:pPr>
              <w:spacing w:after="0"/>
            </w:pPr>
            <w:r>
              <w:rPr>
                <w:rFonts w:ascii="Calibri" w:hAnsi="Calibri"/>
                <w:b w:val="0"/>
                <w:i w:val="0"/>
                <w:color w:val="1E2228"/>
                <w:sz w:val="17"/>
              </w:rPr>
              <w:t>EOS-S04A</w:t>
            </w:r>
          </w:p>
        </w:tc>
        <w:tc>
          <w:tcPr>
            <w:tcW w:type="dxa" w:w="3240"/>
            <w:tcMar>
              <w:top w:w="80" w:type="dxa"/>
              <w:start w:w="120" w:type="dxa"/>
              <w:bottom w:w="80" w:type="dxa"/>
              <w:end w:w="120" w:type="dxa"/>
            </w:tcMar>
            <w:vAlign w:val="top"/>
          </w:tcPr>
          <w:p>
            <w:pPr>
              <w:spacing w:after="0"/>
            </w:pPr>
            <w:r>
              <w:rPr>
                <w:rFonts w:ascii="Calibri" w:hAnsi="Calibri"/>
                <w:b w:val="0"/>
                <w:i w:val="0"/>
                <w:color w:val="1E2228"/>
                <w:sz w:val="17"/>
              </w:rPr>
              <w:t>guestId, titles, parties, children, companions and relationships.</w:t>
            </w:r>
          </w:p>
        </w:tc>
        <w:tc>
          <w:tcPr>
            <w:tcW w:type="dxa" w:w="4032"/>
            <w:tcMar>
              <w:top w:w="80" w:type="dxa"/>
              <w:start w:w="120" w:type="dxa"/>
              <w:bottom w:w="80" w:type="dxa"/>
              <w:end w:w="120" w:type="dxa"/>
            </w:tcMar>
            <w:vAlign w:val="top"/>
          </w:tcPr>
          <w:p>
            <w:pPr>
              <w:spacing w:after="0"/>
            </w:pPr>
            <w:r>
              <w:rPr>
                <w:rFonts w:ascii="Calibri" w:hAnsi="Calibri"/>
                <w:b w:val="0"/>
                <w:i w:val="0"/>
                <w:color w:val="1E2228"/>
                <w:sz w:val="17"/>
              </w:rPr>
              <w:t>Dignified host-authorised guest view; private adult/child data minimised.</w:t>
            </w:r>
          </w:p>
        </w:tc>
      </w:tr>
      <w:tr>
        <w:trPr>
          <w:cantSplit/>
        </w:trPr>
        <w:tc>
          <w:tcPr>
            <w:tcW w:type="dxa" w:w="2088"/>
            <w:tcMar>
              <w:top w:w="80" w:type="dxa"/>
              <w:start w:w="120" w:type="dxa"/>
              <w:bottom w:w="80" w:type="dxa"/>
              <w:end w:w="120" w:type="dxa"/>
            </w:tcMar>
            <w:vAlign w:val="top"/>
          </w:tcPr>
          <w:p>
            <w:pPr>
              <w:spacing w:after="0"/>
            </w:pPr>
            <w:r>
              <w:rPr>
                <w:rFonts w:ascii="Calibri" w:hAnsi="Calibri"/>
                <w:b w:val="0"/>
                <w:i w:val="0"/>
                <w:color w:val="1E2228"/>
                <w:sz w:val="17"/>
              </w:rPr>
              <w:t>EOS-S04B</w:t>
            </w:r>
          </w:p>
        </w:tc>
        <w:tc>
          <w:tcPr>
            <w:tcW w:type="dxa" w:w="3240"/>
            <w:tcMar>
              <w:top w:w="80" w:type="dxa"/>
              <w:start w:w="120" w:type="dxa"/>
              <w:bottom w:w="80" w:type="dxa"/>
              <w:end w:w="120" w:type="dxa"/>
            </w:tcMar>
            <w:vAlign w:val="top"/>
          </w:tcPr>
          <w:p>
            <w:pPr>
              <w:spacing w:after="0"/>
            </w:pPr>
            <w:r>
              <w:rPr>
                <w:rFonts w:ascii="Calibri" w:hAnsi="Calibri"/>
                <w:b w:val="0"/>
                <w:i w:val="0"/>
                <w:color w:val="1E2228"/>
                <w:sz w:val="17"/>
              </w:rPr>
              <w:t>Programme, phases, days, venues and phase eligibility.</w:t>
            </w:r>
          </w:p>
        </w:tc>
        <w:tc>
          <w:tcPr>
            <w:tcW w:type="dxa" w:w="4032"/>
            <w:tcMar>
              <w:top w:w="80" w:type="dxa"/>
              <w:start w:w="120" w:type="dxa"/>
              <w:bottom w:w="80" w:type="dxa"/>
              <w:end w:w="120" w:type="dxa"/>
            </w:tcMar>
            <w:vAlign w:val="top"/>
          </w:tcPr>
          <w:p>
            <w:pPr>
              <w:spacing w:after="0"/>
            </w:pPr>
            <w:r>
              <w:rPr>
                <w:rFonts w:ascii="Calibri" w:hAnsi="Calibri"/>
                <w:b w:val="0"/>
                <w:i w:val="0"/>
                <w:color w:val="1E2228"/>
                <w:sz w:val="17"/>
              </w:rPr>
              <w:t>Narrative programme and host timeline from the same phase graph.</w:t>
            </w:r>
          </w:p>
        </w:tc>
      </w:tr>
      <w:tr>
        <w:trPr>
          <w:cantSplit/>
        </w:trPr>
        <w:tc>
          <w:tcPr>
            <w:tcW w:type="dxa" w:w="2088"/>
            <w:tcMar>
              <w:top w:w="80" w:type="dxa"/>
              <w:start w:w="120" w:type="dxa"/>
              <w:bottom w:w="80" w:type="dxa"/>
              <w:end w:w="120" w:type="dxa"/>
            </w:tcMar>
            <w:vAlign w:val="top"/>
          </w:tcPr>
          <w:p>
            <w:pPr>
              <w:spacing w:after="0"/>
            </w:pPr>
            <w:r>
              <w:rPr>
                <w:rFonts w:ascii="Calibri" w:hAnsi="Calibri"/>
                <w:b w:val="0"/>
                <w:i w:val="0"/>
                <w:color w:val="1E2228"/>
                <w:sz w:val="17"/>
              </w:rPr>
              <w:t>EOS-S04/C</w:t>
            </w:r>
          </w:p>
        </w:tc>
        <w:tc>
          <w:tcPr>
            <w:tcW w:type="dxa" w:w="3240"/>
            <w:tcMar>
              <w:top w:w="80" w:type="dxa"/>
              <w:start w:w="120" w:type="dxa"/>
              <w:bottom w:w="80" w:type="dxa"/>
              <w:end w:w="120" w:type="dxa"/>
            </w:tcMar>
            <w:vAlign w:val="top"/>
          </w:tcPr>
          <w:p>
            <w:pPr>
              <w:spacing w:after="0"/>
            </w:pPr>
            <w:r>
              <w:rPr>
                <w:rFonts w:ascii="Calibri" w:hAnsi="Calibri"/>
                <w:b w:val="0"/>
                <w:i w:val="0"/>
                <w:color w:val="1E2228"/>
                <w:sz w:val="17"/>
              </w:rPr>
              <w:t>Governed communications and merchandise journeys.</w:t>
            </w:r>
          </w:p>
        </w:tc>
        <w:tc>
          <w:tcPr>
            <w:tcW w:type="dxa" w:w="4032"/>
            <w:tcMar>
              <w:top w:w="80" w:type="dxa"/>
              <w:start w:w="120" w:type="dxa"/>
              <w:bottom w:w="80" w:type="dxa"/>
              <w:end w:w="120" w:type="dxa"/>
            </w:tcMar>
            <w:vAlign w:val="top"/>
          </w:tcPr>
          <w:p>
            <w:pPr>
              <w:spacing w:after="0"/>
            </w:pPr>
            <w:r>
              <w:rPr>
                <w:rFonts w:ascii="Calibri" w:hAnsi="Calibri"/>
                <w:b w:val="0"/>
                <w:i w:val="0"/>
                <w:color w:val="1E2228"/>
                <w:sz w:val="17"/>
              </w:rPr>
              <w:t>Approved status and host decisions only; no message composer or vendor order book.</w:t>
            </w:r>
          </w:p>
        </w:tc>
      </w:tr>
      <w:tr>
        <w:trPr>
          <w:cantSplit/>
        </w:trPr>
        <w:tc>
          <w:tcPr>
            <w:tcW w:type="dxa" w:w="2088"/>
            <w:tcMar>
              <w:top w:w="80" w:type="dxa"/>
              <w:start w:w="120" w:type="dxa"/>
              <w:bottom w:w="80" w:type="dxa"/>
              <w:end w:w="120" w:type="dxa"/>
            </w:tcMar>
            <w:vAlign w:val="top"/>
          </w:tcPr>
          <w:p>
            <w:pPr>
              <w:spacing w:after="0"/>
            </w:pPr>
            <w:r>
              <w:rPr>
                <w:rFonts w:ascii="Calibri" w:hAnsi="Calibri"/>
                <w:b w:val="0"/>
                <w:i w:val="0"/>
                <w:color w:val="1E2228"/>
                <w:sz w:val="17"/>
              </w:rPr>
              <w:t>EOS-S04D</w:t>
            </w:r>
          </w:p>
        </w:tc>
        <w:tc>
          <w:tcPr>
            <w:tcW w:type="dxa" w:w="3240"/>
            <w:tcMar>
              <w:top w:w="80" w:type="dxa"/>
              <w:start w:w="120" w:type="dxa"/>
              <w:bottom w:w="80" w:type="dxa"/>
              <w:end w:w="120" w:type="dxa"/>
            </w:tcMar>
            <w:vAlign w:val="top"/>
          </w:tcPr>
          <w:p>
            <w:pPr>
              <w:spacing w:after="0"/>
            </w:pPr>
            <w:r>
              <w:rPr>
                <w:rFonts w:ascii="Calibri" w:hAnsi="Calibri"/>
                <w:b w:val="0"/>
                <w:i w:val="0"/>
                <w:color w:val="1E2228"/>
                <w:sz w:val="17"/>
              </w:rPr>
              <w:t>Attendance range, confidence and provision recommendation.</w:t>
            </w:r>
          </w:p>
        </w:tc>
        <w:tc>
          <w:tcPr>
            <w:tcW w:type="dxa" w:w="4032"/>
            <w:tcMar>
              <w:top w:w="80" w:type="dxa"/>
              <w:start w:w="120" w:type="dxa"/>
              <w:bottom w:w="80" w:type="dxa"/>
              <w:end w:w="120" w:type="dxa"/>
            </w:tcMar>
            <w:vAlign w:val="top"/>
          </w:tcPr>
          <w:p>
            <w:pPr>
              <w:spacing w:after="0"/>
            </w:pPr>
            <w:r>
              <w:rPr>
                <w:rFonts w:ascii="Calibri" w:hAnsi="Calibri"/>
                <w:b w:val="0"/>
                <w:i w:val="0"/>
                <w:color w:val="1E2228"/>
                <w:sz w:val="17"/>
              </w:rPr>
              <w:t>Calm aggregate outlook; never person-level probabilities.</w:t>
            </w:r>
          </w:p>
        </w:tc>
      </w:tr>
      <w:tr>
        <w:trPr>
          <w:cantSplit/>
        </w:trPr>
        <w:tc>
          <w:tcPr>
            <w:tcW w:type="dxa" w:w="2088"/>
            <w:tcMar>
              <w:top w:w="80" w:type="dxa"/>
              <w:start w:w="120" w:type="dxa"/>
              <w:bottom w:w="80" w:type="dxa"/>
              <w:end w:w="120" w:type="dxa"/>
            </w:tcMar>
            <w:vAlign w:val="top"/>
          </w:tcPr>
          <w:p>
            <w:pPr>
              <w:spacing w:after="0"/>
            </w:pPr>
            <w:r>
              <w:rPr>
                <w:rFonts w:ascii="Calibri" w:hAnsi="Calibri"/>
                <w:b w:val="0"/>
                <w:i w:val="0"/>
                <w:color w:val="1E2228"/>
                <w:sz w:val="17"/>
              </w:rPr>
              <w:t>Event-day runtime</w:t>
            </w:r>
          </w:p>
        </w:tc>
        <w:tc>
          <w:tcPr>
            <w:tcW w:type="dxa" w:w="3240"/>
            <w:tcMar>
              <w:top w:w="80" w:type="dxa"/>
              <w:start w:w="120" w:type="dxa"/>
              <w:bottom w:w="80" w:type="dxa"/>
              <w:end w:w="120" w:type="dxa"/>
            </w:tcMar>
            <w:vAlign w:val="top"/>
          </w:tcPr>
          <w:p>
            <w:pPr>
              <w:spacing w:after="0"/>
            </w:pPr>
            <w:r>
              <w:rPr>
                <w:rFonts w:ascii="Calibri" w:hAnsi="Calibri"/>
                <w:b w:val="0"/>
                <w:i w:val="0"/>
                <w:color w:val="1E2228"/>
                <w:sz w:val="17"/>
              </w:rPr>
              <w:t>Run-of-show, check-in, incidents and command.</w:t>
            </w:r>
          </w:p>
        </w:tc>
        <w:tc>
          <w:tcPr>
            <w:tcW w:type="dxa" w:w="4032"/>
            <w:tcMar>
              <w:top w:w="80" w:type="dxa"/>
              <w:start w:w="120" w:type="dxa"/>
              <w:bottom w:w="80" w:type="dxa"/>
              <w:end w:w="120" w:type="dxa"/>
            </w:tcMar>
            <w:vAlign w:val="top"/>
          </w:tcPr>
          <w:p>
            <w:pPr>
              <w:spacing w:after="0"/>
            </w:pPr>
            <w:r>
              <w:rPr>
                <w:rFonts w:ascii="Calibri" w:hAnsi="Calibri"/>
                <w:b w:val="0"/>
                <w:i w:val="0"/>
                <w:color w:val="1E2228"/>
                <w:sz w:val="17"/>
              </w:rPr>
              <w:t>Curated live-day projection; no parallel command centre.</w:t>
            </w:r>
          </w:p>
        </w:tc>
      </w:tr>
      <w:tr>
        <w:trPr>
          <w:cantSplit/>
        </w:trPr>
        <w:tc>
          <w:tcPr>
            <w:tcW w:type="dxa" w:w="2088"/>
            <w:tcMar>
              <w:top w:w="80" w:type="dxa"/>
              <w:start w:w="120" w:type="dxa"/>
              <w:bottom w:w="80" w:type="dxa"/>
              <w:end w:w="120" w:type="dxa"/>
            </w:tcMar>
            <w:vAlign w:val="top"/>
          </w:tcPr>
          <w:p>
            <w:pPr>
              <w:spacing w:after="0"/>
            </w:pPr>
            <w:r>
              <w:rPr>
                <w:rFonts w:ascii="Calibri" w:hAnsi="Calibri"/>
                <w:b w:val="0"/>
                <w:i w:val="0"/>
                <w:color w:val="1E2228"/>
                <w:sz w:val="17"/>
              </w:rPr>
              <w:t>Future finance authority</w:t>
            </w:r>
          </w:p>
        </w:tc>
        <w:tc>
          <w:tcPr>
            <w:tcW w:type="dxa" w:w="3240"/>
            <w:tcMar>
              <w:top w:w="80" w:type="dxa"/>
              <w:start w:w="120" w:type="dxa"/>
              <w:bottom w:w="80" w:type="dxa"/>
              <w:end w:w="120" w:type="dxa"/>
            </w:tcMar>
            <w:vAlign w:val="top"/>
          </w:tcPr>
          <w:p>
            <w:pPr>
              <w:spacing w:after="0"/>
            </w:pPr>
            <w:r>
              <w:rPr>
                <w:rFonts w:ascii="Calibri" w:hAnsi="Calibri"/>
                <w:b w:val="0"/>
                <w:i w:val="0"/>
                <w:color w:val="1E2228"/>
                <w:sz w:val="17"/>
              </w:rPr>
              <w:t>Budget ledger, contracts and payment truth if ratified.</w:t>
            </w:r>
          </w:p>
        </w:tc>
        <w:tc>
          <w:tcPr>
            <w:tcW w:type="dxa" w:w="4032"/>
            <w:tcMar>
              <w:top w:w="80" w:type="dxa"/>
              <w:start w:w="120" w:type="dxa"/>
              <w:bottom w:w="80" w:type="dxa"/>
              <w:end w:w="120" w:type="dxa"/>
            </w:tcMar>
            <w:vAlign w:val="top"/>
          </w:tcPr>
          <w:p>
            <w:pPr>
              <w:spacing w:after="0"/>
            </w:pPr>
            <w:r>
              <w:rPr>
                <w:rFonts w:ascii="Calibri" w:hAnsi="Calibri"/>
                <w:b w:val="0"/>
                <w:i w:val="0"/>
                <w:color w:val="1E2228"/>
                <w:sz w:val="17"/>
              </w:rPr>
              <w:t>Optional budget assurance projection only; never invent or collect money.</w:t>
            </w:r>
          </w:p>
        </w:tc>
      </w:tr>
    </w:tbl>
    <w:p>
      <w:pPr>
        <w:spacing w:after="20"/>
      </w:pPr>
    </w:p>
    <w:p>
      <w:pPr>
        <w:pStyle w:val="Heading2"/>
      </w:pPr>
      <w:r>
        <w:t>2.1 Source-document adaptation</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2376"/>
            <w:shd w:fill="E8EEF5"/>
            <w:tcMar>
              <w:top w:w="80" w:type="dxa"/>
              <w:start w:w="120" w:type="dxa"/>
              <w:bottom w:w="80" w:type="dxa"/>
              <w:end w:w="120" w:type="dxa"/>
            </w:tcMar>
            <w:vAlign w:val="center"/>
          </w:tcPr>
          <w:p>
            <w:r>
              <w:rPr>
                <w:rFonts w:ascii="Calibri" w:hAnsi="Calibri"/>
                <w:b/>
                <w:i w:val="0"/>
                <w:color w:val="0B2545"/>
                <w:sz w:val="18"/>
              </w:rPr>
              <w:t>Provided idea</w:t>
            </w:r>
          </w:p>
        </w:tc>
        <w:tc>
          <w:tcPr>
            <w:tcW w:type="dxa" w:w="6984"/>
            <w:shd w:fill="E8EEF5"/>
            <w:tcMar>
              <w:top w:w="80" w:type="dxa"/>
              <w:start w:w="120" w:type="dxa"/>
              <w:bottom w:w="80" w:type="dxa"/>
              <w:end w:w="120" w:type="dxa"/>
            </w:tcMar>
            <w:vAlign w:val="center"/>
          </w:tcPr>
          <w:p>
            <w:r>
              <w:rPr>
                <w:rFonts w:ascii="Calibri" w:hAnsi="Calibri"/>
                <w:b/>
                <w:i w:val="0"/>
                <w:color w:val="0B2545"/>
                <w:sz w:val="18"/>
              </w:rPr>
              <w:t>S04E adaptation</w:t>
            </w:r>
          </w:p>
        </w:tc>
      </w:tr>
      <w:tr>
        <w:trPr>
          <w:cantSplit/>
        </w:trPr>
        <w:tc>
          <w:tcPr>
            <w:tcW w:type="dxa" w:w="2376"/>
            <w:tcMar>
              <w:top w:w="80" w:type="dxa"/>
              <w:start w:w="120" w:type="dxa"/>
              <w:bottom w:w="80" w:type="dxa"/>
              <w:end w:w="120" w:type="dxa"/>
            </w:tcMar>
            <w:vAlign w:val="top"/>
          </w:tcPr>
          <w:p>
            <w:pPr>
              <w:spacing w:after="0"/>
            </w:pPr>
            <w:r>
              <w:rPr>
                <w:rFonts w:ascii="Calibri" w:hAnsi="Calibri"/>
                <w:b w:val="0"/>
                <w:i w:val="0"/>
                <w:color w:val="1E2228"/>
                <w:sz w:val="17"/>
              </w:rPr>
              <w:t>Client Event Blueprint &amp; Journey System</w:t>
            </w:r>
          </w:p>
        </w:tc>
        <w:tc>
          <w:tcPr>
            <w:tcW w:type="dxa" w:w="6984"/>
            <w:tcMar>
              <w:top w:w="80" w:type="dxa"/>
              <w:start w:w="120" w:type="dxa"/>
              <w:bottom w:w="80" w:type="dxa"/>
              <w:end w:w="120" w:type="dxa"/>
            </w:tcMar>
            <w:vAlign w:val="top"/>
          </w:tcPr>
          <w:p>
            <w:pPr>
              <w:spacing w:after="0"/>
            </w:pPr>
            <w:r>
              <w:rPr>
                <w:rFonts w:ascii="Calibri" w:hAnsi="Calibri"/>
                <w:b w:val="0"/>
                <w:i w:val="0"/>
                <w:color w:val="1E2228"/>
                <w:sz w:val="17"/>
              </w:rPr>
              <w:t>Accepted as the governing product shape; renamed in Maison Doclar language.</w:t>
            </w:r>
          </w:p>
        </w:tc>
      </w:tr>
      <w:tr>
        <w:trPr>
          <w:cantSplit/>
        </w:trPr>
        <w:tc>
          <w:tcPr>
            <w:tcW w:type="dxa" w:w="2376"/>
            <w:tcMar>
              <w:top w:w="80" w:type="dxa"/>
              <w:start w:w="120" w:type="dxa"/>
              <w:bottom w:w="80" w:type="dxa"/>
              <w:end w:w="120" w:type="dxa"/>
            </w:tcMar>
            <w:vAlign w:val="top"/>
          </w:tcPr>
          <w:p>
            <w:pPr>
              <w:spacing w:after="0"/>
            </w:pPr>
            <w:r>
              <w:rPr>
                <w:rFonts w:ascii="Calibri" w:hAnsi="Calibri"/>
                <w:b w:val="0"/>
                <w:i w:val="0"/>
                <w:color w:val="1E2228"/>
                <w:sz w:val="17"/>
              </w:rPr>
              <w:t>Single source of truth</w:t>
            </w:r>
          </w:p>
        </w:tc>
        <w:tc>
          <w:tcPr>
            <w:tcW w:type="dxa" w:w="6984"/>
            <w:tcMar>
              <w:top w:w="80" w:type="dxa"/>
              <w:start w:w="120" w:type="dxa"/>
              <w:bottom w:w="80" w:type="dxa"/>
              <w:end w:w="120" w:type="dxa"/>
            </w:tcMar>
            <w:vAlign w:val="top"/>
          </w:tcPr>
          <w:p>
            <w:pPr>
              <w:spacing w:after="0"/>
            </w:pPr>
            <w:r>
              <w:rPr>
                <w:rFonts w:ascii="Calibri" w:hAnsi="Calibri"/>
                <w:b w:val="0"/>
                <w:i w:val="0"/>
                <w:color w:val="1E2228"/>
                <w:sz w:val="17"/>
              </w:rPr>
              <w:t>Event OS remains truth; the Atelier is a curated projection and action gateway.</w:t>
            </w:r>
          </w:p>
        </w:tc>
      </w:tr>
      <w:tr>
        <w:trPr>
          <w:cantSplit/>
        </w:trPr>
        <w:tc>
          <w:tcPr>
            <w:tcW w:type="dxa" w:w="2376"/>
            <w:tcMar>
              <w:top w:w="80" w:type="dxa"/>
              <w:start w:w="120" w:type="dxa"/>
              <w:bottom w:w="80" w:type="dxa"/>
              <w:end w:w="120" w:type="dxa"/>
            </w:tcMar>
            <w:vAlign w:val="top"/>
          </w:tcPr>
          <w:p>
            <w:pPr>
              <w:spacing w:after="0"/>
            </w:pPr>
            <w:r>
              <w:rPr>
                <w:rFonts w:ascii="Calibri" w:hAnsi="Calibri"/>
                <w:b w:val="0"/>
                <w:i w:val="0"/>
                <w:color w:val="1E2228"/>
                <w:sz w:val="17"/>
              </w:rPr>
              <w:t>Proposal → project</w:t>
            </w:r>
          </w:p>
        </w:tc>
        <w:tc>
          <w:tcPr>
            <w:tcW w:type="dxa" w:w="6984"/>
            <w:tcMar>
              <w:top w:w="80" w:type="dxa"/>
              <w:start w:w="120" w:type="dxa"/>
              <w:bottom w:w="80" w:type="dxa"/>
              <w:end w:w="120" w:type="dxa"/>
            </w:tcMar>
            <w:vAlign w:val="top"/>
          </w:tcPr>
          <w:p>
            <w:pPr>
              <w:spacing w:after="0"/>
            </w:pPr>
            <w:r>
              <w:rPr>
                <w:rFonts w:ascii="Calibri" w:hAnsi="Calibri"/>
                <w:b w:val="0"/>
                <w:i w:val="0"/>
                <w:color w:val="1E2228"/>
                <w:sz w:val="17"/>
              </w:rPr>
              <w:t>Governed Blueprint Genesis imports an accepted brief; S04E does not become CRM, contracting or lead management.</w:t>
            </w:r>
          </w:p>
        </w:tc>
      </w:tr>
      <w:tr>
        <w:trPr>
          <w:cantSplit/>
        </w:trPr>
        <w:tc>
          <w:tcPr>
            <w:tcW w:type="dxa" w:w="2376"/>
            <w:tcMar>
              <w:top w:w="80" w:type="dxa"/>
              <w:start w:w="120" w:type="dxa"/>
              <w:bottom w:w="80" w:type="dxa"/>
              <w:end w:w="120" w:type="dxa"/>
            </w:tcMar>
            <w:vAlign w:val="top"/>
          </w:tcPr>
          <w:p>
            <w:pPr>
              <w:spacing w:after="0"/>
            </w:pPr>
            <w:r>
              <w:rPr>
                <w:rFonts w:ascii="Calibri" w:hAnsi="Calibri"/>
                <w:b w:val="0"/>
                <w:i w:val="0"/>
                <w:color w:val="1E2228"/>
                <w:sz w:val="17"/>
              </w:rPr>
              <w:t>Budget tracker</w:t>
            </w:r>
          </w:p>
        </w:tc>
        <w:tc>
          <w:tcPr>
            <w:tcW w:type="dxa" w:w="6984"/>
            <w:tcMar>
              <w:top w:w="80" w:type="dxa"/>
              <w:start w:w="120" w:type="dxa"/>
              <w:bottom w:w="80" w:type="dxa"/>
              <w:end w:w="120" w:type="dxa"/>
            </w:tcMar>
            <w:vAlign w:val="top"/>
          </w:tcPr>
          <w:p>
            <w:pPr>
              <w:spacing w:after="0"/>
            </w:pPr>
            <w:r>
              <w:rPr>
                <w:rFonts w:ascii="Calibri" w:hAnsi="Calibri"/>
                <w:b w:val="0"/>
                <w:i w:val="0"/>
                <w:color w:val="1E2228"/>
                <w:sz w:val="17"/>
              </w:rPr>
              <w:t>Private budget assurance only when a canonical budget authority exists.</w:t>
            </w:r>
          </w:p>
        </w:tc>
      </w:tr>
      <w:tr>
        <w:trPr>
          <w:cantSplit/>
        </w:trPr>
        <w:tc>
          <w:tcPr>
            <w:tcW w:type="dxa" w:w="2376"/>
            <w:tcMar>
              <w:top w:w="80" w:type="dxa"/>
              <w:start w:w="120" w:type="dxa"/>
              <w:bottom w:w="80" w:type="dxa"/>
              <w:end w:w="120" w:type="dxa"/>
            </w:tcMar>
            <w:vAlign w:val="top"/>
          </w:tcPr>
          <w:p>
            <w:pPr>
              <w:spacing w:after="0"/>
            </w:pPr>
            <w:r>
              <w:rPr>
                <w:rFonts w:ascii="Calibri" w:hAnsi="Calibri"/>
                <w:b w:val="0"/>
                <w:i w:val="0"/>
                <w:color w:val="1E2228"/>
                <w:sz w:val="17"/>
              </w:rPr>
              <w:t>Run-of-show</w:t>
            </w:r>
          </w:p>
        </w:tc>
        <w:tc>
          <w:tcPr>
            <w:tcW w:type="dxa" w:w="6984"/>
            <w:tcMar>
              <w:top w:w="80" w:type="dxa"/>
              <w:start w:w="120" w:type="dxa"/>
              <w:bottom w:w="80" w:type="dxa"/>
              <w:end w:w="120" w:type="dxa"/>
            </w:tcMar>
            <w:vAlign w:val="top"/>
          </w:tcPr>
          <w:p>
            <w:pPr>
              <w:spacing w:after="0"/>
            </w:pPr>
            <w:r>
              <w:rPr>
                <w:rFonts w:ascii="Calibri" w:hAnsi="Calibri"/>
                <w:b w:val="0"/>
                <w:i w:val="0"/>
                <w:color w:val="1E2228"/>
                <w:sz w:val="17"/>
              </w:rPr>
              <w:t>Host edition is a projection; event-day runtime retains operational command.</w:t>
            </w:r>
          </w:p>
        </w:tc>
      </w:tr>
      <w:tr>
        <w:trPr>
          <w:cantSplit/>
        </w:trPr>
        <w:tc>
          <w:tcPr>
            <w:tcW w:type="dxa" w:w="2376"/>
            <w:tcMar>
              <w:top w:w="80" w:type="dxa"/>
              <w:start w:w="120" w:type="dxa"/>
              <w:bottom w:w="80" w:type="dxa"/>
              <w:end w:w="120" w:type="dxa"/>
            </w:tcMar>
            <w:vAlign w:val="top"/>
          </w:tcPr>
          <w:p>
            <w:pPr>
              <w:spacing w:after="0"/>
            </w:pPr>
            <w:r>
              <w:rPr>
                <w:rFonts w:ascii="Calibri" w:hAnsi="Calibri"/>
                <w:b w:val="0"/>
                <w:i w:val="0"/>
                <w:color w:val="1E2228"/>
                <w:sz w:val="17"/>
              </w:rPr>
              <w:t>Messages</w:t>
            </w:r>
          </w:p>
        </w:tc>
        <w:tc>
          <w:tcPr>
            <w:tcW w:type="dxa" w:w="6984"/>
            <w:tcMar>
              <w:top w:w="80" w:type="dxa"/>
              <w:start w:w="120" w:type="dxa"/>
              <w:bottom w:w="80" w:type="dxa"/>
              <w:end w:w="120" w:type="dxa"/>
            </w:tcMar>
            <w:vAlign w:val="top"/>
          </w:tcPr>
          <w:p>
            <w:pPr>
              <w:spacing w:after="0"/>
            </w:pPr>
            <w:r>
              <w:rPr>
                <w:rFonts w:ascii="Calibri" w:hAnsi="Calibri"/>
                <w:b w:val="0"/>
                <w:i w:val="0"/>
                <w:color w:val="1E2228"/>
                <w:sz w:val="17"/>
              </w:rPr>
              <w:t>Curated Updates and Decisions; raw chats remain outside the Atelier.</w:t>
            </w:r>
          </w:p>
        </w:tc>
      </w:tr>
      <w:tr>
        <w:trPr>
          <w:cantSplit/>
        </w:trPr>
        <w:tc>
          <w:tcPr>
            <w:tcW w:type="dxa" w:w="2376"/>
            <w:tcMar>
              <w:top w:w="80" w:type="dxa"/>
              <w:start w:w="120" w:type="dxa"/>
              <w:bottom w:w="80" w:type="dxa"/>
              <w:end w:w="120" w:type="dxa"/>
            </w:tcMar>
            <w:vAlign w:val="top"/>
          </w:tcPr>
          <w:p>
            <w:pPr>
              <w:spacing w:after="0"/>
            </w:pPr>
            <w:r>
              <w:rPr>
                <w:rFonts w:ascii="Calibri" w:hAnsi="Calibri"/>
                <w:b w:val="0"/>
                <w:i w:val="0"/>
                <w:color w:val="1E2228"/>
                <w:sz w:val="17"/>
              </w:rPr>
              <w:t>MVP then v2</w:t>
            </w:r>
          </w:p>
        </w:tc>
        <w:tc>
          <w:tcPr>
            <w:tcW w:type="dxa" w:w="6984"/>
            <w:tcMar>
              <w:top w:w="80" w:type="dxa"/>
              <w:start w:w="120" w:type="dxa"/>
              <w:bottom w:w="80" w:type="dxa"/>
              <w:end w:w="120" w:type="dxa"/>
            </w:tcMar>
            <w:vAlign w:val="top"/>
          </w:tcPr>
          <w:p>
            <w:pPr>
              <w:spacing w:after="0"/>
            </w:pPr>
            <w:r>
              <w:rPr>
                <w:rFonts w:ascii="Calibri" w:hAnsi="Calibri"/>
                <w:b w:val="0"/>
                <w:i w:val="0"/>
                <w:color w:val="1E2228"/>
                <w:sz w:val="17"/>
              </w:rPr>
              <w:t>Rejected. Deliver one controlled, production-fidelity slice with optional chapters that fail closed when unconfigured.</w:t>
            </w:r>
          </w:p>
        </w:tc>
      </w:tr>
      <w:tr>
        <w:trPr>
          <w:cantSplit/>
        </w:trPr>
        <w:tc>
          <w:tcPr>
            <w:tcW w:type="dxa" w:w="2376"/>
            <w:tcMar>
              <w:top w:w="80" w:type="dxa"/>
              <w:start w:w="120" w:type="dxa"/>
              <w:bottom w:w="80" w:type="dxa"/>
              <w:end w:w="120" w:type="dxa"/>
            </w:tcMar>
            <w:vAlign w:val="top"/>
          </w:tcPr>
          <w:p>
            <w:pPr>
              <w:spacing w:after="0"/>
            </w:pPr>
            <w:r>
              <w:rPr>
                <w:rFonts w:ascii="Calibri" w:hAnsi="Calibri"/>
                <w:b w:val="0"/>
                <w:i w:val="0"/>
                <w:color w:val="1E2228"/>
                <w:sz w:val="17"/>
              </w:rPr>
              <w:t>Generic stack suggestions</w:t>
            </w:r>
          </w:p>
        </w:tc>
        <w:tc>
          <w:tcPr>
            <w:tcW w:type="dxa" w:w="6984"/>
            <w:tcMar>
              <w:top w:w="80" w:type="dxa"/>
              <w:start w:w="120" w:type="dxa"/>
              <w:bottom w:w="80" w:type="dxa"/>
              <w:end w:w="120" w:type="dxa"/>
            </w:tcMar>
            <w:vAlign w:val="top"/>
          </w:tcPr>
          <w:p>
            <w:pPr>
              <w:spacing w:after="0"/>
            </w:pPr>
            <w:r>
              <w:rPr>
                <w:rFonts w:ascii="Calibri" w:hAnsi="Calibri"/>
                <w:b w:val="0"/>
                <w:i w:val="0"/>
                <w:color w:val="1E2228"/>
                <w:sz w:val="17"/>
              </w:rPr>
              <w:t>Use the accepted repository architecture and programme contracts; do not introduce new infrastructure by assumption.</w:t>
            </w:r>
          </w:p>
        </w:tc>
      </w:tr>
    </w:tbl>
    <w:p>
      <w:pPr>
        <w:spacing w:after="20"/>
      </w:pPr>
    </w:p>
    <w:p>
      <w:pPr>
        <w:pStyle w:val="Heading1"/>
      </w:pPr>
      <w:r>
        <w:t>3. Scope, lifecycle and exclusions</w:t>
      </w:r>
    </w:p>
    <w:p>
      <w:pPr>
        <w:pStyle w:val="Heading2"/>
      </w:pPr>
      <w:r>
        <w:t>3.1 Full in-scope lifecycle</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1800"/>
            <w:shd w:fill="E8EEF5"/>
            <w:tcMar>
              <w:top w:w="80" w:type="dxa"/>
              <w:start w:w="120" w:type="dxa"/>
              <w:bottom w:w="80" w:type="dxa"/>
              <w:end w:w="120" w:type="dxa"/>
            </w:tcMar>
            <w:vAlign w:val="center"/>
          </w:tcPr>
          <w:p>
            <w:r>
              <w:rPr>
                <w:rFonts w:ascii="Calibri" w:hAnsi="Calibri"/>
                <w:b/>
                <w:i w:val="0"/>
                <w:color w:val="0B2545"/>
                <w:sz w:val="18"/>
              </w:rPr>
              <w:t>Stage</w:t>
            </w:r>
          </w:p>
        </w:tc>
        <w:tc>
          <w:tcPr>
            <w:tcW w:type="dxa" w:w="7560"/>
            <w:shd w:fill="E8EEF5"/>
            <w:tcMar>
              <w:top w:w="80" w:type="dxa"/>
              <w:start w:w="120" w:type="dxa"/>
              <w:bottom w:w="80" w:type="dxa"/>
              <w:end w:w="120" w:type="dxa"/>
            </w:tcMar>
            <w:vAlign w:val="center"/>
          </w:tcPr>
          <w:p>
            <w:r>
              <w:rPr>
                <w:rFonts w:ascii="Calibri" w:hAnsi="Calibri"/>
                <w:b/>
                <w:i w:val="0"/>
                <w:color w:val="0B2545"/>
                <w:sz w:val="18"/>
              </w:rPr>
              <w:t>Host-facing expression</w:t>
            </w:r>
          </w:p>
        </w:tc>
      </w:tr>
      <w:tr>
        <w:trPr>
          <w:cantSplit/>
        </w:trPr>
        <w:tc>
          <w:tcPr>
            <w:tcW w:type="dxa" w:w="1800"/>
            <w:tcMar>
              <w:top w:w="80" w:type="dxa"/>
              <w:start w:w="120" w:type="dxa"/>
              <w:bottom w:w="80" w:type="dxa"/>
              <w:end w:w="120" w:type="dxa"/>
            </w:tcMar>
            <w:vAlign w:val="top"/>
          </w:tcPr>
          <w:p>
            <w:pPr>
              <w:spacing w:after="0"/>
            </w:pPr>
            <w:r>
              <w:rPr>
                <w:rFonts w:ascii="Calibri" w:hAnsi="Calibri"/>
                <w:b w:val="0"/>
                <w:i w:val="0"/>
                <w:color w:val="1E2228"/>
                <w:sz w:val="17"/>
              </w:rPr>
              <w:t>Genesis</w:t>
            </w:r>
          </w:p>
        </w:tc>
        <w:tc>
          <w:tcPr>
            <w:tcW w:type="dxa" w:w="7560"/>
            <w:tcMar>
              <w:top w:w="80" w:type="dxa"/>
              <w:start w:w="120" w:type="dxa"/>
              <w:bottom w:w="80" w:type="dxa"/>
              <w:end w:w="120" w:type="dxa"/>
            </w:tcMar>
            <w:vAlign w:val="top"/>
          </w:tcPr>
          <w:p>
            <w:pPr>
              <w:spacing w:after="0"/>
            </w:pPr>
            <w:r>
              <w:rPr>
                <w:rFonts w:ascii="Calibri" w:hAnsi="Calibri"/>
                <w:b w:val="0"/>
                <w:i w:val="0"/>
                <w:color w:val="1E2228"/>
                <w:sz w:val="17"/>
              </w:rPr>
              <w:t>Accepted brief, host intent and provenance become the first Blueprint edition.</w:t>
            </w:r>
          </w:p>
        </w:tc>
      </w:tr>
      <w:tr>
        <w:trPr>
          <w:cantSplit/>
        </w:trPr>
        <w:tc>
          <w:tcPr>
            <w:tcW w:type="dxa" w:w="1800"/>
            <w:tcMar>
              <w:top w:w="80" w:type="dxa"/>
              <w:start w:w="120" w:type="dxa"/>
              <w:bottom w:w="80" w:type="dxa"/>
              <w:end w:w="120" w:type="dxa"/>
            </w:tcMar>
            <w:vAlign w:val="top"/>
          </w:tcPr>
          <w:p>
            <w:pPr>
              <w:spacing w:after="0"/>
            </w:pPr>
            <w:r>
              <w:rPr>
                <w:rFonts w:ascii="Calibri" w:hAnsi="Calibri"/>
                <w:b w:val="0"/>
                <w:i w:val="0"/>
                <w:color w:val="1E2228"/>
                <w:sz w:val="17"/>
              </w:rPr>
              <w:t>Reveal</w:t>
            </w:r>
          </w:p>
        </w:tc>
        <w:tc>
          <w:tcPr>
            <w:tcW w:type="dxa" w:w="7560"/>
            <w:tcMar>
              <w:top w:w="80" w:type="dxa"/>
              <w:start w:w="120" w:type="dxa"/>
              <w:bottom w:w="80" w:type="dxa"/>
              <w:end w:w="120" w:type="dxa"/>
            </w:tcMar>
            <w:vAlign w:val="top"/>
          </w:tcPr>
          <w:p>
            <w:pPr>
              <w:spacing w:after="0"/>
            </w:pPr>
            <w:r>
              <w:rPr>
                <w:rFonts w:ascii="Calibri" w:hAnsi="Calibri"/>
                <w:b w:val="0"/>
                <w:i w:val="0"/>
                <w:color w:val="1E2228"/>
                <w:sz w:val="17"/>
              </w:rPr>
              <w:t>A deliberate, cinematic unveiling of the Event Story and experience pillars.</w:t>
            </w:r>
          </w:p>
        </w:tc>
      </w:tr>
      <w:tr>
        <w:trPr>
          <w:cantSplit/>
        </w:trPr>
        <w:tc>
          <w:tcPr>
            <w:tcW w:type="dxa" w:w="1800"/>
            <w:tcMar>
              <w:top w:w="80" w:type="dxa"/>
              <w:start w:w="120" w:type="dxa"/>
              <w:bottom w:w="80" w:type="dxa"/>
              <w:end w:w="120" w:type="dxa"/>
            </w:tcMar>
            <w:vAlign w:val="top"/>
          </w:tcPr>
          <w:p>
            <w:pPr>
              <w:spacing w:after="0"/>
            </w:pPr>
            <w:r>
              <w:rPr>
                <w:rFonts w:ascii="Calibri" w:hAnsi="Calibri"/>
                <w:b w:val="0"/>
                <w:i w:val="0"/>
                <w:color w:val="1E2228"/>
                <w:sz w:val="17"/>
              </w:rPr>
              <w:t>Planning</w:t>
            </w:r>
          </w:p>
        </w:tc>
        <w:tc>
          <w:tcPr>
            <w:tcW w:type="dxa" w:w="7560"/>
            <w:tcMar>
              <w:top w:w="80" w:type="dxa"/>
              <w:start w:w="120" w:type="dxa"/>
              <w:bottom w:w="80" w:type="dxa"/>
              <w:end w:w="120" w:type="dxa"/>
            </w:tcMar>
            <w:vAlign w:val="top"/>
          </w:tcPr>
          <w:p>
            <w:pPr>
              <w:spacing w:after="0"/>
            </w:pPr>
            <w:r>
              <w:rPr>
                <w:rFonts w:ascii="Calibri" w:hAnsi="Calibri"/>
                <w:b w:val="0"/>
                <w:i w:val="0"/>
                <w:color w:val="1E2228"/>
                <w:sz w:val="17"/>
              </w:rPr>
              <w:t>Current chapter, milestones, selected vendors, decisions, attendance and budget assurance.</w:t>
            </w:r>
          </w:p>
        </w:tc>
      </w:tr>
      <w:tr>
        <w:trPr>
          <w:cantSplit/>
        </w:trPr>
        <w:tc>
          <w:tcPr>
            <w:tcW w:type="dxa" w:w="1800"/>
            <w:tcMar>
              <w:top w:w="80" w:type="dxa"/>
              <w:start w:w="120" w:type="dxa"/>
              <w:bottom w:w="80" w:type="dxa"/>
              <w:end w:w="120" w:type="dxa"/>
            </w:tcMar>
            <w:vAlign w:val="top"/>
          </w:tcPr>
          <w:p>
            <w:pPr>
              <w:spacing w:after="0"/>
            </w:pPr>
            <w:r>
              <w:rPr>
                <w:rFonts w:ascii="Calibri" w:hAnsi="Calibri"/>
                <w:b w:val="0"/>
                <w:i w:val="0"/>
                <w:color w:val="1E2228"/>
                <w:sz w:val="17"/>
              </w:rPr>
              <w:t>Production</w:t>
            </w:r>
          </w:p>
        </w:tc>
        <w:tc>
          <w:tcPr>
            <w:tcW w:type="dxa" w:w="7560"/>
            <w:tcMar>
              <w:top w:w="80" w:type="dxa"/>
              <w:start w:w="120" w:type="dxa"/>
              <w:bottom w:w="80" w:type="dxa"/>
              <w:end w:w="120" w:type="dxa"/>
            </w:tcMar>
            <w:vAlign w:val="top"/>
          </w:tcPr>
          <w:p>
            <w:pPr>
              <w:spacing w:after="0"/>
            </w:pPr>
            <w:r>
              <w:rPr>
                <w:rFonts w:ascii="Calibri" w:hAnsi="Calibri"/>
                <w:b w:val="0"/>
                <w:i w:val="0"/>
                <w:color w:val="1E2228"/>
                <w:sz w:val="17"/>
              </w:rPr>
              <w:t>What is being made, verified and rehearsed; exceptions translated into calm truth.</w:t>
            </w:r>
          </w:p>
        </w:tc>
      </w:tr>
      <w:tr>
        <w:trPr>
          <w:cantSplit/>
        </w:trPr>
        <w:tc>
          <w:tcPr>
            <w:tcW w:type="dxa" w:w="1800"/>
            <w:tcMar>
              <w:top w:w="80" w:type="dxa"/>
              <w:start w:w="120" w:type="dxa"/>
              <w:bottom w:w="80" w:type="dxa"/>
              <w:end w:w="120" w:type="dxa"/>
            </w:tcMar>
            <w:vAlign w:val="top"/>
          </w:tcPr>
          <w:p>
            <w:pPr>
              <w:spacing w:after="0"/>
            </w:pPr>
            <w:r>
              <w:rPr>
                <w:rFonts w:ascii="Calibri" w:hAnsi="Calibri"/>
                <w:b w:val="0"/>
                <w:i w:val="0"/>
                <w:color w:val="1E2228"/>
                <w:sz w:val="17"/>
              </w:rPr>
              <w:t>Live</w:t>
            </w:r>
          </w:p>
        </w:tc>
        <w:tc>
          <w:tcPr>
            <w:tcW w:type="dxa" w:w="7560"/>
            <w:tcMar>
              <w:top w:w="80" w:type="dxa"/>
              <w:start w:w="120" w:type="dxa"/>
              <w:bottom w:w="80" w:type="dxa"/>
              <w:end w:w="120" w:type="dxa"/>
            </w:tcMar>
            <w:vAlign w:val="top"/>
          </w:tcPr>
          <w:p>
            <w:pPr>
              <w:spacing w:after="0"/>
            </w:pPr>
            <w:r>
              <w:rPr>
                <w:rFonts w:ascii="Calibri" w:hAnsi="Calibri"/>
                <w:b w:val="0"/>
                <w:i w:val="0"/>
                <w:color w:val="1E2228"/>
                <w:sz w:val="17"/>
              </w:rPr>
              <w:t>Today’s journey, next meaningful moment, trusted contact and only necessary decisions.</w:t>
            </w:r>
          </w:p>
        </w:tc>
      </w:tr>
      <w:tr>
        <w:trPr>
          <w:cantSplit/>
        </w:trPr>
        <w:tc>
          <w:tcPr>
            <w:tcW w:type="dxa" w:w="1800"/>
            <w:tcMar>
              <w:top w:w="80" w:type="dxa"/>
              <w:start w:w="120" w:type="dxa"/>
              <w:bottom w:w="80" w:type="dxa"/>
              <w:end w:w="120" w:type="dxa"/>
            </w:tcMar>
            <w:vAlign w:val="top"/>
          </w:tcPr>
          <w:p>
            <w:pPr>
              <w:spacing w:after="0"/>
            </w:pPr>
            <w:r>
              <w:rPr>
                <w:rFonts w:ascii="Calibri" w:hAnsi="Calibri"/>
                <w:b w:val="0"/>
                <w:i w:val="0"/>
                <w:color w:val="1E2228"/>
                <w:sz w:val="17"/>
              </w:rPr>
              <w:t>After</w:t>
            </w:r>
          </w:p>
        </w:tc>
        <w:tc>
          <w:tcPr>
            <w:tcW w:type="dxa" w:w="7560"/>
            <w:tcMar>
              <w:top w:w="80" w:type="dxa"/>
              <w:start w:w="120" w:type="dxa"/>
              <w:bottom w:w="80" w:type="dxa"/>
              <w:end w:w="120" w:type="dxa"/>
            </w:tcMar>
            <w:vAlign w:val="top"/>
          </w:tcPr>
          <w:p>
            <w:pPr>
              <w:spacing w:after="0"/>
            </w:pPr>
            <w:r>
              <w:rPr>
                <w:rFonts w:ascii="Calibri" w:hAnsi="Calibri"/>
                <w:b w:val="0"/>
                <w:i w:val="0"/>
                <w:color w:val="1E2228"/>
                <w:sz w:val="17"/>
              </w:rPr>
              <w:t>Considered close-out, approved memories/deliverables, decisions and final assurance where available.</w:t>
            </w:r>
          </w:p>
        </w:tc>
      </w:tr>
    </w:tbl>
    <w:p>
      <w:pPr>
        <w:spacing w:after="20"/>
      </w:pPr>
    </w:p>
    <w:p>
      <w:pPr>
        <w:pStyle w:val="Heading2"/>
      </w:pPr>
      <w:r>
        <w:t>3.2 Explicit exclusions</w:t>
      </w:r>
    </w:p>
    <w:p>
      <w:pPr>
        <w:pStyle w:val="ListBullet"/>
      </w:pPr>
      <w:r>
        <w:t>Lead generation, sales CRM, proposal pricing, contracting or payment collection.</w:t>
      </w:r>
    </w:p>
    <w:p>
      <w:pPr>
        <w:pStyle w:val="ListBullet"/>
      </w:pPr>
      <w:r>
        <w:t>A host-facing task board, Gantt chart, ticket queue, raw risk register or staff control tower.</w:t>
      </w:r>
    </w:p>
    <w:p>
      <w:pPr>
        <w:pStyle w:val="ListBullet"/>
      </w:pPr>
      <w:r>
        <w:t>Operational vendor negotiation, bank details, internal commercial notes or unverified allegations.</w:t>
      </w:r>
    </w:p>
    <w:p>
      <w:pPr>
        <w:pStyle w:val="ListBullet"/>
      </w:pPr>
      <w:r>
        <w:t>Raw guest private notes, access/security tactics, credentials, medical detail or person-level attendance probability.</w:t>
      </w:r>
    </w:p>
    <w:p>
      <w:pPr>
        <w:pStyle w:val="ListBullet"/>
      </w:pPr>
      <w:r>
        <w:t>AI-authored facts, autonomous publishing or synthetic emotional claims.</w:t>
      </w:r>
    </w:p>
    <w:p>
      <w:pPr>
        <w:pStyle w:val="ListBullet"/>
      </w:pPr>
      <w:r>
        <w:t>A second run-of-show, RSVP ledger, document store, communications engine or finance ledger.</w:t>
      </w:r>
    </w:p>
    <w:p>
      <w:pPr>
        <w:pStyle w:val="ListBullet"/>
      </w:pPr>
      <w:r>
        <w:t>EOS-S05 implementation, production authorisation or protected-gate signing.</w:t>
      </w:r>
    </w:p>
    <w:p>
      <w:pPr>
        <w:pStyle w:val="Heading1"/>
      </w:pPr>
      <w:r>
        <w:t>4. Experience architecture: one story, discreet chapters</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shd w:fill="F2F4F7"/>
            <w:tcMar>
              <w:top w:w="130" w:type="dxa"/>
              <w:start w:w="180" w:type="dxa"/>
              <w:bottom w:w="130" w:type="dxa"/>
              <w:end w:w="180" w:type="dxa"/>
            </w:tcMar>
          </w:tcPr>
          <w:p>
            <w:pPr>
              <w:spacing w:after="0"/>
            </w:pPr>
            <w:r>
              <w:rPr>
                <w:rFonts w:ascii="Calibri" w:hAnsi="Calibri"/>
                <w:b/>
                <w:i w:val="0"/>
                <w:color w:val="0B2545"/>
                <w:sz w:val="21"/>
              </w:rPr>
              <w:t xml:space="preserve">NAVIGATION PRINCIPLE  </w:t>
            </w:r>
            <w:r>
              <w:rPr>
                <w:rFonts w:ascii="Calibri" w:hAnsi="Calibri"/>
                <w:b w:val="0"/>
                <w:i w:val="0"/>
                <w:color w:val="1E2228"/>
                <w:sz w:val="21"/>
              </w:rPr>
              <w:t>The event reads as one continuous commissioned story. A discreet chapter index helps orientation; it must not become a persistent enterprise sidebar or a wall of tabs.</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cantSplit/>
        </w:trPr>
        <w:tc>
          <w:tcPr>
            <w:tcW w:type="dxa" w:w="1800"/>
            <w:shd w:fill="E8EEF5"/>
            <w:tcMar>
              <w:top w:w="80" w:type="dxa"/>
              <w:start w:w="120" w:type="dxa"/>
              <w:bottom w:w="80" w:type="dxa"/>
              <w:end w:w="120" w:type="dxa"/>
            </w:tcMar>
            <w:vAlign w:val="center"/>
          </w:tcPr>
          <w:p>
            <w:r>
              <w:rPr>
                <w:rFonts w:ascii="Calibri" w:hAnsi="Calibri"/>
                <w:b/>
                <w:i w:val="0"/>
                <w:color w:val="0B2545"/>
                <w:sz w:val="18"/>
              </w:rPr>
              <w:t>Chapter</w:t>
            </w:r>
          </w:p>
        </w:tc>
        <w:tc>
          <w:tcPr>
            <w:tcW w:type="dxa" w:w="3096"/>
            <w:shd w:fill="E8EEF5"/>
            <w:tcMar>
              <w:top w:w="80" w:type="dxa"/>
              <w:start w:w="120" w:type="dxa"/>
              <w:bottom w:w="80" w:type="dxa"/>
              <w:end w:w="120" w:type="dxa"/>
            </w:tcMar>
            <w:vAlign w:val="center"/>
          </w:tcPr>
          <w:p>
            <w:r>
              <w:rPr>
                <w:rFonts w:ascii="Calibri" w:hAnsi="Calibri"/>
                <w:b/>
                <w:i w:val="0"/>
                <w:color w:val="0B2545"/>
                <w:sz w:val="18"/>
              </w:rPr>
              <w:t>Purpose</w:t>
            </w:r>
          </w:p>
        </w:tc>
        <w:tc>
          <w:tcPr>
            <w:tcW w:type="dxa" w:w="4464"/>
            <w:shd w:fill="E8EEF5"/>
            <w:tcMar>
              <w:top w:w="80" w:type="dxa"/>
              <w:start w:w="120" w:type="dxa"/>
              <w:bottom w:w="80" w:type="dxa"/>
              <w:end w:w="120" w:type="dxa"/>
            </w:tcMar>
            <w:vAlign w:val="center"/>
          </w:tcPr>
          <w:p>
            <w:r>
              <w:rPr>
                <w:rFonts w:ascii="Calibri" w:hAnsi="Calibri"/>
                <w:b/>
                <w:i w:val="0"/>
                <w:color w:val="0B2545"/>
                <w:sz w:val="18"/>
              </w:rPr>
              <w:t>Default reveal</w:t>
            </w:r>
          </w:p>
        </w:tc>
      </w:tr>
      <w:tr>
        <w:trPr>
          <w:cantSplit/>
        </w:trPr>
        <w:tc>
          <w:tcPr>
            <w:tcW w:type="dxa" w:w="1800"/>
            <w:tcMar>
              <w:top w:w="80" w:type="dxa"/>
              <w:start w:w="120" w:type="dxa"/>
              <w:bottom w:w="80" w:type="dxa"/>
              <w:end w:w="120" w:type="dxa"/>
            </w:tcMar>
            <w:vAlign w:val="top"/>
          </w:tcPr>
          <w:p>
            <w:pPr>
              <w:spacing w:after="0"/>
            </w:pPr>
            <w:r>
              <w:rPr>
                <w:rFonts w:ascii="Calibri" w:hAnsi="Calibri"/>
                <w:b w:val="0"/>
                <w:i w:val="0"/>
                <w:color w:val="1E2228"/>
                <w:sz w:val="17"/>
              </w:rPr>
              <w:t>Today</w:t>
            </w:r>
          </w:p>
        </w:tc>
        <w:tc>
          <w:tcPr>
            <w:tcW w:type="dxa" w:w="3096"/>
            <w:tcMar>
              <w:top w:w="80" w:type="dxa"/>
              <w:start w:w="120" w:type="dxa"/>
              <w:bottom w:w="80" w:type="dxa"/>
              <w:end w:w="120" w:type="dxa"/>
            </w:tcMar>
            <w:vAlign w:val="top"/>
          </w:tcPr>
          <w:p>
            <w:pPr>
              <w:spacing w:after="0"/>
            </w:pPr>
            <w:r>
              <w:rPr>
                <w:rFonts w:ascii="Calibri" w:hAnsi="Calibri"/>
                <w:b w:val="0"/>
                <w:i w:val="0"/>
                <w:color w:val="1E2228"/>
                <w:sz w:val="17"/>
              </w:rPr>
              <w:t>The emotional and operational welcome.</w:t>
            </w:r>
          </w:p>
        </w:tc>
        <w:tc>
          <w:tcPr>
            <w:tcW w:type="dxa" w:w="4464"/>
            <w:tcMar>
              <w:top w:w="80" w:type="dxa"/>
              <w:start w:w="120" w:type="dxa"/>
              <w:bottom w:w="80" w:type="dxa"/>
              <w:end w:w="120" w:type="dxa"/>
            </w:tcMar>
            <w:vAlign w:val="top"/>
          </w:tcPr>
          <w:p>
            <w:pPr>
              <w:spacing w:after="0"/>
            </w:pPr>
            <w:r>
              <w:rPr>
                <w:rFonts w:ascii="Calibri" w:hAnsi="Calibri"/>
                <w:b w:val="0"/>
                <w:i w:val="0"/>
                <w:color w:val="1E2228"/>
                <w:sz w:val="17"/>
              </w:rPr>
              <w:t>Event portrait, story line, current moment, up to three host actions.</w:t>
            </w:r>
          </w:p>
        </w:tc>
      </w:tr>
      <w:tr>
        <w:trPr>
          <w:cantSplit/>
        </w:trPr>
        <w:tc>
          <w:tcPr>
            <w:tcW w:type="dxa" w:w="1800"/>
            <w:tcMar>
              <w:top w:w="80" w:type="dxa"/>
              <w:start w:w="120" w:type="dxa"/>
              <w:bottom w:w="80" w:type="dxa"/>
              <w:end w:w="120" w:type="dxa"/>
            </w:tcMar>
            <w:vAlign w:val="top"/>
          </w:tcPr>
          <w:p>
            <w:pPr>
              <w:spacing w:after="0"/>
            </w:pPr>
            <w:r>
              <w:rPr>
                <w:rFonts w:ascii="Calibri" w:hAnsi="Calibri"/>
                <w:b w:val="0"/>
                <w:i w:val="0"/>
                <w:color w:val="1E2228"/>
                <w:sz w:val="17"/>
              </w:rPr>
              <w:t>The Vision</w:t>
            </w:r>
          </w:p>
        </w:tc>
        <w:tc>
          <w:tcPr>
            <w:tcW w:type="dxa" w:w="3096"/>
            <w:tcMar>
              <w:top w:w="80" w:type="dxa"/>
              <w:start w:w="120" w:type="dxa"/>
              <w:bottom w:w="80" w:type="dxa"/>
              <w:end w:w="120" w:type="dxa"/>
            </w:tcMar>
            <w:vAlign w:val="top"/>
          </w:tcPr>
          <w:p>
            <w:pPr>
              <w:spacing w:after="0"/>
            </w:pPr>
            <w:r>
              <w:rPr>
                <w:rFonts w:ascii="Calibri" w:hAnsi="Calibri"/>
                <w:b w:val="0"/>
                <w:i w:val="0"/>
                <w:color w:val="1E2228"/>
                <w:sz w:val="17"/>
              </w:rPr>
              <w:t>What the occasion should mean and feel like.</w:t>
            </w:r>
          </w:p>
        </w:tc>
        <w:tc>
          <w:tcPr>
            <w:tcW w:type="dxa" w:w="4464"/>
            <w:tcMar>
              <w:top w:w="80" w:type="dxa"/>
              <w:start w:w="120" w:type="dxa"/>
              <w:bottom w:w="80" w:type="dxa"/>
              <w:end w:w="120" w:type="dxa"/>
            </w:tcMar>
            <w:vAlign w:val="top"/>
          </w:tcPr>
          <w:p>
            <w:pPr>
              <w:spacing w:after="0"/>
            </w:pPr>
            <w:r>
              <w:rPr>
                <w:rFonts w:ascii="Calibri" w:hAnsi="Calibri"/>
                <w:b w:val="0"/>
                <w:i w:val="0"/>
                <w:color w:val="1E2228"/>
                <w:sz w:val="17"/>
              </w:rPr>
              <w:t>Concept, pillars, approved mood, cultural/brand intent.</w:t>
            </w:r>
          </w:p>
        </w:tc>
      </w:tr>
      <w:tr>
        <w:trPr>
          <w:cantSplit/>
        </w:trPr>
        <w:tc>
          <w:tcPr>
            <w:tcW w:type="dxa" w:w="1800"/>
            <w:tcMar>
              <w:top w:w="80" w:type="dxa"/>
              <w:start w:w="120" w:type="dxa"/>
              <w:bottom w:w="80" w:type="dxa"/>
              <w:end w:w="120" w:type="dxa"/>
            </w:tcMar>
            <w:vAlign w:val="top"/>
          </w:tcPr>
          <w:p>
            <w:pPr>
              <w:spacing w:after="0"/>
            </w:pPr>
            <w:r>
              <w:rPr>
                <w:rFonts w:ascii="Calibri" w:hAnsi="Calibri"/>
                <w:b w:val="0"/>
                <w:i w:val="0"/>
                <w:color w:val="1E2228"/>
                <w:sz w:val="17"/>
              </w:rPr>
              <w:t>The Journey</w:t>
            </w:r>
          </w:p>
        </w:tc>
        <w:tc>
          <w:tcPr>
            <w:tcW w:type="dxa" w:w="3096"/>
            <w:tcMar>
              <w:top w:w="80" w:type="dxa"/>
              <w:start w:w="120" w:type="dxa"/>
              <w:bottom w:w="80" w:type="dxa"/>
              <w:end w:w="120" w:type="dxa"/>
            </w:tcMar>
            <w:vAlign w:val="top"/>
          </w:tcPr>
          <w:p>
            <w:pPr>
              <w:spacing w:after="0"/>
            </w:pPr>
            <w:r>
              <w:rPr>
                <w:rFonts w:ascii="Calibri" w:hAnsi="Calibri"/>
                <w:b w:val="0"/>
                <w:i w:val="0"/>
                <w:color w:val="1E2228"/>
                <w:sz w:val="17"/>
              </w:rPr>
              <w:t>How guests and hosts move through the occasion.</w:t>
            </w:r>
          </w:p>
        </w:tc>
        <w:tc>
          <w:tcPr>
            <w:tcW w:type="dxa" w:w="4464"/>
            <w:tcMar>
              <w:top w:w="80" w:type="dxa"/>
              <w:start w:w="120" w:type="dxa"/>
              <w:bottom w:w="80" w:type="dxa"/>
              <w:end w:w="120" w:type="dxa"/>
            </w:tcMar>
            <w:vAlign w:val="top"/>
          </w:tcPr>
          <w:p>
            <w:pPr>
              <w:spacing w:after="0"/>
            </w:pPr>
            <w:r>
              <w:rPr>
                <w:rFonts w:ascii="Calibri" w:hAnsi="Calibri"/>
                <w:b w:val="0"/>
                <w:i w:val="0"/>
                <w:color w:val="1E2228"/>
                <w:sz w:val="17"/>
              </w:rPr>
              <w:t>Arrival-to-farewell story across phases/days.</w:t>
            </w:r>
          </w:p>
        </w:tc>
      </w:tr>
      <w:tr>
        <w:trPr>
          <w:cantSplit/>
        </w:trPr>
        <w:tc>
          <w:tcPr>
            <w:tcW w:type="dxa" w:w="1800"/>
            <w:tcMar>
              <w:top w:w="80" w:type="dxa"/>
              <w:start w:w="120" w:type="dxa"/>
              <w:bottom w:w="80" w:type="dxa"/>
              <w:end w:w="120" w:type="dxa"/>
            </w:tcMar>
            <w:vAlign w:val="top"/>
          </w:tcPr>
          <w:p>
            <w:pPr>
              <w:spacing w:after="0"/>
            </w:pPr>
            <w:r>
              <w:rPr>
                <w:rFonts w:ascii="Calibri" w:hAnsi="Calibri"/>
                <w:b w:val="0"/>
                <w:i w:val="0"/>
                <w:color w:val="1E2228"/>
                <w:sz w:val="17"/>
              </w:rPr>
              <w:t>The Blueprint</w:t>
            </w:r>
          </w:p>
        </w:tc>
        <w:tc>
          <w:tcPr>
            <w:tcW w:type="dxa" w:w="3096"/>
            <w:tcMar>
              <w:top w:w="80" w:type="dxa"/>
              <w:start w:w="120" w:type="dxa"/>
              <w:bottom w:w="80" w:type="dxa"/>
              <w:end w:w="120" w:type="dxa"/>
            </w:tcMar>
            <w:vAlign w:val="top"/>
          </w:tcPr>
          <w:p>
            <w:pPr>
              <w:spacing w:after="0"/>
            </w:pPr>
            <w:r>
              <w:rPr>
                <w:rFonts w:ascii="Calibri" w:hAnsi="Calibri"/>
                <w:b w:val="0"/>
                <w:i w:val="0"/>
                <w:color w:val="1E2228"/>
                <w:sz w:val="17"/>
              </w:rPr>
              <w:t>How the event is taking shape.</w:t>
            </w:r>
          </w:p>
        </w:tc>
        <w:tc>
          <w:tcPr>
            <w:tcW w:type="dxa" w:w="4464"/>
            <w:tcMar>
              <w:top w:w="80" w:type="dxa"/>
              <w:start w:w="120" w:type="dxa"/>
              <w:bottom w:w="80" w:type="dxa"/>
              <w:end w:w="120" w:type="dxa"/>
            </w:tcMar>
            <w:vAlign w:val="top"/>
          </w:tcPr>
          <w:p>
            <w:pPr>
              <w:spacing w:after="0"/>
            </w:pPr>
            <w:r>
              <w:rPr>
                <w:rFonts w:ascii="Calibri" w:hAnsi="Calibri"/>
                <w:b w:val="0"/>
                <w:i w:val="0"/>
                <w:color w:val="1E2228"/>
                <w:sz w:val="17"/>
              </w:rPr>
              <w:t>Current phase, key milestones and host-readable programme.</w:t>
            </w:r>
          </w:p>
        </w:tc>
      </w:tr>
      <w:tr>
        <w:trPr>
          <w:cantSplit/>
        </w:trPr>
        <w:tc>
          <w:tcPr>
            <w:tcW w:type="dxa" w:w="1800"/>
            <w:tcMar>
              <w:top w:w="80" w:type="dxa"/>
              <w:start w:w="120" w:type="dxa"/>
              <w:bottom w:w="80" w:type="dxa"/>
              <w:end w:w="120" w:type="dxa"/>
            </w:tcMar>
            <w:vAlign w:val="top"/>
          </w:tcPr>
          <w:p>
            <w:pPr>
              <w:spacing w:after="0"/>
            </w:pPr>
            <w:r>
              <w:rPr>
                <w:rFonts w:ascii="Calibri" w:hAnsi="Calibri"/>
                <w:b w:val="0"/>
                <w:i w:val="0"/>
                <w:color w:val="1E2228"/>
                <w:sz w:val="17"/>
              </w:rPr>
              <w:t>Our Ensemble</w:t>
            </w:r>
          </w:p>
        </w:tc>
        <w:tc>
          <w:tcPr>
            <w:tcW w:type="dxa" w:w="3096"/>
            <w:tcMar>
              <w:top w:w="80" w:type="dxa"/>
              <w:start w:w="120" w:type="dxa"/>
              <w:bottom w:w="80" w:type="dxa"/>
              <w:end w:w="120" w:type="dxa"/>
            </w:tcMar>
            <w:vAlign w:val="top"/>
          </w:tcPr>
          <w:p>
            <w:pPr>
              <w:spacing w:after="0"/>
            </w:pPr>
            <w:r>
              <w:rPr>
                <w:rFonts w:ascii="Calibri" w:hAnsi="Calibri"/>
                <w:b w:val="0"/>
                <w:i w:val="0"/>
                <w:color w:val="1E2228"/>
                <w:sz w:val="17"/>
              </w:rPr>
              <w:t>Who is bringing it to life.</w:t>
            </w:r>
          </w:p>
        </w:tc>
        <w:tc>
          <w:tcPr>
            <w:tcW w:type="dxa" w:w="4464"/>
            <w:tcMar>
              <w:top w:w="80" w:type="dxa"/>
              <w:start w:w="120" w:type="dxa"/>
              <w:bottom w:w="80" w:type="dxa"/>
              <w:end w:w="120" w:type="dxa"/>
            </w:tcMar>
            <w:vAlign w:val="top"/>
          </w:tcPr>
          <w:p>
            <w:pPr>
              <w:spacing w:after="0"/>
            </w:pPr>
            <w:r>
              <w:rPr>
                <w:rFonts w:ascii="Calibri" w:hAnsi="Calibri"/>
                <w:b w:val="0"/>
                <w:i w:val="0"/>
                <w:color w:val="1E2228"/>
                <w:sz w:val="17"/>
              </w:rPr>
              <w:t>Curated Maison Doclar team and vendor services.</w:t>
            </w:r>
          </w:p>
        </w:tc>
      </w:tr>
      <w:tr>
        <w:trPr>
          <w:cantSplit/>
        </w:trPr>
        <w:tc>
          <w:tcPr>
            <w:tcW w:type="dxa" w:w="1800"/>
            <w:tcMar>
              <w:top w:w="80" w:type="dxa"/>
              <w:start w:w="120" w:type="dxa"/>
              <w:bottom w:w="80" w:type="dxa"/>
              <w:end w:w="120" w:type="dxa"/>
            </w:tcMar>
            <w:vAlign w:val="top"/>
          </w:tcPr>
          <w:p>
            <w:pPr>
              <w:spacing w:after="0"/>
            </w:pPr>
            <w:r>
              <w:rPr>
                <w:rFonts w:ascii="Calibri" w:hAnsi="Calibri"/>
                <w:b w:val="0"/>
                <w:i w:val="0"/>
                <w:color w:val="1E2228"/>
                <w:sz w:val="17"/>
              </w:rPr>
              <w:t>Decisions</w:t>
            </w:r>
          </w:p>
        </w:tc>
        <w:tc>
          <w:tcPr>
            <w:tcW w:type="dxa" w:w="3096"/>
            <w:tcMar>
              <w:top w:w="80" w:type="dxa"/>
              <w:start w:w="120" w:type="dxa"/>
              <w:bottom w:w="80" w:type="dxa"/>
              <w:end w:w="120" w:type="dxa"/>
            </w:tcMar>
            <w:vAlign w:val="top"/>
          </w:tcPr>
          <w:p>
            <w:pPr>
              <w:spacing w:after="0"/>
            </w:pPr>
            <w:r>
              <w:rPr>
                <w:rFonts w:ascii="Calibri" w:hAnsi="Calibri"/>
                <w:b w:val="0"/>
                <w:i w:val="0"/>
                <w:color w:val="1E2228"/>
                <w:sz w:val="17"/>
              </w:rPr>
              <w:t>What only the host can decide.</w:t>
            </w:r>
          </w:p>
        </w:tc>
        <w:tc>
          <w:tcPr>
            <w:tcW w:type="dxa" w:w="4464"/>
            <w:tcMar>
              <w:top w:w="80" w:type="dxa"/>
              <w:start w:w="120" w:type="dxa"/>
              <w:bottom w:w="80" w:type="dxa"/>
              <w:end w:w="120" w:type="dxa"/>
            </w:tcMar>
            <w:vAlign w:val="top"/>
          </w:tcPr>
          <w:p>
            <w:pPr>
              <w:spacing w:after="0"/>
            </w:pPr>
            <w:r>
              <w:rPr>
                <w:rFonts w:ascii="Calibri" w:hAnsi="Calibri"/>
                <w:b w:val="0"/>
                <w:i w:val="0"/>
                <w:color w:val="1E2228"/>
                <w:sz w:val="17"/>
              </w:rPr>
              <w:t>Reserved decisions, recommendation, deadline and receipt.</w:t>
            </w:r>
          </w:p>
        </w:tc>
      </w:tr>
      <w:tr>
        <w:trPr>
          <w:cantSplit/>
        </w:trPr>
        <w:tc>
          <w:tcPr>
            <w:tcW w:type="dxa" w:w="1800"/>
            <w:tcMar>
              <w:top w:w="80" w:type="dxa"/>
              <w:start w:w="120" w:type="dxa"/>
              <w:bottom w:w="80" w:type="dxa"/>
              <w:end w:w="120" w:type="dxa"/>
            </w:tcMar>
            <w:vAlign w:val="top"/>
          </w:tcPr>
          <w:p>
            <w:pPr>
              <w:spacing w:after="0"/>
            </w:pPr>
            <w:r>
              <w:rPr>
                <w:rFonts w:ascii="Calibri" w:hAnsi="Calibri"/>
                <w:b w:val="0"/>
                <w:i w:val="0"/>
                <w:color w:val="1E2228"/>
                <w:sz w:val="17"/>
              </w:rPr>
              <w:t>Assurance</w:t>
            </w:r>
          </w:p>
        </w:tc>
        <w:tc>
          <w:tcPr>
            <w:tcW w:type="dxa" w:w="3096"/>
            <w:tcMar>
              <w:top w:w="80" w:type="dxa"/>
              <w:start w:w="120" w:type="dxa"/>
              <w:bottom w:w="80" w:type="dxa"/>
              <w:end w:w="120" w:type="dxa"/>
            </w:tcMar>
            <w:vAlign w:val="top"/>
          </w:tcPr>
          <w:p>
            <w:pPr>
              <w:spacing w:after="0"/>
            </w:pPr>
            <w:r>
              <w:rPr>
                <w:rFonts w:ascii="Calibri" w:hAnsi="Calibri"/>
                <w:b w:val="0"/>
                <w:i w:val="0"/>
                <w:color w:val="1E2228"/>
                <w:sz w:val="17"/>
              </w:rPr>
              <w:t>What is settled, watched and protected.</w:t>
            </w:r>
          </w:p>
        </w:tc>
        <w:tc>
          <w:tcPr>
            <w:tcW w:type="dxa" w:w="4464"/>
            <w:tcMar>
              <w:top w:w="80" w:type="dxa"/>
              <w:start w:w="120" w:type="dxa"/>
              <w:bottom w:w="80" w:type="dxa"/>
              <w:end w:w="120" w:type="dxa"/>
            </w:tcMar>
            <w:vAlign w:val="top"/>
          </w:tcPr>
          <w:p>
            <w:pPr>
              <w:spacing w:after="0"/>
            </w:pPr>
            <w:r>
              <w:rPr>
                <w:rFonts w:ascii="Calibri" w:hAnsi="Calibri"/>
                <w:b w:val="0"/>
                <w:i w:val="0"/>
                <w:color w:val="1E2228"/>
                <w:sz w:val="17"/>
              </w:rPr>
              <w:t>Attendance, budget, contingency and readiness summaries.</w:t>
            </w:r>
          </w:p>
        </w:tc>
      </w:tr>
      <w:tr>
        <w:trPr>
          <w:cantSplit/>
        </w:trPr>
        <w:tc>
          <w:tcPr>
            <w:tcW w:type="dxa" w:w="1800"/>
            <w:tcMar>
              <w:top w:w="80" w:type="dxa"/>
              <w:start w:w="120" w:type="dxa"/>
              <w:bottom w:w="80" w:type="dxa"/>
              <w:end w:w="120" w:type="dxa"/>
            </w:tcMar>
            <w:vAlign w:val="top"/>
          </w:tcPr>
          <w:p>
            <w:pPr>
              <w:spacing w:after="0"/>
            </w:pPr>
            <w:r>
              <w:rPr>
                <w:rFonts w:ascii="Calibri" w:hAnsi="Calibri"/>
                <w:b w:val="0"/>
                <w:i w:val="0"/>
                <w:color w:val="1E2228"/>
                <w:sz w:val="17"/>
              </w:rPr>
              <w:t>Editions</w:t>
            </w:r>
          </w:p>
        </w:tc>
        <w:tc>
          <w:tcPr>
            <w:tcW w:type="dxa" w:w="3096"/>
            <w:tcMar>
              <w:top w:w="80" w:type="dxa"/>
              <w:start w:w="120" w:type="dxa"/>
              <w:bottom w:w="80" w:type="dxa"/>
              <w:end w:w="120" w:type="dxa"/>
            </w:tcMar>
            <w:vAlign w:val="top"/>
          </w:tcPr>
          <w:p>
            <w:pPr>
              <w:spacing w:after="0"/>
            </w:pPr>
            <w:r>
              <w:rPr>
                <w:rFonts w:ascii="Calibri" w:hAnsi="Calibri"/>
                <w:b w:val="0"/>
                <w:i w:val="0"/>
                <w:color w:val="1E2228"/>
                <w:sz w:val="17"/>
              </w:rPr>
              <w:t>The current approved creative and planning artefacts.</w:t>
            </w:r>
          </w:p>
        </w:tc>
        <w:tc>
          <w:tcPr>
            <w:tcW w:type="dxa" w:w="4464"/>
            <w:tcMar>
              <w:top w:w="80" w:type="dxa"/>
              <w:start w:w="120" w:type="dxa"/>
              <w:bottom w:w="80" w:type="dxa"/>
              <w:end w:w="120" w:type="dxa"/>
            </w:tcMar>
            <w:vAlign w:val="top"/>
          </w:tcPr>
          <w:p>
            <w:pPr>
              <w:spacing w:after="0"/>
            </w:pPr>
            <w:r>
              <w:rPr>
                <w:rFonts w:ascii="Calibri" w:hAnsi="Calibri"/>
                <w:b w:val="0"/>
                <w:i w:val="0"/>
                <w:color w:val="1E2228"/>
                <w:sz w:val="17"/>
              </w:rPr>
              <w:t>Latest approved assets; earlier versions discreetly archived.</w:t>
            </w:r>
          </w:p>
        </w:tc>
      </w:tr>
      <w:tr>
        <w:trPr>
          <w:cantSplit/>
        </w:trPr>
        <w:tc>
          <w:tcPr>
            <w:tcW w:type="dxa" w:w="1800"/>
            <w:tcMar>
              <w:top w:w="80" w:type="dxa"/>
              <w:start w:w="120" w:type="dxa"/>
              <w:bottom w:w="80" w:type="dxa"/>
              <w:end w:w="120" w:type="dxa"/>
            </w:tcMar>
            <w:vAlign w:val="top"/>
          </w:tcPr>
          <w:p>
            <w:pPr>
              <w:spacing w:after="0"/>
            </w:pPr>
            <w:r>
              <w:rPr>
                <w:rFonts w:ascii="Calibri" w:hAnsi="Calibri"/>
                <w:b w:val="0"/>
                <w:i w:val="0"/>
                <w:color w:val="1E2228"/>
                <w:sz w:val="17"/>
              </w:rPr>
              <w:t>Notes from Maison Doclar</w:t>
            </w:r>
          </w:p>
        </w:tc>
        <w:tc>
          <w:tcPr>
            <w:tcW w:type="dxa" w:w="3096"/>
            <w:tcMar>
              <w:top w:w="80" w:type="dxa"/>
              <w:start w:w="120" w:type="dxa"/>
              <w:bottom w:w="80" w:type="dxa"/>
              <w:end w:w="120" w:type="dxa"/>
            </w:tcMar>
            <w:vAlign w:val="top"/>
          </w:tcPr>
          <w:p>
            <w:pPr>
              <w:spacing w:after="0"/>
            </w:pPr>
            <w:r>
              <w:rPr>
                <w:rFonts w:ascii="Calibri" w:hAnsi="Calibri"/>
                <w:b w:val="0"/>
                <w:i w:val="0"/>
                <w:color w:val="1E2228"/>
                <w:sz w:val="17"/>
              </w:rPr>
              <w:t>Structured, humane progress communications.</w:t>
            </w:r>
          </w:p>
        </w:tc>
        <w:tc>
          <w:tcPr>
            <w:tcW w:type="dxa" w:w="4464"/>
            <w:tcMar>
              <w:top w:w="80" w:type="dxa"/>
              <w:start w:w="120" w:type="dxa"/>
              <w:bottom w:w="80" w:type="dxa"/>
              <w:end w:w="120" w:type="dxa"/>
            </w:tcMar>
            <w:vAlign w:val="top"/>
          </w:tcPr>
          <w:p>
            <w:pPr>
              <w:spacing w:after="0"/>
            </w:pPr>
            <w:r>
              <w:rPr>
                <w:rFonts w:ascii="Calibri" w:hAnsi="Calibri"/>
                <w:b w:val="0"/>
                <w:i w:val="0"/>
                <w:color w:val="1E2228"/>
                <w:sz w:val="17"/>
              </w:rPr>
              <w:t>High-signal updates; no raw message thread.</w:t>
            </w:r>
          </w:p>
        </w:tc>
      </w:tr>
    </w:tbl>
    <w:p>
      <w:pPr>
        <w:spacing w:after="20"/>
      </w:pPr>
    </w:p>
    <w:p>
      <w:pPr>
        <w:pStyle w:val="Heading2"/>
      </w:pPr>
      <w:r>
        <w:t>4.1 Progressive disclosure</w:t>
      </w:r>
    </w:p>
    <w:p>
      <w:pPr>
        <w:pStyle w:val="ListBullet"/>
      </w:pPr>
      <w:r>
        <w:t>Above the fold: identity of the event, one assured status sentence and no more than three meaningful actions.</w:t>
      </w:r>
    </w:p>
    <w:p>
      <w:pPr>
        <w:pStyle w:val="ListBullet"/>
      </w:pPr>
      <w:r>
        <w:t>Each chapter begins with interpretation, then allows detail to unfold by deliberate choice.</w:t>
      </w:r>
    </w:p>
    <w:p>
      <w:pPr>
        <w:pStyle w:val="ListBullet"/>
      </w:pPr>
      <w:r>
        <w:t>Empty chapters do not show empty SaaS states; they remain absent or carry a crafted “being prepared” message approved by policy.</w:t>
      </w:r>
    </w:p>
    <w:p>
      <w:pPr>
        <w:pStyle w:val="ListBullet"/>
      </w:pPr>
      <w:r>
        <w:t>Advanced detail is available only to a host role explicitly entitled to it.</w:t>
      </w:r>
    </w:p>
    <w:p>
      <w:pPr>
        <w:pStyle w:val="ListBullet"/>
      </w:pPr>
      <w:r>
        <w:t>Technical identifiers, status codes and workflow vocabulary never appear in the ordinary journey.</w:t>
      </w:r>
    </w:p>
    <w:p>
      <w:pPr>
        <w:pStyle w:val="Heading1"/>
      </w:pPr>
      <w:r>
        <w:t>5. Today: the commissioned opening</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2232"/>
            <w:shd w:fill="E8EEF5"/>
            <w:tcMar>
              <w:top w:w="80" w:type="dxa"/>
              <w:start w:w="120" w:type="dxa"/>
              <w:bottom w:w="80" w:type="dxa"/>
              <w:end w:w="120" w:type="dxa"/>
            </w:tcMar>
            <w:vAlign w:val="center"/>
          </w:tcPr>
          <w:p>
            <w:r>
              <w:rPr>
                <w:rFonts w:ascii="Calibri" w:hAnsi="Calibri"/>
                <w:b/>
                <w:i w:val="0"/>
                <w:color w:val="0B2545"/>
                <w:sz w:val="18"/>
              </w:rPr>
              <w:t>Element</w:t>
            </w:r>
          </w:p>
        </w:tc>
        <w:tc>
          <w:tcPr>
            <w:tcW w:type="dxa" w:w="7128"/>
            <w:shd w:fill="E8EEF5"/>
            <w:tcMar>
              <w:top w:w="80" w:type="dxa"/>
              <w:start w:w="120" w:type="dxa"/>
              <w:bottom w:w="80" w:type="dxa"/>
              <w:end w:w="120" w:type="dxa"/>
            </w:tcMar>
            <w:vAlign w:val="center"/>
          </w:tcPr>
          <w:p>
            <w:r>
              <w:rPr>
                <w:rFonts w:ascii="Calibri" w:hAnsi="Calibri"/>
                <w:b/>
                <w:i w:val="0"/>
                <w:color w:val="0B2545"/>
                <w:sz w:val="18"/>
              </w:rPr>
              <w:t>Premium requirement</w:t>
            </w:r>
          </w:p>
        </w:tc>
      </w:tr>
      <w:tr>
        <w:trPr>
          <w:cantSplit/>
        </w:trPr>
        <w:tc>
          <w:tcPr>
            <w:tcW w:type="dxa" w:w="2232"/>
            <w:tcMar>
              <w:top w:w="80" w:type="dxa"/>
              <w:start w:w="120" w:type="dxa"/>
              <w:bottom w:w="80" w:type="dxa"/>
              <w:end w:w="120" w:type="dxa"/>
            </w:tcMar>
            <w:vAlign w:val="top"/>
          </w:tcPr>
          <w:p>
            <w:pPr>
              <w:spacing w:after="0"/>
            </w:pPr>
            <w:r>
              <w:rPr>
                <w:rFonts w:ascii="Calibri" w:hAnsi="Calibri"/>
                <w:b w:val="0"/>
                <w:i w:val="0"/>
                <w:color w:val="1E2228"/>
                <w:sz w:val="17"/>
              </w:rPr>
              <w:t>Event portrait</w:t>
            </w:r>
          </w:p>
        </w:tc>
        <w:tc>
          <w:tcPr>
            <w:tcW w:type="dxa" w:w="7128"/>
            <w:tcMar>
              <w:top w:w="80" w:type="dxa"/>
              <w:start w:w="120" w:type="dxa"/>
              <w:bottom w:w="80" w:type="dxa"/>
              <w:end w:w="120" w:type="dxa"/>
            </w:tcMar>
            <w:vAlign w:val="top"/>
          </w:tcPr>
          <w:p>
            <w:pPr>
              <w:spacing w:after="0"/>
            </w:pPr>
            <w:r>
              <w:rPr>
                <w:rFonts w:ascii="Calibri" w:hAnsi="Calibri"/>
                <w:b w:val="0"/>
                <w:i w:val="0"/>
                <w:color w:val="1E2228"/>
                <w:sz w:val="17"/>
              </w:rPr>
              <w:t>Approved still or restrained loop, art-directed crop, fast fallback and reduced-motion alternative.</w:t>
            </w:r>
          </w:p>
        </w:tc>
      </w:tr>
      <w:tr>
        <w:trPr>
          <w:cantSplit/>
        </w:trPr>
        <w:tc>
          <w:tcPr>
            <w:tcW w:type="dxa" w:w="2232"/>
            <w:tcMar>
              <w:top w:w="80" w:type="dxa"/>
              <w:start w:w="120" w:type="dxa"/>
              <w:bottom w:w="80" w:type="dxa"/>
              <w:end w:w="120" w:type="dxa"/>
            </w:tcMar>
            <w:vAlign w:val="top"/>
          </w:tcPr>
          <w:p>
            <w:pPr>
              <w:spacing w:after="0"/>
            </w:pPr>
            <w:r>
              <w:rPr>
                <w:rFonts w:ascii="Calibri" w:hAnsi="Calibri"/>
                <w:b w:val="0"/>
                <w:i w:val="0"/>
                <w:color w:val="1E2228"/>
                <w:sz w:val="17"/>
              </w:rPr>
              <w:t>Name and occasion</w:t>
            </w:r>
          </w:p>
        </w:tc>
        <w:tc>
          <w:tcPr>
            <w:tcW w:type="dxa" w:w="7128"/>
            <w:tcMar>
              <w:top w:w="80" w:type="dxa"/>
              <w:start w:w="120" w:type="dxa"/>
              <w:bottom w:w="80" w:type="dxa"/>
              <w:end w:w="120" w:type="dxa"/>
            </w:tcMar>
            <w:vAlign w:val="top"/>
          </w:tcPr>
          <w:p>
            <w:pPr>
              <w:spacing w:after="0"/>
            </w:pPr>
            <w:r>
              <w:rPr>
                <w:rFonts w:ascii="Calibri" w:hAnsi="Calibri"/>
                <w:b w:val="0"/>
                <w:i w:val="0"/>
                <w:color w:val="1E2228"/>
                <w:sz w:val="17"/>
              </w:rPr>
              <w:t>Correct title, host-preferred event name, date range and primary place in dignified typography.</w:t>
            </w:r>
          </w:p>
        </w:tc>
      </w:tr>
      <w:tr>
        <w:trPr>
          <w:cantSplit/>
        </w:trPr>
        <w:tc>
          <w:tcPr>
            <w:tcW w:type="dxa" w:w="2232"/>
            <w:tcMar>
              <w:top w:w="80" w:type="dxa"/>
              <w:start w:w="120" w:type="dxa"/>
              <w:bottom w:w="80" w:type="dxa"/>
              <w:end w:w="120" w:type="dxa"/>
            </w:tcMar>
            <w:vAlign w:val="top"/>
          </w:tcPr>
          <w:p>
            <w:pPr>
              <w:spacing w:after="0"/>
            </w:pPr>
            <w:r>
              <w:rPr>
                <w:rFonts w:ascii="Calibri" w:hAnsi="Calibri"/>
                <w:b w:val="0"/>
                <w:i w:val="0"/>
                <w:color w:val="1E2228"/>
                <w:sz w:val="17"/>
              </w:rPr>
              <w:t>Story line</w:t>
            </w:r>
          </w:p>
        </w:tc>
        <w:tc>
          <w:tcPr>
            <w:tcW w:type="dxa" w:w="7128"/>
            <w:tcMar>
              <w:top w:w="80" w:type="dxa"/>
              <w:start w:w="120" w:type="dxa"/>
              <w:bottom w:w="80" w:type="dxa"/>
              <w:end w:w="120" w:type="dxa"/>
            </w:tcMar>
            <w:vAlign w:val="top"/>
          </w:tcPr>
          <w:p>
            <w:pPr>
              <w:spacing w:after="0"/>
            </w:pPr>
            <w:r>
              <w:rPr>
                <w:rFonts w:ascii="Calibri" w:hAnsi="Calibri"/>
                <w:b w:val="0"/>
                <w:i w:val="0"/>
                <w:color w:val="1E2228"/>
                <w:sz w:val="17"/>
              </w:rPr>
              <w:t>One approved sentence expressing the present meaning of the occasion.</w:t>
            </w:r>
          </w:p>
        </w:tc>
      </w:tr>
      <w:tr>
        <w:trPr>
          <w:cantSplit/>
        </w:trPr>
        <w:tc>
          <w:tcPr>
            <w:tcW w:type="dxa" w:w="2232"/>
            <w:tcMar>
              <w:top w:w="80" w:type="dxa"/>
              <w:start w:w="120" w:type="dxa"/>
              <w:bottom w:w="80" w:type="dxa"/>
              <w:end w:w="120" w:type="dxa"/>
            </w:tcMar>
            <w:vAlign w:val="top"/>
          </w:tcPr>
          <w:p>
            <w:pPr>
              <w:spacing w:after="0"/>
            </w:pPr>
            <w:r>
              <w:rPr>
                <w:rFonts w:ascii="Calibri" w:hAnsi="Calibri"/>
                <w:b w:val="0"/>
                <w:i w:val="0"/>
                <w:color w:val="1E2228"/>
                <w:sz w:val="17"/>
              </w:rPr>
              <w:t>Current moment</w:t>
            </w:r>
          </w:p>
        </w:tc>
        <w:tc>
          <w:tcPr>
            <w:tcW w:type="dxa" w:w="7128"/>
            <w:tcMar>
              <w:top w:w="80" w:type="dxa"/>
              <w:start w:w="120" w:type="dxa"/>
              <w:bottom w:w="80" w:type="dxa"/>
              <w:end w:w="120" w:type="dxa"/>
            </w:tcMar>
            <w:vAlign w:val="top"/>
          </w:tcPr>
          <w:p>
            <w:pPr>
              <w:spacing w:after="0"/>
            </w:pPr>
            <w:r>
              <w:rPr>
                <w:rFonts w:ascii="Calibri" w:hAnsi="Calibri"/>
                <w:b w:val="0"/>
                <w:i w:val="0"/>
                <w:color w:val="1E2228"/>
                <w:sz w:val="17"/>
              </w:rPr>
              <w:t>Human wording such as “The design is taking form”; never “Phase 2 / 61% complete”.</w:t>
            </w:r>
          </w:p>
        </w:tc>
      </w:tr>
      <w:tr>
        <w:trPr>
          <w:cantSplit/>
        </w:trPr>
        <w:tc>
          <w:tcPr>
            <w:tcW w:type="dxa" w:w="2232"/>
            <w:tcMar>
              <w:top w:w="80" w:type="dxa"/>
              <w:start w:w="120" w:type="dxa"/>
              <w:bottom w:w="80" w:type="dxa"/>
              <w:end w:w="120" w:type="dxa"/>
            </w:tcMar>
            <w:vAlign w:val="top"/>
          </w:tcPr>
          <w:p>
            <w:pPr>
              <w:spacing w:after="0"/>
            </w:pPr>
            <w:r>
              <w:rPr>
                <w:rFonts w:ascii="Calibri" w:hAnsi="Calibri"/>
                <w:b w:val="0"/>
                <w:i w:val="0"/>
                <w:color w:val="1E2228"/>
                <w:sz w:val="17"/>
              </w:rPr>
              <w:t>Next moments</w:t>
            </w:r>
          </w:p>
        </w:tc>
        <w:tc>
          <w:tcPr>
            <w:tcW w:type="dxa" w:w="7128"/>
            <w:tcMar>
              <w:top w:w="80" w:type="dxa"/>
              <w:start w:w="120" w:type="dxa"/>
              <w:bottom w:w="80" w:type="dxa"/>
              <w:end w:w="120" w:type="dxa"/>
            </w:tcMar>
            <w:vAlign w:val="top"/>
          </w:tcPr>
          <w:p>
            <w:pPr>
              <w:spacing w:after="0"/>
            </w:pPr>
            <w:r>
              <w:rPr>
                <w:rFonts w:ascii="Calibri" w:hAnsi="Calibri"/>
                <w:b w:val="0"/>
                <w:i w:val="0"/>
                <w:color w:val="1E2228"/>
                <w:sz w:val="17"/>
              </w:rPr>
              <w:t>At most three: decision, preview, appointment or update; prioritised by host impact.</w:t>
            </w:r>
          </w:p>
        </w:tc>
      </w:tr>
      <w:tr>
        <w:trPr>
          <w:cantSplit/>
        </w:trPr>
        <w:tc>
          <w:tcPr>
            <w:tcW w:type="dxa" w:w="2232"/>
            <w:tcMar>
              <w:top w:w="80" w:type="dxa"/>
              <w:start w:w="120" w:type="dxa"/>
              <w:bottom w:w="80" w:type="dxa"/>
              <w:end w:w="120" w:type="dxa"/>
            </w:tcMar>
            <w:vAlign w:val="top"/>
          </w:tcPr>
          <w:p>
            <w:pPr>
              <w:spacing w:after="0"/>
            </w:pPr>
            <w:r>
              <w:rPr>
                <w:rFonts w:ascii="Calibri" w:hAnsi="Calibri"/>
                <w:b w:val="0"/>
                <w:i w:val="0"/>
                <w:color w:val="1E2228"/>
                <w:sz w:val="17"/>
              </w:rPr>
              <w:t>Maison Doclar presence</w:t>
            </w:r>
          </w:p>
        </w:tc>
        <w:tc>
          <w:tcPr>
            <w:tcW w:type="dxa" w:w="7128"/>
            <w:tcMar>
              <w:top w:w="80" w:type="dxa"/>
              <w:start w:w="120" w:type="dxa"/>
              <w:bottom w:w="80" w:type="dxa"/>
              <w:end w:w="120" w:type="dxa"/>
            </w:tcMar>
            <w:vAlign w:val="top"/>
          </w:tcPr>
          <w:p>
            <w:pPr>
              <w:spacing w:after="0"/>
            </w:pPr>
            <w:r>
              <w:rPr>
                <w:rFonts w:ascii="Calibri" w:hAnsi="Calibri"/>
                <w:b w:val="0"/>
                <w:i w:val="0"/>
                <w:color w:val="1E2228"/>
                <w:sz w:val="17"/>
              </w:rPr>
              <w:t>Named liaison and discreet request-a-conversation path.</w:t>
            </w:r>
          </w:p>
        </w:tc>
      </w:tr>
      <w:tr>
        <w:trPr>
          <w:cantSplit/>
        </w:trPr>
        <w:tc>
          <w:tcPr>
            <w:tcW w:type="dxa" w:w="2232"/>
            <w:tcMar>
              <w:top w:w="80" w:type="dxa"/>
              <w:start w:w="120" w:type="dxa"/>
              <w:bottom w:w="80" w:type="dxa"/>
              <w:end w:w="120" w:type="dxa"/>
            </w:tcMar>
            <w:vAlign w:val="top"/>
          </w:tcPr>
          <w:p>
            <w:pPr>
              <w:spacing w:after="0"/>
            </w:pPr>
            <w:r>
              <w:rPr>
                <w:rFonts w:ascii="Calibri" w:hAnsi="Calibri"/>
                <w:b w:val="0"/>
                <w:i w:val="0"/>
                <w:color w:val="1E2228"/>
                <w:sz w:val="17"/>
              </w:rPr>
              <w:t>Return visit</w:t>
            </w:r>
          </w:p>
        </w:tc>
        <w:tc>
          <w:tcPr>
            <w:tcW w:type="dxa" w:w="7128"/>
            <w:tcMar>
              <w:top w:w="80" w:type="dxa"/>
              <w:start w:w="120" w:type="dxa"/>
              <w:bottom w:w="80" w:type="dxa"/>
              <w:end w:w="120" w:type="dxa"/>
            </w:tcMar>
            <w:vAlign w:val="top"/>
          </w:tcPr>
          <w:p>
            <w:pPr>
              <w:spacing w:after="0"/>
            </w:pPr>
            <w:r>
              <w:rPr>
                <w:rFonts w:ascii="Calibri" w:hAnsi="Calibri"/>
                <w:b w:val="0"/>
                <w:i w:val="0"/>
                <w:color w:val="1E2228"/>
                <w:sz w:val="17"/>
              </w:rPr>
              <w:t>Continues from the most relevant chapter without losing the composed opening.</w:t>
            </w:r>
          </w:p>
        </w:tc>
      </w:tr>
    </w:tbl>
    <w:p>
      <w:pPr>
        <w:spacing w:after="20"/>
      </w:pPr>
    </w:p>
    <w:p>
      <w:pPr>
        <w:pStyle w:val="Heading2"/>
      </w:pPr>
      <w:r>
        <w:t>5.1 Home copy grammar</w:t>
      </w:r>
    </w:p>
    <w:p>
      <w:pPr>
        <w:pStyle w:val="ListBullet"/>
      </w:pPr>
      <w:r>
        <w:t>Lead with what is taking shape, what is safely handled and what is needed from the host.</w:t>
      </w:r>
    </w:p>
    <w:p>
      <w:pPr>
        <w:pStyle w:val="ListBullet"/>
      </w:pPr>
      <w:r>
        <w:t>Do not show generic greetings, motivational filler, percentages without meaning or celebratory claims not grounded in approved truth.</w:t>
      </w:r>
    </w:p>
    <w:p>
      <w:pPr>
        <w:pStyle w:val="ListBullet"/>
      </w:pPr>
      <w:r>
        <w:t>Material concern must remain truthful and actionable; luxury tone must never minimise safety, cost or deadline consequences.</w:t>
      </w:r>
    </w:p>
    <w:p>
      <w:pPr>
        <w:pStyle w:val="Heading1"/>
      </w:pPr>
      <w:r>
        <w:t>6. The Vision and guest journey</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2232"/>
            <w:shd w:fill="E8EEF5"/>
            <w:tcMar>
              <w:top w:w="80" w:type="dxa"/>
              <w:start w:w="120" w:type="dxa"/>
              <w:bottom w:w="80" w:type="dxa"/>
              <w:end w:w="120" w:type="dxa"/>
            </w:tcMar>
            <w:vAlign w:val="center"/>
          </w:tcPr>
          <w:p>
            <w:r>
              <w:rPr>
                <w:rFonts w:ascii="Calibri" w:hAnsi="Calibri"/>
                <w:b/>
                <w:i w:val="0"/>
                <w:color w:val="0B2545"/>
                <w:sz w:val="18"/>
              </w:rPr>
              <w:t>Vision object</w:t>
            </w:r>
          </w:p>
        </w:tc>
        <w:tc>
          <w:tcPr>
            <w:tcW w:type="dxa" w:w="7128"/>
            <w:shd w:fill="E8EEF5"/>
            <w:tcMar>
              <w:top w:w="80" w:type="dxa"/>
              <w:start w:w="120" w:type="dxa"/>
              <w:bottom w:w="80" w:type="dxa"/>
              <w:end w:w="120" w:type="dxa"/>
            </w:tcMar>
            <w:vAlign w:val="center"/>
          </w:tcPr>
          <w:p>
            <w:r>
              <w:rPr>
                <w:rFonts w:ascii="Calibri" w:hAnsi="Calibri"/>
                <w:b/>
                <w:i w:val="0"/>
                <w:color w:val="0B2545"/>
                <w:sz w:val="18"/>
              </w:rPr>
              <w:t>Content and governance</w:t>
            </w:r>
          </w:p>
        </w:tc>
      </w:tr>
      <w:tr>
        <w:trPr>
          <w:cantSplit/>
        </w:trPr>
        <w:tc>
          <w:tcPr>
            <w:tcW w:type="dxa" w:w="2232"/>
            <w:tcMar>
              <w:top w:w="80" w:type="dxa"/>
              <w:start w:w="120" w:type="dxa"/>
              <w:bottom w:w="80" w:type="dxa"/>
              <w:end w:w="120" w:type="dxa"/>
            </w:tcMar>
            <w:vAlign w:val="top"/>
          </w:tcPr>
          <w:p>
            <w:pPr>
              <w:spacing w:after="0"/>
            </w:pPr>
            <w:r>
              <w:rPr>
                <w:rFonts w:ascii="Calibri" w:hAnsi="Calibri"/>
                <w:b w:val="0"/>
                <w:i w:val="0"/>
                <w:color w:val="1E2228"/>
                <w:sz w:val="17"/>
              </w:rPr>
              <w:t>Event Story</w:t>
            </w:r>
          </w:p>
        </w:tc>
        <w:tc>
          <w:tcPr>
            <w:tcW w:type="dxa" w:w="7128"/>
            <w:tcMar>
              <w:top w:w="80" w:type="dxa"/>
              <w:start w:w="120" w:type="dxa"/>
              <w:bottom w:w="80" w:type="dxa"/>
              <w:end w:w="120" w:type="dxa"/>
            </w:tcMar>
            <w:vAlign w:val="top"/>
          </w:tcPr>
          <w:p>
            <w:pPr>
              <w:spacing w:after="0"/>
            </w:pPr>
            <w:r>
              <w:rPr>
                <w:rFonts w:ascii="Calibri" w:hAnsi="Calibri"/>
                <w:b w:val="0"/>
                <w:i w:val="0"/>
                <w:color w:val="1E2228"/>
                <w:sz w:val="17"/>
              </w:rPr>
              <w:t>One-to-three sentence approved concept with author, source and edition.</w:t>
            </w:r>
          </w:p>
        </w:tc>
      </w:tr>
      <w:tr>
        <w:trPr>
          <w:cantSplit/>
        </w:trPr>
        <w:tc>
          <w:tcPr>
            <w:tcW w:type="dxa" w:w="2232"/>
            <w:tcMar>
              <w:top w:w="80" w:type="dxa"/>
              <w:start w:w="120" w:type="dxa"/>
              <w:bottom w:w="80" w:type="dxa"/>
              <w:end w:w="120" w:type="dxa"/>
            </w:tcMar>
            <w:vAlign w:val="top"/>
          </w:tcPr>
          <w:p>
            <w:pPr>
              <w:spacing w:after="0"/>
            </w:pPr>
            <w:r>
              <w:rPr>
                <w:rFonts w:ascii="Calibri" w:hAnsi="Calibri"/>
                <w:b w:val="0"/>
                <w:i w:val="0"/>
                <w:color w:val="1E2228"/>
                <w:sz w:val="17"/>
              </w:rPr>
              <w:t>Experience pillars</w:t>
            </w:r>
          </w:p>
        </w:tc>
        <w:tc>
          <w:tcPr>
            <w:tcW w:type="dxa" w:w="7128"/>
            <w:tcMar>
              <w:top w:w="80" w:type="dxa"/>
              <w:start w:w="120" w:type="dxa"/>
              <w:bottom w:w="80" w:type="dxa"/>
              <w:end w:w="120" w:type="dxa"/>
            </w:tcMar>
            <w:vAlign w:val="top"/>
          </w:tcPr>
          <w:p>
            <w:pPr>
              <w:spacing w:after="0"/>
            </w:pPr>
            <w:r>
              <w:rPr>
                <w:rFonts w:ascii="Calibri" w:hAnsi="Calibri"/>
                <w:b w:val="0"/>
                <w:i w:val="0"/>
                <w:color w:val="1E2228"/>
                <w:sz w:val="17"/>
              </w:rPr>
              <w:t>Three-to-five named promises, each linked to observable design or service choices.</w:t>
            </w:r>
          </w:p>
        </w:tc>
      </w:tr>
      <w:tr>
        <w:trPr>
          <w:cantSplit/>
        </w:trPr>
        <w:tc>
          <w:tcPr>
            <w:tcW w:type="dxa" w:w="2232"/>
            <w:tcMar>
              <w:top w:w="80" w:type="dxa"/>
              <w:start w:w="120" w:type="dxa"/>
              <w:bottom w:w="80" w:type="dxa"/>
              <w:end w:w="120" w:type="dxa"/>
            </w:tcMar>
            <w:vAlign w:val="top"/>
          </w:tcPr>
          <w:p>
            <w:pPr>
              <w:spacing w:after="0"/>
            </w:pPr>
            <w:r>
              <w:rPr>
                <w:rFonts w:ascii="Calibri" w:hAnsi="Calibri"/>
                <w:b w:val="0"/>
                <w:i w:val="0"/>
                <w:color w:val="1E2228"/>
                <w:sz w:val="17"/>
              </w:rPr>
              <w:t>Cultural/protocol intent</w:t>
            </w:r>
          </w:p>
        </w:tc>
        <w:tc>
          <w:tcPr>
            <w:tcW w:type="dxa" w:w="7128"/>
            <w:tcMar>
              <w:top w:w="80" w:type="dxa"/>
              <w:start w:w="120" w:type="dxa"/>
              <w:bottom w:w="80" w:type="dxa"/>
              <w:end w:w="120" w:type="dxa"/>
            </w:tcMar>
            <w:vAlign w:val="top"/>
          </w:tcPr>
          <w:p>
            <w:pPr>
              <w:spacing w:after="0"/>
            </w:pPr>
            <w:r>
              <w:rPr>
                <w:rFonts w:ascii="Calibri" w:hAnsi="Calibri"/>
                <w:b w:val="0"/>
                <w:i w:val="0"/>
                <w:color w:val="1E2228"/>
                <w:sz w:val="17"/>
              </w:rPr>
              <w:t>Host-approved traditions, etiquette and meaning; never inferred from identity.</w:t>
            </w:r>
          </w:p>
        </w:tc>
      </w:tr>
      <w:tr>
        <w:trPr>
          <w:cantSplit/>
        </w:trPr>
        <w:tc>
          <w:tcPr>
            <w:tcW w:type="dxa" w:w="2232"/>
            <w:tcMar>
              <w:top w:w="80" w:type="dxa"/>
              <w:start w:w="120" w:type="dxa"/>
              <w:bottom w:w="80" w:type="dxa"/>
              <w:end w:w="120" w:type="dxa"/>
            </w:tcMar>
            <w:vAlign w:val="top"/>
          </w:tcPr>
          <w:p>
            <w:pPr>
              <w:spacing w:after="0"/>
            </w:pPr>
            <w:r>
              <w:rPr>
                <w:rFonts w:ascii="Calibri" w:hAnsi="Calibri"/>
                <w:b w:val="0"/>
                <w:i w:val="0"/>
                <w:color w:val="1E2228"/>
                <w:sz w:val="17"/>
              </w:rPr>
              <w:t>Brand alignment</w:t>
            </w:r>
          </w:p>
        </w:tc>
        <w:tc>
          <w:tcPr>
            <w:tcW w:type="dxa" w:w="7128"/>
            <w:tcMar>
              <w:top w:w="80" w:type="dxa"/>
              <w:start w:w="120" w:type="dxa"/>
              <w:bottom w:w="80" w:type="dxa"/>
              <w:end w:w="120" w:type="dxa"/>
            </w:tcMar>
            <w:vAlign w:val="top"/>
          </w:tcPr>
          <w:p>
            <w:pPr>
              <w:spacing w:after="0"/>
            </w:pPr>
            <w:r>
              <w:rPr>
                <w:rFonts w:ascii="Calibri" w:hAnsi="Calibri"/>
                <w:b w:val="0"/>
                <w:i w:val="0"/>
                <w:color w:val="1E2228"/>
                <w:sz w:val="17"/>
              </w:rPr>
              <w:t>Corporate/private identity rules only where applicable and authorised.</w:t>
            </w:r>
          </w:p>
        </w:tc>
      </w:tr>
      <w:tr>
        <w:trPr>
          <w:cantSplit/>
        </w:trPr>
        <w:tc>
          <w:tcPr>
            <w:tcW w:type="dxa" w:w="2232"/>
            <w:tcMar>
              <w:top w:w="80" w:type="dxa"/>
              <w:start w:w="120" w:type="dxa"/>
              <w:bottom w:w="80" w:type="dxa"/>
              <w:end w:w="120" w:type="dxa"/>
            </w:tcMar>
            <w:vAlign w:val="top"/>
          </w:tcPr>
          <w:p>
            <w:pPr>
              <w:spacing w:after="0"/>
            </w:pPr>
            <w:r>
              <w:rPr>
                <w:rFonts w:ascii="Calibri" w:hAnsi="Calibri"/>
                <w:b w:val="0"/>
                <w:i w:val="0"/>
                <w:color w:val="1E2228"/>
                <w:sz w:val="17"/>
              </w:rPr>
              <w:t>Mood composition</w:t>
            </w:r>
          </w:p>
        </w:tc>
        <w:tc>
          <w:tcPr>
            <w:tcW w:type="dxa" w:w="7128"/>
            <w:tcMar>
              <w:top w:w="80" w:type="dxa"/>
              <w:start w:w="120" w:type="dxa"/>
              <w:bottom w:w="80" w:type="dxa"/>
              <w:end w:w="120" w:type="dxa"/>
            </w:tcMar>
            <w:vAlign w:val="top"/>
          </w:tcPr>
          <w:p>
            <w:pPr>
              <w:spacing w:after="0"/>
            </w:pPr>
            <w:r>
              <w:rPr>
                <w:rFonts w:ascii="Calibri" w:hAnsi="Calibri"/>
                <w:b w:val="0"/>
                <w:i w:val="0"/>
                <w:color w:val="1E2228"/>
                <w:sz w:val="17"/>
              </w:rPr>
              <w:t>Curated imagery, palette, material, sound or scent references with rights/provenance.</w:t>
            </w:r>
          </w:p>
        </w:tc>
      </w:tr>
      <w:tr>
        <w:trPr>
          <w:cantSplit/>
        </w:trPr>
        <w:tc>
          <w:tcPr>
            <w:tcW w:type="dxa" w:w="2232"/>
            <w:tcMar>
              <w:top w:w="80" w:type="dxa"/>
              <w:start w:w="120" w:type="dxa"/>
              <w:bottom w:w="80" w:type="dxa"/>
              <w:end w:w="120" w:type="dxa"/>
            </w:tcMar>
            <w:vAlign w:val="top"/>
          </w:tcPr>
          <w:p>
            <w:pPr>
              <w:spacing w:after="0"/>
            </w:pPr>
            <w:r>
              <w:rPr>
                <w:rFonts w:ascii="Calibri" w:hAnsi="Calibri"/>
                <w:b w:val="0"/>
                <w:i w:val="0"/>
                <w:color w:val="1E2228"/>
                <w:sz w:val="17"/>
              </w:rPr>
              <w:t>Guest journey</w:t>
            </w:r>
          </w:p>
        </w:tc>
        <w:tc>
          <w:tcPr>
            <w:tcW w:type="dxa" w:w="7128"/>
            <w:tcMar>
              <w:top w:w="80" w:type="dxa"/>
              <w:start w:w="120" w:type="dxa"/>
              <w:bottom w:w="80" w:type="dxa"/>
              <w:end w:w="120" w:type="dxa"/>
            </w:tcMar>
            <w:vAlign w:val="top"/>
          </w:tcPr>
          <w:p>
            <w:pPr>
              <w:spacing w:after="0"/>
            </w:pPr>
            <w:r>
              <w:rPr>
                <w:rFonts w:ascii="Calibri" w:hAnsi="Calibri"/>
                <w:b w:val="0"/>
                <w:i w:val="0"/>
                <w:color w:val="1E2228"/>
                <w:sz w:val="17"/>
              </w:rPr>
              <w:t>Arrival, welcome, transitions, peak moments and farewell across S04B phases.</w:t>
            </w:r>
          </w:p>
        </w:tc>
      </w:tr>
      <w:tr>
        <w:trPr>
          <w:cantSplit/>
        </w:trPr>
        <w:tc>
          <w:tcPr>
            <w:tcW w:type="dxa" w:w="2232"/>
            <w:tcMar>
              <w:top w:w="80" w:type="dxa"/>
              <w:start w:w="120" w:type="dxa"/>
              <w:bottom w:w="80" w:type="dxa"/>
              <w:end w:w="120" w:type="dxa"/>
            </w:tcMar>
            <w:vAlign w:val="top"/>
          </w:tcPr>
          <w:p>
            <w:pPr>
              <w:spacing w:after="0"/>
            </w:pPr>
            <w:r>
              <w:rPr>
                <w:rFonts w:ascii="Calibri" w:hAnsi="Calibri"/>
                <w:b w:val="0"/>
                <w:i w:val="0"/>
                <w:color w:val="1E2228"/>
                <w:sz w:val="17"/>
              </w:rPr>
              <w:t>Host preferences</w:t>
            </w:r>
          </w:p>
        </w:tc>
        <w:tc>
          <w:tcPr>
            <w:tcW w:type="dxa" w:w="7128"/>
            <w:tcMar>
              <w:top w:w="80" w:type="dxa"/>
              <w:start w:w="120" w:type="dxa"/>
              <w:bottom w:w="80" w:type="dxa"/>
              <w:end w:w="120" w:type="dxa"/>
            </w:tcMar>
            <w:vAlign w:val="top"/>
          </w:tcPr>
          <w:p>
            <w:pPr>
              <w:spacing w:after="0"/>
            </w:pPr>
            <w:r>
              <w:rPr>
                <w:rFonts w:ascii="Calibri" w:hAnsi="Calibri"/>
                <w:b w:val="0"/>
                <w:i w:val="0"/>
                <w:color w:val="1E2228"/>
                <w:sz w:val="17"/>
              </w:rPr>
              <w:t>Only those deliberately approved for this presentation; private onboarding notes stay internal.</w:t>
            </w:r>
          </w:p>
        </w:tc>
      </w:tr>
    </w:tbl>
    <w:p>
      <w:pPr>
        <w:spacing w:after="20"/>
      </w:pPr>
    </w:p>
    <w:p>
      <w:pPr>
        <w:pStyle w:val="Heading2"/>
      </w:pPr>
      <w:r>
        <w:t>6.1 Editorial and media rules</w:t>
      </w:r>
    </w:p>
    <w:p>
      <w:pPr>
        <w:pStyle w:val="ListBullet"/>
      </w:pPr>
      <w:r>
        <w:t>Only current approved narrative and licensed/authorised media may be published.</w:t>
      </w:r>
    </w:p>
    <w:p>
      <w:pPr>
        <w:pStyle w:val="ListBullet"/>
      </w:pPr>
      <w:r>
        <w:t>A mood reference is labelled as inspiration, not a promised deliverable.</w:t>
      </w:r>
    </w:p>
    <w:p>
      <w:pPr>
        <w:pStyle w:val="ListBullet"/>
      </w:pPr>
      <w:r>
        <w:t>Every published edition is immutable; revision produces a new edition with visible “current” status.</w:t>
      </w:r>
    </w:p>
    <w:p>
      <w:pPr>
        <w:pStyle w:val="ListBullet"/>
      </w:pPr>
      <w:r>
        <w:t>Video never blocks the experience; poster, responsive image and text alternatives are mandatory.</w:t>
      </w:r>
    </w:p>
    <w:p>
      <w:pPr>
        <w:pStyle w:val="ListBullet"/>
      </w:pPr>
      <w:r>
        <w:t>AI may draft from approved inputs in shadow mode, but a named human editor must review and publish.</w:t>
      </w:r>
    </w:p>
    <w:p>
      <w:pPr>
        <w:pStyle w:val="Heading1"/>
      </w:pPr>
      <w:r>
        <w:t>7. The Blueprint: milestones and timeline</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cantSplit/>
        </w:trPr>
        <w:tc>
          <w:tcPr>
            <w:tcW w:type="dxa" w:w="1944"/>
            <w:shd w:fill="E8EEF5"/>
            <w:tcMar>
              <w:top w:w="80" w:type="dxa"/>
              <w:start w:w="120" w:type="dxa"/>
              <w:bottom w:w="80" w:type="dxa"/>
              <w:end w:w="120" w:type="dxa"/>
            </w:tcMar>
            <w:vAlign w:val="center"/>
          </w:tcPr>
          <w:p>
            <w:r>
              <w:rPr>
                <w:rFonts w:ascii="Calibri" w:hAnsi="Calibri"/>
                <w:b/>
                <w:i w:val="0"/>
                <w:color w:val="0B2545"/>
                <w:sz w:val="18"/>
              </w:rPr>
              <w:t>View</w:t>
            </w:r>
          </w:p>
        </w:tc>
        <w:tc>
          <w:tcPr>
            <w:tcW w:type="dxa" w:w="3744"/>
            <w:shd w:fill="E8EEF5"/>
            <w:tcMar>
              <w:top w:w="80" w:type="dxa"/>
              <w:start w:w="120" w:type="dxa"/>
              <w:bottom w:w="80" w:type="dxa"/>
              <w:end w:w="120" w:type="dxa"/>
            </w:tcMar>
            <w:vAlign w:val="center"/>
          </w:tcPr>
          <w:p>
            <w:r>
              <w:rPr>
                <w:rFonts w:ascii="Calibri" w:hAnsi="Calibri"/>
                <w:b/>
                <w:i w:val="0"/>
                <w:color w:val="0B2545"/>
                <w:sz w:val="18"/>
              </w:rPr>
              <w:t>What the host sees</w:t>
            </w:r>
          </w:p>
        </w:tc>
        <w:tc>
          <w:tcPr>
            <w:tcW w:type="dxa" w:w="3672"/>
            <w:shd w:fill="E8EEF5"/>
            <w:tcMar>
              <w:top w:w="80" w:type="dxa"/>
              <w:start w:w="120" w:type="dxa"/>
              <w:bottom w:w="80" w:type="dxa"/>
              <w:end w:w="120" w:type="dxa"/>
            </w:tcMar>
            <w:vAlign w:val="center"/>
          </w:tcPr>
          <w:p>
            <w:r>
              <w:rPr>
                <w:rFonts w:ascii="Calibri" w:hAnsi="Calibri"/>
                <w:b/>
                <w:i w:val="0"/>
                <w:color w:val="0B2545"/>
                <w:sz w:val="18"/>
              </w:rPr>
              <w:t>What remains internal</w:t>
            </w:r>
          </w:p>
        </w:tc>
      </w:tr>
      <w:tr>
        <w:trPr>
          <w:cantSplit/>
        </w:trPr>
        <w:tc>
          <w:tcPr>
            <w:tcW w:type="dxa" w:w="1944"/>
            <w:tcMar>
              <w:top w:w="80" w:type="dxa"/>
              <w:start w:w="120" w:type="dxa"/>
              <w:bottom w:w="80" w:type="dxa"/>
              <w:end w:w="120" w:type="dxa"/>
            </w:tcMar>
            <w:vAlign w:val="top"/>
          </w:tcPr>
          <w:p>
            <w:pPr>
              <w:spacing w:after="0"/>
            </w:pPr>
            <w:r>
              <w:rPr>
                <w:rFonts w:ascii="Calibri" w:hAnsi="Calibri"/>
                <w:b w:val="0"/>
                <w:i w:val="0"/>
                <w:color w:val="1E2228"/>
                <w:sz w:val="17"/>
              </w:rPr>
              <w:t>Planning arc</w:t>
            </w:r>
          </w:p>
        </w:tc>
        <w:tc>
          <w:tcPr>
            <w:tcW w:type="dxa" w:w="3744"/>
            <w:tcMar>
              <w:top w:w="80" w:type="dxa"/>
              <w:start w:w="120" w:type="dxa"/>
              <w:bottom w:w="80" w:type="dxa"/>
              <w:end w:w="120" w:type="dxa"/>
            </w:tcMar>
            <w:vAlign w:val="top"/>
          </w:tcPr>
          <w:p>
            <w:pPr>
              <w:spacing w:after="0"/>
            </w:pPr>
            <w:r>
              <w:rPr>
                <w:rFonts w:ascii="Calibri" w:hAnsi="Calibri"/>
                <w:b w:val="0"/>
                <w:i w:val="0"/>
                <w:color w:val="1E2228"/>
                <w:sz w:val="17"/>
              </w:rPr>
              <w:t>Concept → design → production → rehearsal → live → close.</w:t>
            </w:r>
          </w:p>
        </w:tc>
        <w:tc>
          <w:tcPr>
            <w:tcW w:type="dxa" w:w="3672"/>
            <w:tcMar>
              <w:top w:w="80" w:type="dxa"/>
              <w:start w:w="120" w:type="dxa"/>
              <w:bottom w:w="80" w:type="dxa"/>
              <w:end w:w="120" w:type="dxa"/>
            </w:tcMar>
            <w:vAlign w:val="top"/>
          </w:tcPr>
          <w:p>
            <w:pPr>
              <w:spacing w:after="0"/>
            </w:pPr>
            <w:r>
              <w:rPr>
                <w:rFonts w:ascii="Calibri" w:hAnsi="Calibri"/>
                <w:b w:val="0"/>
                <w:i w:val="0"/>
                <w:color w:val="1E2228"/>
                <w:sz w:val="17"/>
              </w:rPr>
              <w:t>Sprint/task implementation detail.</w:t>
            </w:r>
          </w:p>
        </w:tc>
      </w:tr>
      <w:tr>
        <w:trPr>
          <w:cantSplit/>
        </w:trPr>
        <w:tc>
          <w:tcPr>
            <w:tcW w:type="dxa" w:w="1944"/>
            <w:tcMar>
              <w:top w:w="80" w:type="dxa"/>
              <w:start w:w="120" w:type="dxa"/>
              <w:bottom w:w="80" w:type="dxa"/>
              <w:end w:w="120" w:type="dxa"/>
            </w:tcMar>
            <w:vAlign w:val="top"/>
          </w:tcPr>
          <w:p>
            <w:pPr>
              <w:spacing w:after="0"/>
            </w:pPr>
            <w:r>
              <w:rPr>
                <w:rFonts w:ascii="Calibri" w:hAnsi="Calibri"/>
                <w:b w:val="0"/>
                <w:i w:val="0"/>
                <w:color w:val="1E2228"/>
                <w:sz w:val="17"/>
              </w:rPr>
              <w:t>Milestones</w:t>
            </w:r>
          </w:p>
        </w:tc>
        <w:tc>
          <w:tcPr>
            <w:tcW w:type="dxa" w:w="3744"/>
            <w:tcMar>
              <w:top w:w="80" w:type="dxa"/>
              <w:start w:w="120" w:type="dxa"/>
              <w:bottom w:w="80" w:type="dxa"/>
              <w:end w:w="120" w:type="dxa"/>
            </w:tcMar>
            <w:vAlign w:val="top"/>
          </w:tcPr>
          <w:p>
            <w:pPr>
              <w:spacing w:after="0"/>
            </w:pPr>
            <w:r>
              <w:rPr>
                <w:rFonts w:ascii="Calibri" w:hAnsi="Calibri"/>
                <w:b w:val="0"/>
                <w:i w:val="0"/>
                <w:color w:val="1E2228"/>
                <w:sz w:val="17"/>
              </w:rPr>
              <w:t>Meaning, target date, confidence and whether host input is reserved.</w:t>
            </w:r>
          </w:p>
        </w:tc>
        <w:tc>
          <w:tcPr>
            <w:tcW w:type="dxa" w:w="3672"/>
            <w:tcMar>
              <w:top w:w="80" w:type="dxa"/>
              <w:start w:w="120" w:type="dxa"/>
              <w:bottom w:w="80" w:type="dxa"/>
              <w:end w:w="120" w:type="dxa"/>
            </w:tcMar>
            <w:vAlign w:val="top"/>
          </w:tcPr>
          <w:p>
            <w:pPr>
              <w:spacing w:after="0"/>
            </w:pPr>
            <w:r>
              <w:rPr>
                <w:rFonts w:ascii="Calibri" w:hAnsi="Calibri"/>
                <w:b w:val="0"/>
                <w:i w:val="0"/>
                <w:color w:val="1E2228"/>
                <w:sz w:val="17"/>
              </w:rPr>
              <w:t>Raw dependencies, assignees and internal comments.</w:t>
            </w:r>
          </w:p>
        </w:tc>
      </w:tr>
      <w:tr>
        <w:trPr>
          <w:cantSplit/>
        </w:trPr>
        <w:tc>
          <w:tcPr>
            <w:tcW w:type="dxa" w:w="1944"/>
            <w:tcMar>
              <w:top w:w="80" w:type="dxa"/>
              <w:start w:w="120" w:type="dxa"/>
              <w:bottom w:w="80" w:type="dxa"/>
              <w:end w:w="120" w:type="dxa"/>
            </w:tcMar>
            <w:vAlign w:val="top"/>
          </w:tcPr>
          <w:p>
            <w:pPr>
              <w:spacing w:after="0"/>
            </w:pPr>
            <w:r>
              <w:rPr>
                <w:rFonts w:ascii="Calibri" w:hAnsi="Calibri"/>
                <w:b w:val="0"/>
                <w:i w:val="0"/>
                <w:color w:val="1E2228"/>
                <w:sz w:val="17"/>
              </w:rPr>
              <w:t>Host timeline</w:t>
            </w:r>
          </w:p>
        </w:tc>
        <w:tc>
          <w:tcPr>
            <w:tcW w:type="dxa" w:w="3744"/>
            <w:tcMar>
              <w:top w:w="80" w:type="dxa"/>
              <w:start w:w="120" w:type="dxa"/>
              <w:bottom w:w="80" w:type="dxa"/>
              <w:end w:w="120" w:type="dxa"/>
            </w:tcMar>
            <w:vAlign w:val="top"/>
          </w:tcPr>
          <w:p>
            <w:pPr>
              <w:spacing w:after="0"/>
            </w:pPr>
            <w:r>
              <w:rPr>
                <w:rFonts w:ascii="Calibri" w:hAnsi="Calibri"/>
                <w:b w:val="0"/>
                <w:i w:val="0"/>
                <w:color w:val="1E2228"/>
                <w:sz w:val="17"/>
              </w:rPr>
              <w:t>Key dates, appointments, arrivals and decision deadlines.</w:t>
            </w:r>
          </w:p>
        </w:tc>
        <w:tc>
          <w:tcPr>
            <w:tcW w:type="dxa" w:w="3672"/>
            <w:tcMar>
              <w:top w:w="80" w:type="dxa"/>
              <w:start w:w="120" w:type="dxa"/>
              <w:bottom w:w="80" w:type="dxa"/>
              <w:end w:w="120" w:type="dxa"/>
            </w:tcMar>
            <w:vAlign w:val="top"/>
          </w:tcPr>
          <w:p>
            <w:pPr>
              <w:spacing w:after="0"/>
            </w:pPr>
            <w:r>
              <w:rPr>
                <w:rFonts w:ascii="Calibri" w:hAnsi="Calibri"/>
                <w:b w:val="0"/>
                <w:i w:val="0"/>
                <w:color w:val="1E2228"/>
                <w:sz w:val="17"/>
              </w:rPr>
              <w:t>Vendor call sheets and technical load-in detail.</w:t>
            </w:r>
          </w:p>
        </w:tc>
      </w:tr>
      <w:tr>
        <w:trPr>
          <w:cantSplit/>
        </w:trPr>
        <w:tc>
          <w:tcPr>
            <w:tcW w:type="dxa" w:w="1944"/>
            <w:tcMar>
              <w:top w:w="80" w:type="dxa"/>
              <w:start w:w="120" w:type="dxa"/>
              <w:bottom w:w="80" w:type="dxa"/>
              <w:end w:w="120" w:type="dxa"/>
            </w:tcMar>
            <w:vAlign w:val="top"/>
          </w:tcPr>
          <w:p>
            <w:pPr>
              <w:spacing w:after="0"/>
            </w:pPr>
            <w:r>
              <w:rPr>
                <w:rFonts w:ascii="Calibri" w:hAnsi="Calibri"/>
                <w:b w:val="0"/>
                <w:i w:val="0"/>
                <w:color w:val="1E2228"/>
                <w:sz w:val="17"/>
              </w:rPr>
              <w:t>Day/phase story</w:t>
            </w:r>
          </w:p>
        </w:tc>
        <w:tc>
          <w:tcPr>
            <w:tcW w:type="dxa" w:w="3744"/>
            <w:tcMar>
              <w:top w:w="80" w:type="dxa"/>
              <w:start w:w="120" w:type="dxa"/>
              <w:bottom w:w="80" w:type="dxa"/>
              <w:end w:w="120" w:type="dxa"/>
            </w:tcMar>
            <w:vAlign w:val="top"/>
          </w:tcPr>
          <w:p>
            <w:pPr>
              <w:spacing w:after="0"/>
            </w:pPr>
            <w:r>
              <w:rPr>
                <w:rFonts w:ascii="Calibri" w:hAnsi="Calibri"/>
                <w:b w:val="0"/>
                <w:i w:val="0"/>
                <w:color w:val="1E2228"/>
                <w:sz w:val="17"/>
              </w:rPr>
              <w:t>S04B programme moments and transitions.</w:t>
            </w:r>
          </w:p>
        </w:tc>
        <w:tc>
          <w:tcPr>
            <w:tcW w:type="dxa" w:w="3672"/>
            <w:tcMar>
              <w:top w:w="80" w:type="dxa"/>
              <w:start w:w="120" w:type="dxa"/>
              <w:bottom w:w="80" w:type="dxa"/>
              <w:end w:w="120" w:type="dxa"/>
            </w:tcMar>
            <w:vAlign w:val="top"/>
          </w:tcPr>
          <w:p>
            <w:pPr>
              <w:spacing w:after="0"/>
            </w:pPr>
            <w:r>
              <w:rPr>
                <w:rFonts w:ascii="Calibri" w:hAnsi="Calibri"/>
                <w:b w:val="0"/>
                <w:i w:val="0"/>
                <w:color w:val="1E2228"/>
                <w:sz w:val="17"/>
              </w:rPr>
              <w:t>Parallel operational command and incident queues.</w:t>
            </w:r>
          </w:p>
        </w:tc>
      </w:tr>
      <w:tr>
        <w:trPr>
          <w:cantSplit/>
        </w:trPr>
        <w:tc>
          <w:tcPr>
            <w:tcW w:type="dxa" w:w="1944"/>
            <w:tcMar>
              <w:top w:w="80" w:type="dxa"/>
              <w:start w:w="120" w:type="dxa"/>
              <w:bottom w:w="80" w:type="dxa"/>
              <w:end w:w="120" w:type="dxa"/>
            </w:tcMar>
            <w:vAlign w:val="top"/>
          </w:tcPr>
          <w:p>
            <w:pPr>
              <w:spacing w:after="0"/>
            </w:pPr>
            <w:r>
              <w:rPr>
                <w:rFonts w:ascii="Calibri" w:hAnsi="Calibri"/>
                <w:b w:val="0"/>
                <w:i w:val="0"/>
                <w:color w:val="1E2228"/>
                <w:sz w:val="17"/>
              </w:rPr>
              <w:t>Detailed edition</w:t>
            </w:r>
          </w:p>
        </w:tc>
        <w:tc>
          <w:tcPr>
            <w:tcW w:type="dxa" w:w="3744"/>
            <w:tcMar>
              <w:top w:w="80" w:type="dxa"/>
              <w:start w:w="120" w:type="dxa"/>
              <w:bottom w:w="80" w:type="dxa"/>
              <w:end w:w="120" w:type="dxa"/>
            </w:tcMar>
            <w:vAlign w:val="top"/>
          </w:tcPr>
          <w:p>
            <w:pPr>
              <w:spacing w:after="0"/>
            </w:pPr>
            <w:r>
              <w:rPr>
                <w:rFonts w:ascii="Calibri" w:hAnsi="Calibri"/>
                <w:b w:val="0"/>
                <w:i w:val="0"/>
                <w:color w:val="1E2228"/>
                <w:sz w:val="17"/>
              </w:rPr>
              <w:t>Optional approved run-of-show view for entitled power-user hosts.</w:t>
            </w:r>
          </w:p>
        </w:tc>
        <w:tc>
          <w:tcPr>
            <w:tcW w:type="dxa" w:w="3672"/>
            <w:tcMar>
              <w:top w:w="80" w:type="dxa"/>
              <w:start w:w="120" w:type="dxa"/>
              <w:bottom w:w="80" w:type="dxa"/>
              <w:end w:w="120" w:type="dxa"/>
            </w:tcMar>
            <w:vAlign w:val="top"/>
          </w:tcPr>
          <w:p>
            <w:pPr>
              <w:spacing w:after="0"/>
            </w:pPr>
            <w:r>
              <w:rPr>
                <w:rFonts w:ascii="Calibri" w:hAnsi="Calibri"/>
                <w:b w:val="0"/>
                <w:i w:val="0"/>
                <w:color w:val="1E2228"/>
                <w:sz w:val="17"/>
              </w:rPr>
              <w:t>Security routes, credentials and restricted backstage movements.</w:t>
            </w:r>
          </w:p>
        </w:tc>
      </w:tr>
    </w:tbl>
    <w:p>
      <w:pPr>
        <w:spacing w:after="20"/>
      </w:pPr>
    </w:p>
    <w:p>
      <w:pPr>
        <w:pStyle w:val="Heading2"/>
      </w:pPr>
      <w:r>
        <w:t>7.1 Linked timeline law</w:t>
      </w:r>
    </w:p>
    <w:p>
      <w:r>
        <w:t>Host and operational timelines are not separate manually maintained plans. Both are purpose-specific projections from governed programme and event-day sources. A source change invalidates or refreshes projections under version and approval controls.</w:t>
      </w:r>
    </w:p>
    <w:p>
      <w:pPr>
        <w:pStyle w:val="Heading1"/>
      </w:pPr>
      <w:r>
        <w:t>8. Assurance: attendance, budget, readiness and contingency</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shd w:fill="F2F4F7"/>
            <w:tcMar>
              <w:top w:w="130" w:type="dxa"/>
              <w:start w:w="180" w:type="dxa"/>
              <w:bottom w:w="130" w:type="dxa"/>
              <w:end w:w="180" w:type="dxa"/>
            </w:tcMar>
          </w:tcPr>
          <w:p>
            <w:pPr>
              <w:spacing w:after="0"/>
            </w:pPr>
            <w:r>
              <w:rPr>
                <w:rFonts w:ascii="Calibri" w:hAnsi="Calibri"/>
                <w:b/>
                <w:i w:val="0"/>
                <w:color w:val="0B2545"/>
                <w:sz w:val="21"/>
              </w:rPr>
              <w:t xml:space="preserve">ASSURANCE IS INTERPRETATION  </w:t>
            </w:r>
            <w:r>
              <w:rPr>
                <w:rFonts w:ascii="Calibri" w:hAnsi="Calibri"/>
                <w:b w:val="0"/>
                <w:i w:val="0"/>
                <w:color w:val="1E2228"/>
                <w:sz w:val="21"/>
              </w:rPr>
              <w:t>The host should understand the position without being exposed to raw models, ledgers or risk machinery. Each statement carries provenance and freshness internally.</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cantSplit/>
        </w:trPr>
        <w:tc>
          <w:tcPr>
            <w:tcW w:type="dxa" w:w="1944"/>
            <w:shd w:fill="E8EEF5"/>
            <w:tcMar>
              <w:top w:w="80" w:type="dxa"/>
              <w:start w:w="120" w:type="dxa"/>
              <w:bottom w:w="80" w:type="dxa"/>
              <w:end w:w="120" w:type="dxa"/>
            </w:tcMar>
            <w:vAlign w:val="center"/>
          </w:tcPr>
          <w:p>
            <w:r>
              <w:rPr>
                <w:rFonts w:ascii="Calibri" w:hAnsi="Calibri"/>
                <w:b/>
                <w:i w:val="0"/>
                <w:color w:val="0B2545"/>
                <w:sz w:val="18"/>
              </w:rPr>
              <w:t>Assurance area</w:t>
            </w:r>
          </w:p>
        </w:tc>
        <w:tc>
          <w:tcPr>
            <w:tcW w:type="dxa" w:w="3960"/>
            <w:shd w:fill="E8EEF5"/>
            <w:tcMar>
              <w:top w:w="80" w:type="dxa"/>
              <w:start w:w="120" w:type="dxa"/>
              <w:bottom w:w="80" w:type="dxa"/>
              <w:end w:w="120" w:type="dxa"/>
            </w:tcMar>
            <w:vAlign w:val="center"/>
          </w:tcPr>
          <w:p>
            <w:r>
              <w:rPr>
                <w:rFonts w:ascii="Calibri" w:hAnsi="Calibri"/>
                <w:b/>
                <w:i w:val="0"/>
                <w:color w:val="0B2545"/>
                <w:sz w:val="18"/>
              </w:rPr>
              <w:t>Host-safe presentation</w:t>
            </w:r>
          </w:p>
        </w:tc>
        <w:tc>
          <w:tcPr>
            <w:tcW w:type="dxa" w:w="3456"/>
            <w:shd w:fill="E8EEF5"/>
            <w:tcMar>
              <w:top w:w="80" w:type="dxa"/>
              <w:start w:w="120" w:type="dxa"/>
              <w:bottom w:w="80" w:type="dxa"/>
              <w:end w:w="120" w:type="dxa"/>
            </w:tcMar>
            <w:vAlign w:val="center"/>
          </w:tcPr>
          <w:p>
            <w:r>
              <w:rPr>
                <w:rFonts w:ascii="Calibri" w:hAnsi="Calibri"/>
                <w:b/>
                <w:i w:val="0"/>
                <w:color w:val="0B2545"/>
                <w:sz w:val="18"/>
              </w:rPr>
              <w:t>Boundary</w:t>
            </w:r>
          </w:p>
        </w:tc>
      </w:tr>
      <w:tr>
        <w:trPr>
          <w:cantSplit/>
        </w:trPr>
        <w:tc>
          <w:tcPr>
            <w:tcW w:type="dxa" w:w="1944"/>
            <w:tcMar>
              <w:top w:w="80" w:type="dxa"/>
              <w:start w:w="120" w:type="dxa"/>
              <w:bottom w:w="80" w:type="dxa"/>
              <w:end w:w="120" w:type="dxa"/>
            </w:tcMar>
            <w:vAlign w:val="top"/>
          </w:tcPr>
          <w:p>
            <w:pPr>
              <w:spacing w:after="0"/>
            </w:pPr>
            <w:r>
              <w:rPr>
                <w:rFonts w:ascii="Calibri" w:hAnsi="Calibri"/>
                <w:b w:val="0"/>
                <w:i w:val="0"/>
                <w:color w:val="1E2228"/>
                <w:sz w:val="17"/>
              </w:rPr>
              <w:t>Attendance</w:t>
            </w:r>
          </w:p>
        </w:tc>
        <w:tc>
          <w:tcPr>
            <w:tcW w:type="dxa" w:w="3960"/>
            <w:tcMar>
              <w:top w:w="80" w:type="dxa"/>
              <w:start w:w="120" w:type="dxa"/>
              <w:bottom w:w="80" w:type="dxa"/>
              <w:end w:w="120" w:type="dxa"/>
            </w:tcMar>
            <w:vAlign w:val="top"/>
          </w:tcPr>
          <w:p>
            <w:pPr>
              <w:spacing w:after="0"/>
            </w:pPr>
            <w:r>
              <w:rPr>
                <w:rFonts w:ascii="Calibri" w:hAnsi="Calibri"/>
                <w:b w:val="0"/>
                <w:i w:val="0"/>
                <w:color w:val="1E2228"/>
                <w:sz w:val="17"/>
              </w:rPr>
              <w:t>Invited people, response progress, low/expected/high outlook and approved provision.</w:t>
            </w:r>
          </w:p>
        </w:tc>
        <w:tc>
          <w:tcPr>
            <w:tcW w:type="dxa" w:w="3456"/>
            <w:tcMar>
              <w:top w:w="80" w:type="dxa"/>
              <w:start w:w="120" w:type="dxa"/>
              <w:bottom w:w="80" w:type="dxa"/>
              <w:end w:w="120" w:type="dxa"/>
            </w:tcMar>
            <w:vAlign w:val="top"/>
          </w:tcPr>
          <w:p>
            <w:pPr>
              <w:spacing w:after="0"/>
            </w:pPr>
            <w:r>
              <w:rPr>
                <w:rFonts w:ascii="Calibri" w:hAnsi="Calibri"/>
                <w:b w:val="0"/>
                <w:i w:val="0"/>
                <w:color w:val="1E2228"/>
                <w:sz w:val="17"/>
              </w:rPr>
              <w:t>No person-level probability; S04D remains authority.</w:t>
            </w:r>
          </w:p>
        </w:tc>
      </w:tr>
      <w:tr>
        <w:trPr>
          <w:cantSplit/>
        </w:trPr>
        <w:tc>
          <w:tcPr>
            <w:tcW w:type="dxa" w:w="1944"/>
            <w:tcMar>
              <w:top w:w="80" w:type="dxa"/>
              <w:start w:w="120" w:type="dxa"/>
              <w:bottom w:w="80" w:type="dxa"/>
              <w:end w:w="120" w:type="dxa"/>
            </w:tcMar>
            <w:vAlign w:val="top"/>
          </w:tcPr>
          <w:p>
            <w:pPr>
              <w:spacing w:after="0"/>
            </w:pPr>
            <w:r>
              <w:rPr>
                <w:rFonts w:ascii="Calibri" w:hAnsi="Calibri"/>
                <w:b w:val="0"/>
                <w:i w:val="0"/>
                <w:color w:val="1E2228"/>
                <w:sz w:val="17"/>
              </w:rPr>
              <w:t>Budget</w:t>
            </w:r>
          </w:p>
        </w:tc>
        <w:tc>
          <w:tcPr>
            <w:tcW w:type="dxa" w:w="3960"/>
            <w:tcMar>
              <w:top w:w="80" w:type="dxa"/>
              <w:start w:w="120" w:type="dxa"/>
              <w:bottom w:w="80" w:type="dxa"/>
              <w:end w:w="120" w:type="dxa"/>
            </w:tcMar>
            <w:vAlign w:val="top"/>
          </w:tcPr>
          <w:p>
            <w:pPr>
              <w:spacing w:after="0"/>
            </w:pPr>
            <w:r>
              <w:rPr>
                <w:rFonts w:ascii="Calibri" w:hAnsi="Calibri"/>
                <w:b w:val="0"/>
                <w:i w:val="0"/>
                <w:color w:val="1E2228"/>
                <w:sz w:val="17"/>
              </w:rPr>
              <w:t>Approved total, committed, paid/recorded, upcoming and contingency where authoritative.</w:t>
            </w:r>
          </w:p>
        </w:tc>
        <w:tc>
          <w:tcPr>
            <w:tcW w:type="dxa" w:w="3456"/>
            <w:tcMar>
              <w:top w:w="80" w:type="dxa"/>
              <w:start w:w="120" w:type="dxa"/>
              <w:bottom w:w="80" w:type="dxa"/>
              <w:end w:w="120" w:type="dxa"/>
            </w:tcMar>
            <w:vAlign w:val="top"/>
          </w:tcPr>
          <w:p>
            <w:pPr>
              <w:spacing w:after="0"/>
            </w:pPr>
            <w:r>
              <w:rPr>
                <w:rFonts w:ascii="Calibri" w:hAnsi="Calibri"/>
                <w:b w:val="0"/>
                <w:i w:val="0"/>
                <w:color w:val="1E2228"/>
                <w:sz w:val="17"/>
              </w:rPr>
              <w:t>No invented data, banking, invoice payment or new ledger.</w:t>
            </w:r>
          </w:p>
        </w:tc>
      </w:tr>
      <w:tr>
        <w:trPr>
          <w:cantSplit/>
        </w:trPr>
        <w:tc>
          <w:tcPr>
            <w:tcW w:type="dxa" w:w="1944"/>
            <w:tcMar>
              <w:top w:w="80" w:type="dxa"/>
              <w:start w:w="120" w:type="dxa"/>
              <w:bottom w:w="80" w:type="dxa"/>
              <w:end w:w="120" w:type="dxa"/>
            </w:tcMar>
            <w:vAlign w:val="top"/>
          </w:tcPr>
          <w:p>
            <w:pPr>
              <w:spacing w:after="0"/>
            </w:pPr>
            <w:r>
              <w:rPr>
                <w:rFonts w:ascii="Calibri" w:hAnsi="Calibri"/>
                <w:b w:val="0"/>
                <w:i w:val="0"/>
                <w:color w:val="1E2228"/>
                <w:sz w:val="17"/>
              </w:rPr>
              <w:t>Readiness</w:t>
            </w:r>
          </w:p>
        </w:tc>
        <w:tc>
          <w:tcPr>
            <w:tcW w:type="dxa" w:w="3960"/>
            <w:tcMar>
              <w:top w:w="80" w:type="dxa"/>
              <w:start w:w="120" w:type="dxa"/>
              <w:bottom w:w="80" w:type="dxa"/>
              <w:end w:w="120" w:type="dxa"/>
            </w:tcMar>
            <w:vAlign w:val="top"/>
          </w:tcPr>
          <w:p>
            <w:pPr>
              <w:spacing w:after="0"/>
            </w:pPr>
            <w:r>
              <w:rPr>
                <w:rFonts w:ascii="Calibri" w:hAnsi="Calibri"/>
                <w:b w:val="0"/>
                <w:i w:val="0"/>
                <w:color w:val="1E2228"/>
                <w:sz w:val="17"/>
              </w:rPr>
              <w:t>A few meaningful “settled / in hand / needs your decision” statements.</w:t>
            </w:r>
          </w:p>
        </w:tc>
        <w:tc>
          <w:tcPr>
            <w:tcW w:type="dxa" w:w="3456"/>
            <w:tcMar>
              <w:top w:w="80" w:type="dxa"/>
              <w:start w:w="120" w:type="dxa"/>
              <w:bottom w:w="80" w:type="dxa"/>
              <w:end w:w="120" w:type="dxa"/>
            </w:tcMar>
            <w:vAlign w:val="top"/>
          </w:tcPr>
          <w:p>
            <w:pPr>
              <w:spacing w:after="0"/>
            </w:pPr>
            <w:r>
              <w:rPr>
                <w:rFonts w:ascii="Calibri" w:hAnsi="Calibri"/>
                <w:b w:val="0"/>
                <w:i w:val="0"/>
                <w:color w:val="1E2228"/>
                <w:sz w:val="17"/>
              </w:rPr>
              <w:t>No aggregate score that hides critical exceptions.</w:t>
            </w:r>
          </w:p>
        </w:tc>
      </w:tr>
      <w:tr>
        <w:trPr>
          <w:cantSplit/>
        </w:trPr>
        <w:tc>
          <w:tcPr>
            <w:tcW w:type="dxa" w:w="1944"/>
            <w:tcMar>
              <w:top w:w="80" w:type="dxa"/>
              <w:start w:w="120" w:type="dxa"/>
              <w:bottom w:w="80" w:type="dxa"/>
              <w:end w:w="120" w:type="dxa"/>
            </w:tcMar>
            <w:vAlign w:val="top"/>
          </w:tcPr>
          <w:p>
            <w:pPr>
              <w:spacing w:after="0"/>
            </w:pPr>
            <w:r>
              <w:rPr>
                <w:rFonts w:ascii="Calibri" w:hAnsi="Calibri"/>
                <w:b w:val="0"/>
                <w:i w:val="0"/>
                <w:color w:val="1E2228"/>
                <w:sz w:val="17"/>
              </w:rPr>
              <w:t>Contingency</w:t>
            </w:r>
          </w:p>
        </w:tc>
        <w:tc>
          <w:tcPr>
            <w:tcW w:type="dxa" w:w="3960"/>
            <w:tcMar>
              <w:top w:w="80" w:type="dxa"/>
              <w:start w:w="120" w:type="dxa"/>
              <w:bottom w:w="80" w:type="dxa"/>
              <w:end w:w="120" w:type="dxa"/>
            </w:tcMar>
            <w:vAlign w:val="top"/>
          </w:tcPr>
          <w:p>
            <w:pPr>
              <w:spacing w:after="0"/>
            </w:pPr>
            <w:r>
              <w:rPr>
                <w:rFonts w:ascii="Calibri" w:hAnsi="Calibri"/>
                <w:b w:val="0"/>
                <w:i w:val="0"/>
                <w:color w:val="1E2228"/>
                <w:sz w:val="17"/>
              </w:rPr>
              <w:t>“A rain alternative is secured” or material action required.</w:t>
            </w:r>
          </w:p>
        </w:tc>
        <w:tc>
          <w:tcPr>
            <w:tcW w:type="dxa" w:w="3456"/>
            <w:tcMar>
              <w:top w:w="80" w:type="dxa"/>
              <w:start w:w="120" w:type="dxa"/>
              <w:bottom w:w="80" w:type="dxa"/>
              <w:end w:w="120" w:type="dxa"/>
            </w:tcMar>
            <w:vAlign w:val="top"/>
          </w:tcPr>
          <w:p>
            <w:pPr>
              <w:spacing w:after="0"/>
            </w:pPr>
            <w:r>
              <w:rPr>
                <w:rFonts w:ascii="Calibri" w:hAnsi="Calibri"/>
                <w:b w:val="0"/>
                <w:i w:val="0"/>
                <w:color w:val="1E2228"/>
                <w:sz w:val="17"/>
              </w:rPr>
              <w:t>No raw likelihood/impact matrix or security-sensitive plan.</w:t>
            </w:r>
          </w:p>
        </w:tc>
      </w:tr>
      <w:tr>
        <w:trPr>
          <w:cantSplit/>
        </w:trPr>
        <w:tc>
          <w:tcPr>
            <w:tcW w:type="dxa" w:w="1944"/>
            <w:tcMar>
              <w:top w:w="80" w:type="dxa"/>
              <w:start w:w="120" w:type="dxa"/>
              <w:bottom w:w="80" w:type="dxa"/>
              <w:end w:w="120" w:type="dxa"/>
            </w:tcMar>
            <w:vAlign w:val="top"/>
          </w:tcPr>
          <w:p>
            <w:pPr>
              <w:spacing w:after="0"/>
            </w:pPr>
            <w:r>
              <w:rPr>
                <w:rFonts w:ascii="Calibri" w:hAnsi="Calibri"/>
                <w:b w:val="0"/>
                <w:i w:val="0"/>
                <w:color w:val="1E2228"/>
                <w:sz w:val="17"/>
              </w:rPr>
              <w:t>Guest experience</w:t>
            </w:r>
          </w:p>
        </w:tc>
        <w:tc>
          <w:tcPr>
            <w:tcW w:type="dxa" w:w="3960"/>
            <w:tcMar>
              <w:top w:w="80" w:type="dxa"/>
              <w:start w:w="120" w:type="dxa"/>
              <w:bottom w:w="80" w:type="dxa"/>
              <w:end w:w="120" w:type="dxa"/>
            </w:tcMar>
            <w:vAlign w:val="top"/>
          </w:tcPr>
          <w:p>
            <w:pPr>
              <w:spacing w:after="0"/>
            </w:pPr>
            <w:r>
              <w:rPr>
                <w:rFonts w:ascii="Calibri" w:hAnsi="Calibri"/>
                <w:b w:val="0"/>
                <w:i w:val="0"/>
                <w:color w:val="1E2228"/>
                <w:sz w:val="17"/>
              </w:rPr>
              <w:t>Curated RSVP, special-experience and journey assurance.</w:t>
            </w:r>
          </w:p>
        </w:tc>
        <w:tc>
          <w:tcPr>
            <w:tcW w:type="dxa" w:w="3456"/>
            <w:tcMar>
              <w:top w:w="80" w:type="dxa"/>
              <w:start w:w="120" w:type="dxa"/>
              <w:bottom w:w="80" w:type="dxa"/>
              <w:end w:w="120" w:type="dxa"/>
            </w:tcMar>
            <w:vAlign w:val="top"/>
          </w:tcPr>
          <w:p>
            <w:pPr>
              <w:spacing w:after="0"/>
            </w:pPr>
            <w:r>
              <w:rPr>
                <w:rFonts w:ascii="Calibri" w:hAnsi="Calibri"/>
                <w:b w:val="0"/>
                <w:i w:val="0"/>
                <w:color w:val="1E2228"/>
                <w:sz w:val="17"/>
              </w:rPr>
              <w:t>No private adult choices, health detail or child data beyond purpose.</w:t>
            </w:r>
          </w:p>
        </w:tc>
      </w:tr>
    </w:tbl>
    <w:p>
      <w:pPr>
        <w:spacing w:after="20"/>
      </w:pPr>
    </w:p>
    <w:p>
      <w:pPr>
        <w:pStyle w:val="Heading2"/>
      </w:pPr>
      <w:r>
        <w:t>8.1 Budget chapter availability</w:t>
      </w:r>
    </w:p>
    <w:p>
      <w:r>
        <w:t>The Budget chapter appears only when a separately accepted canonical budget contract exists and the host grant permits it. Until then, S04E must not create numbers or use uploaded documents as silent financial truth. “Not configured” is preferable to false reassurance.</w:t>
      </w:r>
    </w:p>
    <w:p>
      <w:pPr>
        <w:pStyle w:val="Heading1"/>
      </w:pPr>
      <w:r>
        <w:t>9. Our Ensemble: people and partners</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4608"/>
            <w:shd w:fill="E8EEF5"/>
            <w:tcMar>
              <w:top w:w="80" w:type="dxa"/>
              <w:start w:w="120" w:type="dxa"/>
              <w:bottom w:w="80" w:type="dxa"/>
              <w:end w:w="120" w:type="dxa"/>
            </w:tcMar>
            <w:vAlign w:val="center"/>
          </w:tcPr>
          <w:p>
            <w:r>
              <w:rPr>
                <w:rFonts w:ascii="Calibri" w:hAnsi="Calibri"/>
                <w:b/>
                <w:i w:val="0"/>
                <w:color w:val="0B2545"/>
                <w:sz w:val="18"/>
              </w:rPr>
              <w:t>Visible by default</w:t>
            </w:r>
          </w:p>
        </w:tc>
        <w:tc>
          <w:tcPr>
            <w:tcW w:type="dxa" w:w="4752"/>
            <w:shd w:fill="E8EEF5"/>
            <w:tcMar>
              <w:top w:w="80" w:type="dxa"/>
              <w:start w:w="120" w:type="dxa"/>
              <w:bottom w:w="80" w:type="dxa"/>
              <w:end w:w="120" w:type="dxa"/>
            </w:tcMar>
            <w:vAlign w:val="center"/>
          </w:tcPr>
          <w:p>
            <w:r>
              <w:rPr>
                <w:rFonts w:ascii="Calibri" w:hAnsi="Calibri"/>
                <w:b/>
                <w:i w:val="0"/>
                <w:color w:val="0B2545"/>
                <w:sz w:val="18"/>
              </w:rPr>
              <w:t>Protected from the host surface</w:t>
            </w:r>
          </w:p>
        </w:tc>
      </w:tr>
      <w:tr>
        <w:trPr>
          <w:cantSplit/>
        </w:trPr>
        <w:tc>
          <w:tcPr>
            <w:tcW w:type="dxa" w:w="4608"/>
            <w:tcMar>
              <w:top w:w="80" w:type="dxa"/>
              <w:start w:w="120" w:type="dxa"/>
              <w:bottom w:w="80" w:type="dxa"/>
              <w:end w:w="120" w:type="dxa"/>
            </w:tcMar>
            <w:vAlign w:val="top"/>
          </w:tcPr>
          <w:p>
            <w:pPr>
              <w:spacing w:after="0"/>
            </w:pPr>
            <w:r>
              <w:rPr>
                <w:rFonts w:ascii="Calibri" w:hAnsi="Calibri"/>
                <w:b w:val="0"/>
                <w:i w:val="0"/>
                <w:color w:val="1E2228"/>
                <w:sz w:val="17"/>
              </w:rPr>
              <w:t>Maison Doclar liaison and relevant host-facing leads</w:t>
            </w:r>
          </w:p>
        </w:tc>
        <w:tc>
          <w:tcPr>
            <w:tcW w:type="dxa" w:w="4752"/>
            <w:tcMar>
              <w:top w:w="80" w:type="dxa"/>
              <w:start w:w="120" w:type="dxa"/>
              <w:bottom w:w="80" w:type="dxa"/>
              <w:end w:w="120" w:type="dxa"/>
            </w:tcMar>
            <w:vAlign w:val="top"/>
          </w:tcPr>
          <w:p>
            <w:pPr>
              <w:spacing w:after="0"/>
            </w:pPr>
            <w:r>
              <w:rPr>
                <w:rFonts w:ascii="Calibri" w:hAnsi="Calibri"/>
                <w:b w:val="0"/>
                <w:i w:val="0"/>
                <w:color w:val="1E2228"/>
                <w:sz w:val="17"/>
              </w:rPr>
              <w:t>Internal staffing gaps, performance commentary and HR detail</w:t>
            </w:r>
          </w:p>
        </w:tc>
      </w:tr>
      <w:tr>
        <w:trPr>
          <w:cantSplit/>
        </w:trPr>
        <w:tc>
          <w:tcPr>
            <w:tcW w:type="dxa" w:w="4608"/>
            <w:tcMar>
              <w:top w:w="80" w:type="dxa"/>
              <w:start w:w="120" w:type="dxa"/>
              <w:bottom w:w="80" w:type="dxa"/>
              <w:end w:w="120" w:type="dxa"/>
            </w:tcMar>
            <w:vAlign w:val="top"/>
          </w:tcPr>
          <w:p>
            <w:pPr>
              <w:spacing w:after="0"/>
            </w:pPr>
            <w:r>
              <w:rPr>
                <w:rFonts w:ascii="Calibri" w:hAnsi="Calibri"/>
                <w:b w:val="0"/>
                <w:i w:val="0"/>
                <w:color w:val="1E2228"/>
                <w:sz w:val="17"/>
              </w:rPr>
              <w:t>Selected vendor name, service and approved portrait/mark</w:t>
            </w:r>
          </w:p>
        </w:tc>
        <w:tc>
          <w:tcPr>
            <w:tcW w:type="dxa" w:w="4752"/>
            <w:tcMar>
              <w:top w:w="80" w:type="dxa"/>
              <w:start w:w="120" w:type="dxa"/>
              <w:bottom w:w="80" w:type="dxa"/>
              <w:end w:w="120" w:type="dxa"/>
            </w:tcMar>
            <w:vAlign w:val="top"/>
          </w:tcPr>
          <w:p>
            <w:pPr>
              <w:spacing w:after="0"/>
            </w:pPr>
            <w:r>
              <w:rPr>
                <w:rFonts w:ascii="Calibri" w:hAnsi="Calibri"/>
                <w:b w:val="0"/>
                <w:i w:val="0"/>
                <w:color w:val="1E2228"/>
                <w:sz w:val="17"/>
              </w:rPr>
              <w:t>Banking, price negotiation, margins and contract clauses</w:t>
            </w:r>
          </w:p>
        </w:tc>
      </w:tr>
      <w:tr>
        <w:trPr>
          <w:cantSplit/>
        </w:trPr>
        <w:tc>
          <w:tcPr>
            <w:tcW w:type="dxa" w:w="4608"/>
            <w:tcMar>
              <w:top w:w="80" w:type="dxa"/>
              <w:start w:w="120" w:type="dxa"/>
              <w:bottom w:w="80" w:type="dxa"/>
              <w:end w:w="120" w:type="dxa"/>
            </w:tcMar>
            <w:vAlign w:val="top"/>
          </w:tcPr>
          <w:p>
            <w:pPr>
              <w:spacing w:after="0"/>
            </w:pPr>
            <w:r>
              <w:rPr>
                <w:rFonts w:ascii="Calibri" w:hAnsi="Calibri"/>
                <w:b w:val="0"/>
                <w:i w:val="0"/>
                <w:color w:val="1E2228"/>
                <w:sz w:val="17"/>
              </w:rPr>
              <w:t>Verified milestone or carefully attributed vendor-reported status</w:t>
            </w:r>
          </w:p>
        </w:tc>
        <w:tc>
          <w:tcPr>
            <w:tcW w:type="dxa" w:w="4752"/>
            <w:tcMar>
              <w:top w:w="80" w:type="dxa"/>
              <w:start w:w="120" w:type="dxa"/>
              <w:bottom w:w="80" w:type="dxa"/>
              <w:end w:w="120" w:type="dxa"/>
            </w:tcMar>
            <w:vAlign w:val="top"/>
          </w:tcPr>
          <w:p>
            <w:pPr>
              <w:spacing w:after="0"/>
            </w:pPr>
            <w:r>
              <w:rPr>
                <w:rFonts w:ascii="Calibri" w:hAnsi="Calibri"/>
                <w:b w:val="0"/>
                <w:i w:val="0"/>
                <w:color w:val="1E2228"/>
                <w:sz w:val="17"/>
              </w:rPr>
              <w:t>Unverified allegations and raw portal submissions</w:t>
            </w:r>
          </w:p>
        </w:tc>
      </w:tr>
      <w:tr>
        <w:trPr>
          <w:cantSplit/>
        </w:trPr>
        <w:tc>
          <w:tcPr>
            <w:tcW w:type="dxa" w:w="4608"/>
            <w:tcMar>
              <w:top w:w="80" w:type="dxa"/>
              <w:start w:w="120" w:type="dxa"/>
              <w:bottom w:w="80" w:type="dxa"/>
              <w:end w:w="120" w:type="dxa"/>
            </w:tcMar>
            <w:vAlign w:val="top"/>
          </w:tcPr>
          <w:p>
            <w:pPr>
              <w:spacing w:after="0"/>
            </w:pPr>
            <w:r>
              <w:rPr>
                <w:rFonts w:ascii="Calibri" w:hAnsi="Calibri"/>
                <w:b w:val="0"/>
                <w:i w:val="0"/>
                <w:color w:val="1E2228"/>
                <w:sz w:val="17"/>
              </w:rPr>
              <w:t>Host-facing appointment or deliverable date</w:t>
            </w:r>
          </w:p>
        </w:tc>
        <w:tc>
          <w:tcPr>
            <w:tcW w:type="dxa" w:w="4752"/>
            <w:tcMar>
              <w:top w:w="80" w:type="dxa"/>
              <w:start w:w="120" w:type="dxa"/>
              <w:bottom w:w="80" w:type="dxa"/>
              <w:end w:w="120" w:type="dxa"/>
            </w:tcMar>
            <w:vAlign w:val="top"/>
          </w:tcPr>
          <w:p>
            <w:pPr>
              <w:spacing w:after="0"/>
            </w:pPr>
            <w:r>
              <w:rPr>
                <w:rFonts w:ascii="Calibri" w:hAnsi="Calibri"/>
                <w:b w:val="0"/>
                <w:i w:val="0"/>
                <w:color w:val="1E2228"/>
                <w:sz w:val="17"/>
              </w:rPr>
              <w:t>Internal call times and other clients’ schedules</w:t>
            </w:r>
          </w:p>
        </w:tc>
      </w:tr>
      <w:tr>
        <w:trPr>
          <w:cantSplit/>
        </w:trPr>
        <w:tc>
          <w:tcPr>
            <w:tcW w:type="dxa" w:w="4608"/>
            <w:tcMar>
              <w:top w:w="80" w:type="dxa"/>
              <w:start w:w="120" w:type="dxa"/>
              <w:bottom w:w="80" w:type="dxa"/>
              <w:end w:w="120" w:type="dxa"/>
            </w:tcMar>
            <w:vAlign w:val="top"/>
          </w:tcPr>
          <w:p>
            <w:pPr>
              <w:spacing w:after="0"/>
            </w:pPr>
            <w:r>
              <w:rPr>
                <w:rFonts w:ascii="Calibri" w:hAnsi="Calibri"/>
                <w:b w:val="0"/>
                <w:i w:val="0"/>
                <w:color w:val="1E2228"/>
                <w:sz w:val="17"/>
              </w:rPr>
              <w:t>Approved day-of contact where needed</w:t>
            </w:r>
          </w:p>
        </w:tc>
        <w:tc>
          <w:tcPr>
            <w:tcW w:type="dxa" w:w="4752"/>
            <w:tcMar>
              <w:top w:w="80" w:type="dxa"/>
              <w:start w:w="120" w:type="dxa"/>
              <w:bottom w:w="80" w:type="dxa"/>
              <w:end w:w="120" w:type="dxa"/>
            </w:tcMar>
            <w:vAlign w:val="top"/>
          </w:tcPr>
          <w:p>
            <w:pPr>
              <w:spacing w:after="0"/>
            </w:pPr>
            <w:r>
              <w:rPr>
                <w:rFonts w:ascii="Calibri" w:hAnsi="Calibri"/>
                <w:b w:val="0"/>
                <w:i w:val="0"/>
                <w:color w:val="1E2228"/>
                <w:sz w:val="17"/>
              </w:rPr>
              <w:t>Personal numbers without consent and security command contacts</w:t>
            </w:r>
          </w:p>
        </w:tc>
      </w:tr>
    </w:tbl>
    <w:p>
      <w:pPr>
        <w:spacing w:after="20"/>
      </w:pPr>
    </w:p>
    <w:p>
      <w:pPr>
        <w:pStyle w:val="Heading2"/>
      </w:pPr>
      <w:r>
        <w:t>9.1 Ensemble rather than directory</w:t>
      </w:r>
    </w:p>
    <w:p>
      <w:r>
        <w:t>The chapter introduces the people bringing the event to life as a curated ensemble, not a vendor database. Service, responsibility and verification matter more than commercial administration.</w:t>
      </w:r>
    </w:p>
    <w:p>
      <w:pPr>
        <w:pStyle w:val="Heading1"/>
      </w:pPr>
      <w:r>
        <w:t>10. Decisions, approvals and conversations</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2232"/>
            <w:shd w:fill="E8EEF5"/>
            <w:tcMar>
              <w:top w:w="80" w:type="dxa"/>
              <w:start w:w="120" w:type="dxa"/>
              <w:bottom w:w="80" w:type="dxa"/>
              <w:end w:w="120" w:type="dxa"/>
            </w:tcMar>
            <w:vAlign w:val="center"/>
          </w:tcPr>
          <w:p>
            <w:r>
              <w:rPr>
                <w:rFonts w:ascii="Calibri" w:hAnsi="Calibri"/>
                <w:b/>
                <w:i w:val="0"/>
                <w:color w:val="0B2545"/>
                <w:sz w:val="18"/>
              </w:rPr>
              <w:t>Decision element</w:t>
            </w:r>
          </w:p>
        </w:tc>
        <w:tc>
          <w:tcPr>
            <w:tcW w:type="dxa" w:w="7128"/>
            <w:shd w:fill="E8EEF5"/>
            <w:tcMar>
              <w:top w:w="80" w:type="dxa"/>
              <w:start w:w="120" w:type="dxa"/>
              <w:bottom w:w="80" w:type="dxa"/>
              <w:end w:w="120" w:type="dxa"/>
            </w:tcMar>
            <w:vAlign w:val="center"/>
          </w:tcPr>
          <w:p>
            <w:r>
              <w:rPr>
                <w:rFonts w:ascii="Calibri" w:hAnsi="Calibri"/>
                <w:b/>
                <w:i w:val="0"/>
                <w:color w:val="0B2545"/>
                <w:sz w:val="18"/>
              </w:rPr>
              <w:t>Required presentation</w:t>
            </w:r>
          </w:p>
        </w:tc>
      </w:tr>
      <w:tr>
        <w:trPr>
          <w:cantSplit/>
        </w:trPr>
        <w:tc>
          <w:tcPr>
            <w:tcW w:type="dxa" w:w="2232"/>
            <w:tcMar>
              <w:top w:w="80" w:type="dxa"/>
              <w:start w:w="120" w:type="dxa"/>
              <w:bottom w:w="80" w:type="dxa"/>
              <w:end w:w="120" w:type="dxa"/>
            </w:tcMar>
            <w:vAlign w:val="top"/>
          </w:tcPr>
          <w:p>
            <w:pPr>
              <w:spacing w:after="0"/>
            </w:pPr>
            <w:r>
              <w:rPr>
                <w:rFonts w:ascii="Calibri" w:hAnsi="Calibri"/>
                <w:b w:val="0"/>
                <w:i w:val="0"/>
                <w:color w:val="1E2228"/>
                <w:sz w:val="17"/>
              </w:rPr>
              <w:t>The question</w:t>
            </w:r>
          </w:p>
        </w:tc>
        <w:tc>
          <w:tcPr>
            <w:tcW w:type="dxa" w:w="7128"/>
            <w:tcMar>
              <w:top w:w="80" w:type="dxa"/>
              <w:start w:w="120" w:type="dxa"/>
              <w:bottom w:w="80" w:type="dxa"/>
              <w:end w:w="120" w:type="dxa"/>
            </w:tcMar>
            <w:vAlign w:val="top"/>
          </w:tcPr>
          <w:p>
            <w:pPr>
              <w:spacing w:after="0"/>
            </w:pPr>
            <w:r>
              <w:rPr>
                <w:rFonts w:ascii="Calibri" w:hAnsi="Calibri"/>
                <w:b w:val="0"/>
                <w:i w:val="0"/>
                <w:color w:val="1E2228"/>
                <w:sz w:val="17"/>
              </w:rPr>
              <w:t>One plain-language choice, never several approvals bundled together.</w:t>
            </w:r>
          </w:p>
        </w:tc>
      </w:tr>
      <w:tr>
        <w:trPr>
          <w:cantSplit/>
        </w:trPr>
        <w:tc>
          <w:tcPr>
            <w:tcW w:type="dxa" w:w="2232"/>
            <w:tcMar>
              <w:top w:w="80" w:type="dxa"/>
              <w:start w:w="120" w:type="dxa"/>
              <w:bottom w:w="80" w:type="dxa"/>
              <w:end w:w="120" w:type="dxa"/>
            </w:tcMar>
            <w:vAlign w:val="top"/>
          </w:tcPr>
          <w:p>
            <w:pPr>
              <w:spacing w:after="0"/>
            </w:pPr>
            <w:r>
              <w:rPr>
                <w:rFonts w:ascii="Calibri" w:hAnsi="Calibri"/>
                <w:b w:val="0"/>
                <w:i w:val="0"/>
                <w:color w:val="1E2228"/>
                <w:sz w:val="17"/>
              </w:rPr>
              <w:t>Maison Doclar view</w:t>
            </w:r>
          </w:p>
        </w:tc>
        <w:tc>
          <w:tcPr>
            <w:tcW w:type="dxa" w:w="7128"/>
            <w:tcMar>
              <w:top w:w="80" w:type="dxa"/>
              <w:start w:w="120" w:type="dxa"/>
              <w:bottom w:w="80" w:type="dxa"/>
              <w:end w:w="120" w:type="dxa"/>
            </w:tcMar>
            <w:vAlign w:val="top"/>
          </w:tcPr>
          <w:p>
            <w:pPr>
              <w:spacing w:after="0"/>
            </w:pPr>
            <w:r>
              <w:rPr>
                <w:rFonts w:ascii="Calibri" w:hAnsi="Calibri"/>
                <w:b w:val="0"/>
                <w:i w:val="0"/>
                <w:color w:val="1E2228"/>
                <w:sz w:val="17"/>
              </w:rPr>
              <w:t>A concise recommendation and why it protects the event intent.</w:t>
            </w:r>
          </w:p>
        </w:tc>
      </w:tr>
      <w:tr>
        <w:trPr>
          <w:cantSplit/>
        </w:trPr>
        <w:tc>
          <w:tcPr>
            <w:tcW w:type="dxa" w:w="2232"/>
            <w:tcMar>
              <w:top w:w="80" w:type="dxa"/>
              <w:start w:w="120" w:type="dxa"/>
              <w:bottom w:w="80" w:type="dxa"/>
              <w:end w:w="120" w:type="dxa"/>
            </w:tcMar>
            <w:vAlign w:val="top"/>
          </w:tcPr>
          <w:p>
            <w:pPr>
              <w:spacing w:after="0"/>
            </w:pPr>
            <w:r>
              <w:rPr>
                <w:rFonts w:ascii="Calibri" w:hAnsi="Calibri"/>
                <w:b w:val="0"/>
                <w:i w:val="0"/>
                <w:color w:val="1E2228"/>
                <w:sz w:val="17"/>
              </w:rPr>
              <w:t>Options</w:t>
            </w:r>
          </w:p>
        </w:tc>
        <w:tc>
          <w:tcPr>
            <w:tcW w:type="dxa" w:w="7128"/>
            <w:tcMar>
              <w:top w:w="80" w:type="dxa"/>
              <w:start w:w="120" w:type="dxa"/>
              <w:bottom w:w="80" w:type="dxa"/>
              <w:end w:w="120" w:type="dxa"/>
            </w:tcMar>
            <w:vAlign w:val="top"/>
          </w:tcPr>
          <w:p>
            <w:pPr>
              <w:spacing w:after="0"/>
            </w:pPr>
            <w:r>
              <w:rPr>
                <w:rFonts w:ascii="Calibri" w:hAnsi="Calibri"/>
                <w:b w:val="0"/>
                <w:i w:val="0"/>
                <w:color w:val="1E2228"/>
                <w:sz w:val="17"/>
              </w:rPr>
              <w:t>Real alternatives with guest, schedule and budget consequences where authorised.</w:t>
            </w:r>
          </w:p>
        </w:tc>
      </w:tr>
      <w:tr>
        <w:trPr>
          <w:cantSplit/>
        </w:trPr>
        <w:tc>
          <w:tcPr>
            <w:tcW w:type="dxa" w:w="2232"/>
            <w:tcMar>
              <w:top w:w="80" w:type="dxa"/>
              <w:start w:w="120" w:type="dxa"/>
              <w:bottom w:w="80" w:type="dxa"/>
              <w:end w:w="120" w:type="dxa"/>
            </w:tcMar>
            <w:vAlign w:val="top"/>
          </w:tcPr>
          <w:p>
            <w:pPr>
              <w:spacing w:after="0"/>
            </w:pPr>
            <w:r>
              <w:rPr>
                <w:rFonts w:ascii="Calibri" w:hAnsi="Calibri"/>
                <w:b w:val="0"/>
                <w:i w:val="0"/>
                <w:color w:val="1E2228"/>
                <w:sz w:val="17"/>
              </w:rPr>
              <w:t>Authority</w:t>
            </w:r>
          </w:p>
        </w:tc>
        <w:tc>
          <w:tcPr>
            <w:tcW w:type="dxa" w:w="7128"/>
            <w:tcMar>
              <w:top w:w="80" w:type="dxa"/>
              <w:start w:w="120" w:type="dxa"/>
              <w:bottom w:w="80" w:type="dxa"/>
              <w:end w:w="120" w:type="dxa"/>
            </w:tcMar>
            <w:vAlign w:val="top"/>
          </w:tcPr>
          <w:p>
            <w:pPr>
              <w:spacing w:after="0"/>
            </w:pPr>
            <w:r>
              <w:rPr>
                <w:rFonts w:ascii="Calibri" w:hAnsi="Calibri"/>
                <w:b w:val="0"/>
                <w:i w:val="0"/>
                <w:color w:val="1E2228"/>
                <w:sz w:val="17"/>
              </w:rPr>
              <w:t>Why this host may decide; joint or delegated authority where applicable.</w:t>
            </w:r>
          </w:p>
        </w:tc>
      </w:tr>
      <w:tr>
        <w:trPr>
          <w:cantSplit/>
        </w:trPr>
        <w:tc>
          <w:tcPr>
            <w:tcW w:type="dxa" w:w="2232"/>
            <w:tcMar>
              <w:top w:w="80" w:type="dxa"/>
              <w:start w:w="120" w:type="dxa"/>
              <w:bottom w:w="80" w:type="dxa"/>
              <w:end w:w="120" w:type="dxa"/>
            </w:tcMar>
            <w:vAlign w:val="top"/>
          </w:tcPr>
          <w:p>
            <w:pPr>
              <w:spacing w:after="0"/>
            </w:pPr>
            <w:r>
              <w:rPr>
                <w:rFonts w:ascii="Calibri" w:hAnsi="Calibri"/>
                <w:b w:val="0"/>
                <w:i w:val="0"/>
                <w:color w:val="1E2228"/>
                <w:sz w:val="17"/>
              </w:rPr>
              <w:t>Timing</w:t>
            </w:r>
          </w:p>
        </w:tc>
        <w:tc>
          <w:tcPr>
            <w:tcW w:type="dxa" w:w="7128"/>
            <w:tcMar>
              <w:top w:w="80" w:type="dxa"/>
              <w:start w:w="120" w:type="dxa"/>
              <w:bottom w:w="80" w:type="dxa"/>
              <w:end w:w="120" w:type="dxa"/>
            </w:tcMar>
            <w:vAlign w:val="top"/>
          </w:tcPr>
          <w:p>
            <w:pPr>
              <w:spacing w:after="0"/>
            </w:pPr>
            <w:r>
              <w:rPr>
                <w:rFonts w:ascii="Calibri" w:hAnsi="Calibri"/>
                <w:b w:val="0"/>
                <w:i w:val="0"/>
                <w:color w:val="1E2228"/>
                <w:sz w:val="17"/>
              </w:rPr>
              <w:t>Decision date and truthful consequence of delay.</w:t>
            </w:r>
          </w:p>
        </w:tc>
      </w:tr>
      <w:tr>
        <w:trPr>
          <w:cantSplit/>
        </w:trPr>
        <w:tc>
          <w:tcPr>
            <w:tcW w:type="dxa" w:w="2232"/>
            <w:tcMar>
              <w:top w:w="80" w:type="dxa"/>
              <w:start w:w="120" w:type="dxa"/>
              <w:bottom w:w="80" w:type="dxa"/>
              <w:end w:w="120" w:type="dxa"/>
            </w:tcMar>
            <w:vAlign w:val="top"/>
          </w:tcPr>
          <w:p>
            <w:pPr>
              <w:spacing w:after="0"/>
            </w:pPr>
            <w:r>
              <w:rPr>
                <w:rFonts w:ascii="Calibri" w:hAnsi="Calibri"/>
                <w:b w:val="0"/>
                <w:i w:val="0"/>
                <w:color w:val="1E2228"/>
                <w:sz w:val="17"/>
              </w:rPr>
              <w:t>Action</w:t>
            </w:r>
          </w:p>
        </w:tc>
        <w:tc>
          <w:tcPr>
            <w:tcW w:type="dxa" w:w="7128"/>
            <w:tcMar>
              <w:top w:w="80" w:type="dxa"/>
              <w:start w:w="120" w:type="dxa"/>
              <w:bottom w:w="80" w:type="dxa"/>
              <w:end w:w="120" w:type="dxa"/>
            </w:tcMar>
            <w:vAlign w:val="top"/>
          </w:tcPr>
          <w:p>
            <w:pPr>
              <w:spacing w:after="0"/>
            </w:pPr>
            <w:r>
              <w:rPr>
                <w:rFonts w:ascii="Calibri" w:hAnsi="Calibri"/>
                <w:b w:val="0"/>
                <w:i w:val="0"/>
                <w:color w:val="1E2228"/>
                <w:sz w:val="17"/>
              </w:rPr>
              <w:t>Approve, choose, decline or request a conversation; step-up when sensitive.</w:t>
            </w:r>
          </w:p>
        </w:tc>
      </w:tr>
      <w:tr>
        <w:trPr>
          <w:cantSplit/>
        </w:trPr>
        <w:tc>
          <w:tcPr>
            <w:tcW w:type="dxa" w:w="2232"/>
            <w:tcMar>
              <w:top w:w="80" w:type="dxa"/>
              <w:start w:w="120" w:type="dxa"/>
              <w:bottom w:w="80" w:type="dxa"/>
              <w:end w:w="120" w:type="dxa"/>
            </w:tcMar>
            <w:vAlign w:val="top"/>
          </w:tcPr>
          <w:p>
            <w:pPr>
              <w:spacing w:after="0"/>
            </w:pPr>
            <w:r>
              <w:rPr>
                <w:rFonts w:ascii="Calibri" w:hAnsi="Calibri"/>
                <w:b w:val="0"/>
                <w:i w:val="0"/>
                <w:color w:val="1E2228"/>
                <w:sz w:val="17"/>
              </w:rPr>
              <w:t>Receipt</w:t>
            </w:r>
          </w:p>
        </w:tc>
        <w:tc>
          <w:tcPr>
            <w:tcW w:type="dxa" w:w="7128"/>
            <w:tcMar>
              <w:top w:w="80" w:type="dxa"/>
              <w:start w:w="120" w:type="dxa"/>
              <w:bottom w:w="80" w:type="dxa"/>
              <w:end w:w="120" w:type="dxa"/>
            </w:tcMar>
            <w:vAlign w:val="top"/>
          </w:tcPr>
          <w:p>
            <w:pPr>
              <w:spacing w:after="0"/>
            </w:pPr>
            <w:r>
              <w:rPr>
                <w:rFonts w:ascii="Calibri" w:hAnsi="Calibri"/>
                <w:b w:val="0"/>
                <w:i w:val="0"/>
                <w:color w:val="1E2228"/>
                <w:sz w:val="17"/>
              </w:rPr>
              <w:t>Immutable actor, edition, decision, reason/comment, time and correlation.</w:t>
            </w:r>
          </w:p>
        </w:tc>
      </w:tr>
    </w:tbl>
    <w:p>
      <w:pPr>
        <w:spacing w:after="20"/>
      </w:pPr>
    </w:p>
    <w:p>
      <w:pPr>
        <w:pStyle w:val="Heading2"/>
      </w:pPr>
      <w:r>
        <w:t>10.1 A conversation is a governed outcome</w:t>
      </w:r>
    </w:p>
    <w:p>
      <w:r>
        <w:t>“Talk this through” creates a contextual Maison Doclar request with the current decision edition attached. It does not open a generic chat window or expose internal staff threads.</w:t>
      </w:r>
    </w:p>
    <w:p>
      <w:pPr>
        <w:pStyle w:val="Heading2"/>
      </w:pPr>
      <w:r>
        <w:t>10.2 Forbidden host actions</w:t>
      </w:r>
    </w:p>
    <w:p>
      <w:pPr>
        <w:pStyle w:val="ListBullet"/>
      </w:pPr>
      <w:r>
        <w:t>Assign staff, alter operational tasks, close incidents or direct vendors.</w:t>
      </w:r>
    </w:p>
    <w:p>
      <w:pPr>
        <w:pStyle w:val="ListBullet"/>
      </w:pPr>
      <w:r>
        <w:t>Edit another adult guest’s RSVP, preferences or protected details.</w:t>
      </w:r>
    </w:p>
    <w:p>
      <w:pPr>
        <w:pStyle w:val="ListBullet"/>
      </w:pPr>
      <w:r>
        <w:t>Change forecast parameters, verify vendor evidence or overwrite programme truth.</w:t>
      </w:r>
    </w:p>
    <w:p>
      <w:pPr>
        <w:pStyle w:val="ListBullet"/>
      </w:pPr>
      <w:r>
        <w:t>Send campaigns, invoke providers, sign protected gates or bypass maker/checker authority.</w:t>
      </w:r>
    </w:p>
    <w:p>
      <w:pPr>
        <w:pStyle w:val="Heading1"/>
      </w:pPr>
      <w:r>
        <w:t>11. Editions, assets and structured updates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cantSplit/>
        </w:trPr>
        <w:tc>
          <w:tcPr>
            <w:tcW w:type="dxa" w:w="2088"/>
            <w:shd w:fill="E8EEF5"/>
            <w:tcMar>
              <w:top w:w="80" w:type="dxa"/>
              <w:start w:w="120" w:type="dxa"/>
              <w:bottom w:w="80" w:type="dxa"/>
              <w:end w:w="120" w:type="dxa"/>
            </w:tcMar>
            <w:vAlign w:val="center"/>
          </w:tcPr>
          <w:p>
            <w:r>
              <w:rPr>
                <w:rFonts w:ascii="Calibri" w:hAnsi="Calibri"/>
                <w:b/>
                <w:i w:val="0"/>
                <w:color w:val="0B2545"/>
                <w:sz w:val="18"/>
              </w:rPr>
              <w:t>Object</w:t>
            </w:r>
          </w:p>
        </w:tc>
        <w:tc>
          <w:tcPr>
            <w:tcW w:type="dxa" w:w="3672"/>
            <w:shd w:fill="E8EEF5"/>
            <w:tcMar>
              <w:top w:w="80" w:type="dxa"/>
              <w:start w:w="120" w:type="dxa"/>
              <w:bottom w:w="80" w:type="dxa"/>
              <w:end w:w="120" w:type="dxa"/>
            </w:tcMar>
            <w:vAlign w:val="center"/>
          </w:tcPr>
          <w:p>
            <w:r>
              <w:rPr>
                <w:rFonts w:ascii="Calibri" w:hAnsi="Calibri"/>
                <w:b/>
                <w:i w:val="0"/>
                <w:color w:val="0B2545"/>
                <w:sz w:val="18"/>
              </w:rPr>
              <w:t>Host experience</w:t>
            </w:r>
          </w:p>
        </w:tc>
        <w:tc>
          <w:tcPr>
            <w:tcW w:type="dxa" w:w="3600"/>
            <w:shd w:fill="E8EEF5"/>
            <w:tcMar>
              <w:top w:w="80" w:type="dxa"/>
              <w:start w:w="120" w:type="dxa"/>
              <w:bottom w:w="80" w:type="dxa"/>
              <w:end w:w="120" w:type="dxa"/>
            </w:tcMar>
            <w:vAlign w:val="center"/>
          </w:tcPr>
          <w:p>
            <w:r>
              <w:rPr>
                <w:rFonts w:ascii="Calibri" w:hAnsi="Calibri"/>
                <w:b/>
                <w:i w:val="0"/>
                <w:color w:val="0B2545"/>
                <w:sz w:val="18"/>
              </w:rPr>
              <w:t>Control</w:t>
            </w:r>
          </w:p>
        </w:tc>
      </w:tr>
      <w:tr>
        <w:trPr>
          <w:cantSplit/>
        </w:trPr>
        <w:tc>
          <w:tcPr>
            <w:tcW w:type="dxa" w:w="2088"/>
            <w:tcMar>
              <w:top w:w="80" w:type="dxa"/>
              <w:start w:w="120" w:type="dxa"/>
              <w:bottom w:w="80" w:type="dxa"/>
              <w:end w:w="120" w:type="dxa"/>
            </w:tcMar>
            <w:vAlign w:val="top"/>
          </w:tcPr>
          <w:p>
            <w:pPr>
              <w:spacing w:after="0"/>
            </w:pPr>
            <w:r>
              <w:rPr>
                <w:rFonts w:ascii="Calibri" w:hAnsi="Calibri"/>
                <w:b w:val="0"/>
                <w:i w:val="0"/>
                <w:color w:val="1E2228"/>
                <w:sz w:val="17"/>
              </w:rPr>
              <w:t>Current Edition</w:t>
            </w:r>
          </w:p>
        </w:tc>
        <w:tc>
          <w:tcPr>
            <w:tcW w:type="dxa" w:w="3672"/>
            <w:tcMar>
              <w:top w:w="80" w:type="dxa"/>
              <w:start w:w="120" w:type="dxa"/>
              <w:bottom w:w="80" w:type="dxa"/>
              <w:end w:w="120" w:type="dxa"/>
            </w:tcMar>
            <w:vAlign w:val="top"/>
          </w:tcPr>
          <w:p>
            <w:pPr>
              <w:spacing w:after="0"/>
            </w:pPr>
            <w:r>
              <w:rPr>
                <w:rFonts w:ascii="Calibri" w:hAnsi="Calibri"/>
                <w:b w:val="0"/>
                <w:i w:val="0"/>
                <w:color w:val="1E2228"/>
                <w:sz w:val="17"/>
              </w:rPr>
              <w:t>The approved invite, menu, plan, mood board or floor plan appears first.</w:t>
            </w:r>
          </w:p>
        </w:tc>
        <w:tc>
          <w:tcPr>
            <w:tcW w:type="dxa" w:w="3600"/>
            <w:tcMar>
              <w:top w:w="80" w:type="dxa"/>
              <w:start w:w="120" w:type="dxa"/>
              <w:bottom w:w="80" w:type="dxa"/>
              <w:end w:w="120" w:type="dxa"/>
            </w:tcMar>
            <w:vAlign w:val="top"/>
          </w:tcPr>
          <w:p>
            <w:pPr>
              <w:spacing w:after="0"/>
            </w:pPr>
            <w:r>
              <w:rPr>
                <w:rFonts w:ascii="Calibri" w:hAnsi="Calibri"/>
                <w:b w:val="0"/>
                <w:i w:val="0"/>
                <w:color w:val="1E2228"/>
                <w:sz w:val="17"/>
              </w:rPr>
              <w:t>Immutable version, approval, source and effective time.</w:t>
            </w:r>
          </w:p>
        </w:tc>
      </w:tr>
      <w:tr>
        <w:trPr>
          <w:cantSplit/>
        </w:trPr>
        <w:tc>
          <w:tcPr>
            <w:tcW w:type="dxa" w:w="2088"/>
            <w:tcMar>
              <w:top w:w="80" w:type="dxa"/>
              <w:start w:w="120" w:type="dxa"/>
              <w:bottom w:w="80" w:type="dxa"/>
              <w:end w:w="120" w:type="dxa"/>
            </w:tcMar>
            <w:vAlign w:val="top"/>
          </w:tcPr>
          <w:p>
            <w:pPr>
              <w:spacing w:after="0"/>
            </w:pPr>
            <w:r>
              <w:rPr>
                <w:rFonts w:ascii="Calibri" w:hAnsi="Calibri"/>
                <w:b w:val="0"/>
                <w:i w:val="0"/>
                <w:color w:val="1E2228"/>
                <w:sz w:val="17"/>
              </w:rPr>
              <w:t>Earlier Editions</w:t>
            </w:r>
          </w:p>
        </w:tc>
        <w:tc>
          <w:tcPr>
            <w:tcW w:type="dxa" w:w="3672"/>
            <w:tcMar>
              <w:top w:w="80" w:type="dxa"/>
              <w:start w:w="120" w:type="dxa"/>
              <w:bottom w:w="80" w:type="dxa"/>
              <w:end w:w="120" w:type="dxa"/>
            </w:tcMar>
            <w:vAlign w:val="top"/>
          </w:tcPr>
          <w:p>
            <w:pPr>
              <w:spacing w:after="0"/>
            </w:pPr>
            <w:r>
              <w:rPr>
                <w:rFonts w:ascii="Calibri" w:hAnsi="Calibri"/>
                <w:b w:val="0"/>
                <w:i w:val="0"/>
                <w:color w:val="1E2228"/>
                <w:sz w:val="17"/>
              </w:rPr>
              <w:t>Available only through a quiet history view when useful.</w:t>
            </w:r>
          </w:p>
        </w:tc>
        <w:tc>
          <w:tcPr>
            <w:tcW w:type="dxa" w:w="3600"/>
            <w:tcMar>
              <w:top w:w="80" w:type="dxa"/>
              <w:start w:w="120" w:type="dxa"/>
              <w:bottom w:w="80" w:type="dxa"/>
              <w:end w:w="120" w:type="dxa"/>
            </w:tcMar>
            <w:vAlign w:val="top"/>
          </w:tcPr>
          <w:p>
            <w:pPr>
              <w:spacing w:after="0"/>
            </w:pPr>
            <w:r>
              <w:rPr>
                <w:rFonts w:ascii="Calibri" w:hAnsi="Calibri"/>
                <w:b w:val="0"/>
                <w:i w:val="0"/>
                <w:color w:val="1E2228"/>
                <w:sz w:val="17"/>
              </w:rPr>
              <w:t>Never mistaken for current; revocation respected.</w:t>
            </w:r>
          </w:p>
        </w:tc>
      </w:tr>
      <w:tr>
        <w:trPr>
          <w:cantSplit/>
        </w:trPr>
        <w:tc>
          <w:tcPr>
            <w:tcW w:type="dxa" w:w="2088"/>
            <w:tcMar>
              <w:top w:w="80" w:type="dxa"/>
              <w:start w:w="120" w:type="dxa"/>
              <w:bottom w:w="80" w:type="dxa"/>
              <w:end w:w="120" w:type="dxa"/>
            </w:tcMar>
            <w:vAlign w:val="top"/>
          </w:tcPr>
          <w:p>
            <w:pPr>
              <w:spacing w:after="0"/>
            </w:pPr>
            <w:r>
              <w:rPr>
                <w:rFonts w:ascii="Calibri" w:hAnsi="Calibri"/>
                <w:b w:val="0"/>
                <w:i w:val="0"/>
                <w:color w:val="1E2228"/>
                <w:sz w:val="17"/>
              </w:rPr>
              <w:t>Maison Doclar Note</w:t>
            </w:r>
          </w:p>
        </w:tc>
        <w:tc>
          <w:tcPr>
            <w:tcW w:type="dxa" w:w="3672"/>
            <w:tcMar>
              <w:top w:w="80" w:type="dxa"/>
              <w:start w:w="120" w:type="dxa"/>
              <w:bottom w:w="80" w:type="dxa"/>
              <w:end w:w="120" w:type="dxa"/>
            </w:tcMar>
            <w:vAlign w:val="top"/>
          </w:tcPr>
          <w:p>
            <w:pPr>
              <w:spacing w:after="0"/>
            </w:pPr>
            <w:r>
              <w:rPr>
                <w:rFonts w:ascii="Calibri" w:hAnsi="Calibri"/>
                <w:b w:val="0"/>
                <w:i w:val="0"/>
                <w:color w:val="1E2228"/>
                <w:sz w:val="17"/>
              </w:rPr>
              <w:t>What changed, why it matters, what happens next and any host need.</w:t>
            </w:r>
          </w:p>
        </w:tc>
        <w:tc>
          <w:tcPr>
            <w:tcW w:type="dxa" w:w="3600"/>
            <w:tcMar>
              <w:top w:w="80" w:type="dxa"/>
              <w:start w:w="120" w:type="dxa"/>
              <w:bottom w:w="80" w:type="dxa"/>
              <w:end w:w="120" w:type="dxa"/>
            </w:tcMar>
            <w:vAlign w:val="top"/>
          </w:tcPr>
          <w:p>
            <w:pPr>
              <w:spacing w:after="0"/>
            </w:pPr>
            <w:r>
              <w:rPr>
                <w:rFonts w:ascii="Calibri" w:hAnsi="Calibri"/>
                <w:b w:val="0"/>
                <w:i w:val="0"/>
                <w:color w:val="1E2228"/>
                <w:sz w:val="17"/>
              </w:rPr>
              <w:t>Approved audience, expiry, source links and author.</w:t>
            </w:r>
          </w:p>
        </w:tc>
      </w:tr>
      <w:tr>
        <w:trPr>
          <w:cantSplit/>
        </w:trPr>
        <w:tc>
          <w:tcPr>
            <w:tcW w:type="dxa" w:w="2088"/>
            <w:tcMar>
              <w:top w:w="80" w:type="dxa"/>
              <w:start w:w="120" w:type="dxa"/>
              <w:bottom w:w="80" w:type="dxa"/>
              <w:end w:w="120" w:type="dxa"/>
            </w:tcMar>
            <w:vAlign w:val="top"/>
          </w:tcPr>
          <w:p>
            <w:pPr>
              <w:spacing w:after="0"/>
            </w:pPr>
            <w:r>
              <w:rPr>
                <w:rFonts w:ascii="Calibri" w:hAnsi="Calibri"/>
                <w:b w:val="0"/>
                <w:i w:val="0"/>
                <w:color w:val="1E2228"/>
                <w:sz w:val="17"/>
              </w:rPr>
              <w:t>Digest</w:t>
            </w:r>
          </w:p>
        </w:tc>
        <w:tc>
          <w:tcPr>
            <w:tcW w:type="dxa" w:w="3672"/>
            <w:tcMar>
              <w:top w:w="80" w:type="dxa"/>
              <w:start w:w="120" w:type="dxa"/>
              <w:bottom w:w="80" w:type="dxa"/>
              <w:end w:w="120" w:type="dxa"/>
            </w:tcMar>
            <w:vAlign w:val="top"/>
          </w:tcPr>
          <w:p>
            <w:pPr>
              <w:spacing w:after="0"/>
            </w:pPr>
            <w:r>
              <w:rPr>
                <w:rFonts w:ascii="Calibri" w:hAnsi="Calibri"/>
                <w:b w:val="0"/>
                <w:i w:val="0"/>
                <w:color w:val="1E2228"/>
                <w:sz w:val="17"/>
              </w:rPr>
              <w:t>Low-frequency, high-signal summary in host-preferred channel.</w:t>
            </w:r>
          </w:p>
        </w:tc>
        <w:tc>
          <w:tcPr>
            <w:tcW w:type="dxa" w:w="3600"/>
            <w:tcMar>
              <w:top w:w="80" w:type="dxa"/>
              <w:start w:w="120" w:type="dxa"/>
              <w:bottom w:w="80" w:type="dxa"/>
              <w:end w:w="120" w:type="dxa"/>
            </w:tcMar>
            <w:vAlign w:val="top"/>
          </w:tcPr>
          <w:p>
            <w:pPr>
              <w:spacing w:after="0"/>
            </w:pPr>
            <w:r>
              <w:rPr>
                <w:rFonts w:ascii="Calibri" w:hAnsi="Calibri"/>
                <w:b w:val="0"/>
                <w:i w:val="0"/>
                <w:color w:val="1E2228"/>
                <w:sz w:val="17"/>
              </w:rPr>
              <w:t>S04 communications policy, quiet hours, consent and delivery evidence.</w:t>
            </w:r>
          </w:p>
        </w:tc>
      </w:tr>
    </w:tbl>
    <w:p>
      <w:pPr>
        <w:spacing w:after="20"/>
      </w:pPr>
    </w:p>
    <w:p>
      <w:pPr>
        <w:pStyle w:val="Heading1"/>
      </w:pPr>
      <w:r>
        <w:t>12. Live-day and after-event modes</w:t>
      </w:r>
    </w:p>
    <w:p>
      <w:pPr>
        <w:pStyle w:val="Heading2"/>
      </w:pPr>
      <w:r>
        <w:t>12.1 Live-day mode</w:t>
      </w:r>
    </w:p>
    <w:p>
      <w:pPr>
        <w:pStyle w:val="ListBullet"/>
      </w:pPr>
      <w:r>
        <w:t>Opens with “today” and the next meaningful host/guest moment, not a control-room clock wall.</w:t>
      </w:r>
    </w:p>
    <w:p>
      <w:pPr>
        <w:pStyle w:val="ListBullet"/>
      </w:pPr>
      <w:r>
        <w:t>Shows selected arrivals, transport or programme assurances only where host-relevant and safe.</w:t>
      </w:r>
    </w:p>
    <w:p>
      <w:pPr>
        <w:pStyle w:val="ListBullet"/>
      </w:pPr>
      <w:r>
        <w:t>Provides one trusted liaison path and continuity if connectivity is poor.</w:t>
      </w:r>
    </w:p>
    <w:p>
      <w:pPr>
        <w:pStyle w:val="ListBullet"/>
      </w:pPr>
      <w:r>
        <w:t>Material disruption is communicated truthfully with an action or assurance; internal incident detail remains protected.</w:t>
      </w:r>
    </w:p>
    <w:p>
      <w:pPr>
        <w:pStyle w:val="ListBullet"/>
      </w:pPr>
      <w:r>
        <w:t>Does not expose access codes, security routes, VIP movements or restricted operational contacts.</w:t>
      </w:r>
    </w:p>
    <w:p>
      <w:pPr>
        <w:pStyle w:val="Heading2"/>
      </w:pPr>
      <w:r>
        <w:t>12.2 After-event mode</w:t>
      </w:r>
    </w:p>
    <w:p>
      <w:pPr>
        <w:pStyle w:val="ListBullet"/>
      </w:pPr>
      <w:r>
        <w:t>Transitions deliberately; it must not leave the host in a stale “live” workspace.</w:t>
      </w:r>
    </w:p>
    <w:p>
      <w:pPr>
        <w:pStyle w:val="ListBullet"/>
      </w:pPr>
      <w:r>
        <w:t>Shows approved close-out notes, selected deliverables, final decisions and budget assurance if authoritative.</w:t>
      </w:r>
    </w:p>
    <w:p>
      <w:pPr>
        <w:pStyle w:val="ListBullet"/>
      </w:pPr>
      <w:r>
        <w:t>May present approved memories or gallery links without becoming the master media archive.</w:t>
      </w:r>
    </w:p>
    <w:p>
      <w:pPr>
        <w:pStyle w:val="ListBullet"/>
      </w:pPr>
      <w:r>
        <w:t>Access retention, download and deletion follow the host grant and record-retention policy.</w:t>
      </w:r>
    </w:p>
    <w:p>
      <w:pPr>
        <w:pStyle w:val="Heading1"/>
      </w:pPr>
      <w:r>
        <w:t>13. Restrained-luxury design constitution</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shd w:fill="F2F4F7"/>
            <w:tcMar>
              <w:top w:w="130" w:type="dxa"/>
              <w:start w:w="180" w:type="dxa"/>
              <w:bottom w:w="130" w:type="dxa"/>
              <w:end w:w="180" w:type="dxa"/>
            </w:tcMar>
          </w:tcPr>
          <w:p>
            <w:pPr>
              <w:spacing w:after="0"/>
            </w:pPr>
            <w:r>
              <w:rPr>
                <w:rFonts w:ascii="Calibri" w:hAnsi="Calibri"/>
                <w:b/>
                <w:i w:val="0"/>
                <w:color w:val="0B2545"/>
                <w:sz w:val="21"/>
              </w:rPr>
              <w:t xml:space="preserve">AESTHETIC RULE  </w:t>
            </w:r>
            <w:r>
              <w:rPr>
                <w:rFonts w:ascii="Calibri" w:hAnsi="Calibri"/>
                <w:b w:val="0"/>
                <w:i w:val="0"/>
                <w:color w:val="1E2228"/>
                <w:sz w:val="21"/>
              </w:rPr>
              <w:t>The Atelier should feel closer to entering a private Maison than operating software: editorial composition, cinematic restraint, tactile spacing and impeccable language. Function is present, but the machinery is quiet.</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2088"/>
            <w:shd w:fill="E8EEF5"/>
            <w:tcMar>
              <w:top w:w="80" w:type="dxa"/>
              <w:start w:w="120" w:type="dxa"/>
              <w:bottom w:w="80" w:type="dxa"/>
              <w:end w:w="120" w:type="dxa"/>
            </w:tcMar>
            <w:vAlign w:val="center"/>
          </w:tcPr>
          <w:p>
            <w:r>
              <w:rPr>
                <w:rFonts w:ascii="Calibri" w:hAnsi="Calibri"/>
                <w:b/>
                <w:i w:val="0"/>
                <w:color w:val="0B2545"/>
                <w:sz w:val="18"/>
              </w:rPr>
              <w:t>Dimension</w:t>
            </w:r>
          </w:p>
        </w:tc>
        <w:tc>
          <w:tcPr>
            <w:tcW w:type="dxa" w:w="7272"/>
            <w:shd w:fill="E8EEF5"/>
            <w:tcMar>
              <w:top w:w="80" w:type="dxa"/>
              <w:start w:w="120" w:type="dxa"/>
              <w:bottom w:w="80" w:type="dxa"/>
              <w:end w:w="120" w:type="dxa"/>
            </w:tcMar>
            <w:vAlign w:val="center"/>
          </w:tcPr>
          <w:p>
            <w:r>
              <w:rPr>
                <w:rFonts w:ascii="Calibri" w:hAnsi="Calibri"/>
                <w:b/>
                <w:i w:val="0"/>
                <w:color w:val="0B2545"/>
                <w:sz w:val="18"/>
              </w:rPr>
              <w:t>Direction</w:t>
            </w:r>
          </w:p>
        </w:tc>
      </w:tr>
      <w:tr>
        <w:trPr>
          <w:cantSplit/>
        </w:trPr>
        <w:tc>
          <w:tcPr>
            <w:tcW w:type="dxa" w:w="2088"/>
            <w:tcMar>
              <w:top w:w="80" w:type="dxa"/>
              <w:start w:w="120" w:type="dxa"/>
              <w:bottom w:w="80" w:type="dxa"/>
              <w:end w:w="120" w:type="dxa"/>
            </w:tcMar>
            <w:vAlign w:val="top"/>
          </w:tcPr>
          <w:p>
            <w:pPr>
              <w:spacing w:after="0"/>
            </w:pPr>
            <w:r>
              <w:rPr>
                <w:rFonts w:ascii="Calibri" w:hAnsi="Calibri"/>
                <w:b w:val="0"/>
                <w:i w:val="0"/>
                <w:color w:val="1E2228"/>
                <w:sz w:val="17"/>
              </w:rPr>
              <w:t>Palette</w:t>
            </w:r>
          </w:p>
        </w:tc>
        <w:tc>
          <w:tcPr>
            <w:tcW w:type="dxa" w:w="7272"/>
            <w:tcMar>
              <w:top w:w="80" w:type="dxa"/>
              <w:start w:w="120" w:type="dxa"/>
              <w:bottom w:w="80" w:type="dxa"/>
              <w:end w:w="120" w:type="dxa"/>
            </w:tcMar>
            <w:vAlign w:val="top"/>
          </w:tcPr>
          <w:p>
            <w:pPr>
              <w:spacing w:after="0"/>
            </w:pPr>
            <w:r>
              <w:rPr>
                <w:rFonts w:ascii="Calibri" w:hAnsi="Calibri"/>
                <w:b w:val="0"/>
                <w:i w:val="0"/>
                <w:color w:val="1E2228"/>
                <w:sz w:val="17"/>
              </w:rPr>
              <w:t>Warm ivory, obsidian, soft mineral neutrals and restrained Maison gold #B79F85.</w:t>
            </w:r>
          </w:p>
        </w:tc>
      </w:tr>
      <w:tr>
        <w:trPr>
          <w:cantSplit/>
        </w:trPr>
        <w:tc>
          <w:tcPr>
            <w:tcW w:type="dxa" w:w="2088"/>
            <w:tcMar>
              <w:top w:w="80" w:type="dxa"/>
              <w:start w:w="120" w:type="dxa"/>
              <w:bottom w:w="80" w:type="dxa"/>
              <w:end w:w="120" w:type="dxa"/>
            </w:tcMar>
            <w:vAlign w:val="top"/>
          </w:tcPr>
          <w:p>
            <w:pPr>
              <w:spacing w:after="0"/>
            </w:pPr>
            <w:r>
              <w:rPr>
                <w:rFonts w:ascii="Calibri" w:hAnsi="Calibri"/>
                <w:b w:val="0"/>
                <w:i w:val="0"/>
                <w:color w:val="1E2228"/>
                <w:sz w:val="17"/>
              </w:rPr>
              <w:t>Typography</w:t>
            </w:r>
          </w:p>
        </w:tc>
        <w:tc>
          <w:tcPr>
            <w:tcW w:type="dxa" w:w="7272"/>
            <w:tcMar>
              <w:top w:w="80" w:type="dxa"/>
              <w:start w:w="120" w:type="dxa"/>
              <w:bottom w:w="80" w:type="dxa"/>
              <w:end w:w="120" w:type="dxa"/>
            </w:tcMar>
            <w:vAlign w:val="top"/>
          </w:tcPr>
          <w:p>
            <w:pPr>
              <w:spacing w:after="0"/>
            </w:pPr>
            <w:r>
              <w:rPr>
                <w:rFonts w:ascii="Calibri" w:hAnsi="Calibri"/>
                <w:b w:val="0"/>
                <w:i w:val="0"/>
                <w:color w:val="1E2228"/>
                <w:sz w:val="17"/>
              </w:rPr>
              <w:t>Distinctive editorial display face paired with an exceptionally legible text face; careful optical scale.</w:t>
            </w:r>
          </w:p>
        </w:tc>
      </w:tr>
      <w:tr>
        <w:trPr>
          <w:cantSplit/>
        </w:trPr>
        <w:tc>
          <w:tcPr>
            <w:tcW w:type="dxa" w:w="2088"/>
            <w:tcMar>
              <w:top w:w="80" w:type="dxa"/>
              <w:start w:w="120" w:type="dxa"/>
              <w:bottom w:w="80" w:type="dxa"/>
              <w:end w:w="120" w:type="dxa"/>
            </w:tcMar>
            <w:vAlign w:val="top"/>
          </w:tcPr>
          <w:p>
            <w:pPr>
              <w:spacing w:after="0"/>
            </w:pPr>
            <w:r>
              <w:rPr>
                <w:rFonts w:ascii="Calibri" w:hAnsi="Calibri"/>
                <w:b w:val="0"/>
                <w:i w:val="0"/>
                <w:color w:val="1E2228"/>
                <w:sz w:val="17"/>
              </w:rPr>
              <w:t>Composition</w:t>
            </w:r>
          </w:p>
        </w:tc>
        <w:tc>
          <w:tcPr>
            <w:tcW w:type="dxa" w:w="7272"/>
            <w:tcMar>
              <w:top w:w="80" w:type="dxa"/>
              <w:start w:w="120" w:type="dxa"/>
              <w:bottom w:w="80" w:type="dxa"/>
              <w:end w:w="120" w:type="dxa"/>
            </w:tcMar>
            <w:vAlign w:val="top"/>
          </w:tcPr>
          <w:p>
            <w:pPr>
              <w:spacing w:after="0"/>
            </w:pPr>
            <w:r>
              <w:rPr>
                <w:rFonts w:ascii="Calibri" w:hAnsi="Calibri"/>
                <w:b w:val="0"/>
                <w:i w:val="0"/>
                <w:color w:val="1E2228"/>
                <w:sz w:val="17"/>
              </w:rPr>
              <w:t>Generous negative space, asymmetric editorial rhythm, full-bleed moments used sparingly.</w:t>
            </w:r>
          </w:p>
        </w:tc>
      </w:tr>
      <w:tr>
        <w:trPr>
          <w:cantSplit/>
        </w:trPr>
        <w:tc>
          <w:tcPr>
            <w:tcW w:type="dxa" w:w="2088"/>
            <w:tcMar>
              <w:top w:w="80" w:type="dxa"/>
              <w:start w:w="120" w:type="dxa"/>
              <w:bottom w:w="80" w:type="dxa"/>
              <w:end w:w="120" w:type="dxa"/>
            </w:tcMar>
            <w:vAlign w:val="top"/>
          </w:tcPr>
          <w:p>
            <w:pPr>
              <w:spacing w:after="0"/>
            </w:pPr>
            <w:r>
              <w:rPr>
                <w:rFonts w:ascii="Calibri" w:hAnsi="Calibri"/>
                <w:b w:val="0"/>
                <w:i w:val="0"/>
                <w:color w:val="1E2228"/>
                <w:sz w:val="17"/>
              </w:rPr>
              <w:t>Navigation</w:t>
            </w:r>
          </w:p>
        </w:tc>
        <w:tc>
          <w:tcPr>
            <w:tcW w:type="dxa" w:w="7272"/>
            <w:tcMar>
              <w:top w:w="80" w:type="dxa"/>
              <w:start w:w="120" w:type="dxa"/>
              <w:bottom w:w="80" w:type="dxa"/>
              <w:end w:w="120" w:type="dxa"/>
            </w:tcMar>
            <w:vAlign w:val="top"/>
          </w:tcPr>
          <w:p>
            <w:pPr>
              <w:spacing w:after="0"/>
            </w:pPr>
            <w:r>
              <w:rPr>
                <w:rFonts w:ascii="Calibri" w:hAnsi="Calibri"/>
                <w:b w:val="0"/>
                <w:i w:val="0"/>
                <w:color w:val="1E2228"/>
                <w:sz w:val="17"/>
              </w:rPr>
              <w:t>Discreet chapter index, context-aware return and elegant progress; no admin sidebar.</w:t>
            </w:r>
          </w:p>
        </w:tc>
      </w:tr>
      <w:tr>
        <w:trPr>
          <w:cantSplit/>
        </w:trPr>
        <w:tc>
          <w:tcPr>
            <w:tcW w:type="dxa" w:w="2088"/>
            <w:tcMar>
              <w:top w:w="80" w:type="dxa"/>
              <w:start w:w="120" w:type="dxa"/>
              <w:bottom w:w="80" w:type="dxa"/>
              <w:end w:w="120" w:type="dxa"/>
            </w:tcMar>
            <w:vAlign w:val="top"/>
          </w:tcPr>
          <w:p>
            <w:pPr>
              <w:spacing w:after="0"/>
            </w:pPr>
            <w:r>
              <w:rPr>
                <w:rFonts w:ascii="Calibri" w:hAnsi="Calibri"/>
                <w:b w:val="0"/>
                <w:i w:val="0"/>
                <w:color w:val="1E2228"/>
                <w:sz w:val="17"/>
              </w:rPr>
              <w:t>Components</w:t>
            </w:r>
          </w:p>
        </w:tc>
        <w:tc>
          <w:tcPr>
            <w:tcW w:type="dxa" w:w="7272"/>
            <w:tcMar>
              <w:top w:w="80" w:type="dxa"/>
              <w:start w:w="120" w:type="dxa"/>
              <w:bottom w:w="80" w:type="dxa"/>
              <w:end w:w="120" w:type="dxa"/>
            </w:tcMar>
            <w:vAlign w:val="top"/>
          </w:tcPr>
          <w:p>
            <w:pPr>
              <w:spacing w:after="0"/>
            </w:pPr>
            <w:r>
              <w:rPr>
                <w:rFonts w:ascii="Calibri" w:hAnsi="Calibri"/>
                <w:b w:val="0"/>
                <w:i w:val="0"/>
                <w:color w:val="1E2228"/>
                <w:sz w:val="17"/>
              </w:rPr>
              <w:t>Fine rules, quiet panels and typographic hierarchy; avoid generic card grids and pill proliferation.</w:t>
            </w:r>
          </w:p>
        </w:tc>
      </w:tr>
      <w:tr>
        <w:trPr>
          <w:cantSplit/>
        </w:trPr>
        <w:tc>
          <w:tcPr>
            <w:tcW w:type="dxa" w:w="2088"/>
            <w:tcMar>
              <w:top w:w="80" w:type="dxa"/>
              <w:start w:w="120" w:type="dxa"/>
              <w:bottom w:w="80" w:type="dxa"/>
              <w:end w:w="120" w:type="dxa"/>
            </w:tcMar>
            <w:vAlign w:val="top"/>
          </w:tcPr>
          <w:p>
            <w:pPr>
              <w:spacing w:after="0"/>
            </w:pPr>
            <w:r>
              <w:rPr>
                <w:rFonts w:ascii="Calibri" w:hAnsi="Calibri"/>
                <w:b w:val="0"/>
                <w:i w:val="0"/>
                <w:color w:val="1E2228"/>
                <w:sz w:val="17"/>
              </w:rPr>
              <w:t>Status</w:t>
            </w:r>
          </w:p>
        </w:tc>
        <w:tc>
          <w:tcPr>
            <w:tcW w:type="dxa" w:w="7272"/>
            <w:tcMar>
              <w:top w:w="80" w:type="dxa"/>
              <w:start w:w="120" w:type="dxa"/>
              <w:bottom w:w="80" w:type="dxa"/>
              <w:end w:w="120" w:type="dxa"/>
            </w:tcMar>
            <w:vAlign w:val="top"/>
          </w:tcPr>
          <w:p>
            <w:pPr>
              <w:spacing w:after="0"/>
            </w:pPr>
            <w:r>
              <w:rPr>
                <w:rFonts w:ascii="Calibri" w:hAnsi="Calibri"/>
                <w:b w:val="0"/>
                <w:i w:val="0"/>
                <w:color w:val="1E2228"/>
                <w:sz w:val="17"/>
              </w:rPr>
              <w:t>Human phrases with dates and evidence; avoid traffic-light walls, gauges and vanity percentages.</w:t>
            </w:r>
          </w:p>
        </w:tc>
      </w:tr>
      <w:tr>
        <w:trPr>
          <w:cantSplit/>
        </w:trPr>
        <w:tc>
          <w:tcPr>
            <w:tcW w:type="dxa" w:w="2088"/>
            <w:tcMar>
              <w:top w:w="80" w:type="dxa"/>
              <w:start w:w="120" w:type="dxa"/>
              <w:bottom w:w="80" w:type="dxa"/>
              <w:end w:w="120" w:type="dxa"/>
            </w:tcMar>
            <w:vAlign w:val="top"/>
          </w:tcPr>
          <w:p>
            <w:pPr>
              <w:spacing w:after="0"/>
            </w:pPr>
            <w:r>
              <w:rPr>
                <w:rFonts w:ascii="Calibri" w:hAnsi="Calibri"/>
                <w:b w:val="0"/>
                <w:i w:val="0"/>
                <w:color w:val="1E2228"/>
                <w:sz w:val="17"/>
              </w:rPr>
              <w:t>Motion</w:t>
            </w:r>
          </w:p>
        </w:tc>
        <w:tc>
          <w:tcPr>
            <w:tcW w:type="dxa" w:w="7272"/>
            <w:tcMar>
              <w:top w:w="80" w:type="dxa"/>
              <w:start w:w="120" w:type="dxa"/>
              <w:bottom w:w="80" w:type="dxa"/>
              <w:end w:w="120" w:type="dxa"/>
            </w:tcMar>
            <w:vAlign w:val="top"/>
          </w:tcPr>
          <w:p>
            <w:pPr>
              <w:spacing w:after="0"/>
            </w:pPr>
            <w:r>
              <w:rPr>
                <w:rFonts w:ascii="Calibri" w:hAnsi="Calibri"/>
                <w:b w:val="0"/>
                <w:i w:val="0"/>
                <w:color w:val="1E2228"/>
                <w:sz w:val="17"/>
              </w:rPr>
              <w:t>Slow, purposeful reveal only; reduced-motion parity; never scroll-jacking.</w:t>
            </w:r>
          </w:p>
        </w:tc>
      </w:tr>
      <w:tr>
        <w:trPr>
          <w:cantSplit/>
        </w:trPr>
        <w:tc>
          <w:tcPr>
            <w:tcW w:type="dxa" w:w="2088"/>
            <w:tcMar>
              <w:top w:w="80" w:type="dxa"/>
              <w:start w:w="120" w:type="dxa"/>
              <w:bottom w:w="80" w:type="dxa"/>
              <w:end w:w="120" w:type="dxa"/>
            </w:tcMar>
            <w:vAlign w:val="top"/>
          </w:tcPr>
          <w:p>
            <w:pPr>
              <w:spacing w:after="0"/>
            </w:pPr>
            <w:r>
              <w:rPr>
                <w:rFonts w:ascii="Calibri" w:hAnsi="Calibri"/>
                <w:b w:val="0"/>
                <w:i w:val="0"/>
                <w:color w:val="1E2228"/>
                <w:sz w:val="17"/>
              </w:rPr>
              <w:t>Imagery</w:t>
            </w:r>
          </w:p>
        </w:tc>
        <w:tc>
          <w:tcPr>
            <w:tcW w:type="dxa" w:w="7272"/>
            <w:tcMar>
              <w:top w:w="80" w:type="dxa"/>
              <w:start w:w="120" w:type="dxa"/>
              <w:bottom w:w="80" w:type="dxa"/>
              <w:end w:w="120" w:type="dxa"/>
            </w:tcMar>
            <w:vAlign w:val="top"/>
          </w:tcPr>
          <w:p>
            <w:pPr>
              <w:spacing w:after="0"/>
            </w:pPr>
            <w:r>
              <w:rPr>
                <w:rFonts w:ascii="Calibri" w:hAnsi="Calibri"/>
                <w:b w:val="0"/>
                <w:i w:val="0"/>
                <w:color w:val="1E2228"/>
                <w:sz w:val="17"/>
              </w:rPr>
              <w:t>Approved event art direction, responsive crops, rights/provenance and dignified fallbacks.</w:t>
            </w:r>
          </w:p>
        </w:tc>
      </w:tr>
      <w:tr>
        <w:trPr>
          <w:cantSplit/>
        </w:trPr>
        <w:tc>
          <w:tcPr>
            <w:tcW w:type="dxa" w:w="2088"/>
            <w:tcMar>
              <w:top w:w="80" w:type="dxa"/>
              <w:start w:w="120" w:type="dxa"/>
              <w:bottom w:w="80" w:type="dxa"/>
              <w:end w:w="120" w:type="dxa"/>
            </w:tcMar>
            <w:vAlign w:val="top"/>
          </w:tcPr>
          <w:p>
            <w:pPr>
              <w:spacing w:after="0"/>
            </w:pPr>
            <w:r>
              <w:rPr>
                <w:rFonts w:ascii="Calibri" w:hAnsi="Calibri"/>
                <w:b w:val="0"/>
                <w:i w:val="0"/>
                <w:color w:val="1E2228"/>
                <w:sz w:val="17"/>
              </w:rPr>
              <w:t>Voice</w:t>
            </w:r>
          </w:p>
        </w:tc>
        <w:tc>
          <w:tcPr>
            <w:tcW w:type="dxa" w:w="7272"/>
            <w:tcMar>
              <w:top w:w="80" w:type="dxa"/>
              <w:start w:w="120" w:type="dxa"/>
              <w:bottom w:w="80" w:type="dxa"/>
              <w:end w:w="120" w:type="dxa"/>
            </w:tcMar>
            <w:vAlign w:val="top"/>
          </w:tcPr>
          <w:p>
            <w:pPr>
              <w:spacing w:after="0"/>
            </w:pPr>
            <w:r>
              <w:rPr>
                <w:rFonts w:ascii="Calibri" w:hAnsi="Calibri"/>
                <w:b w:val="0"/>
                <w:i w:val="0"/>
                <w:color w:val="1E2228"/>
                <w:sz w:val="17"/>
              </w:rPr>
              <w:t>Warm, exact, assured and personal; never breathless, robotic, alarmist or technical.</w:t>
            </w:r>
          </w:p>
        </w:tc>
      </w:tr>
      <w:tr>
        <w:trPr>
          <w:cantSplit/>
        </w:trPr>
        <w:tc>
          <w:tcPr>
            <w:tcW w:type="dxa" w:w="2088"/>
            <w:tcMar>
              <w:top w:w="80" w:type="dxa"/>
              <w:start w:w="120" w:type="dxa"/>
              <w:bottom w:w="80" w:type="dxa"/>
              <w:end w:w="120" w:type="dxa"/>
            </w:tcMar>
            <w:vAlign w:val="top"/>
          </w:tcPr>
          <w:p>
            <w:pPr>
              <w:spacing w:after="0"/>
            </w:pPr>
            <w:r>
              <w:rPr>
                <w:rFonts w:ascii="Calibri" w:hAnsi="Calibri"/>
                <w:b w:val="0"/>
                <w:i w:val="0"/>
                <w:color w:val="1E2228"/>
                <w:sz w:val="17"/>
              </w:rPr>
              <w:t>Responsive</w:t>
            </w:r>
          </w:p>
        </w:tc>
        <w:tc>
          <w:tcPr>
            <w:tcW w:type="dxa" w:w="7272"/>
            <w:tcMar>
              <w:top w:w="80" w:type="dxa"/>
              <w:start w:w="120" w:type="dxa"/>
              <w:bottom w:w="80" w:type="dxa"/>
              <w:end w:w="120" w:type="dxa"/>
            </w:tcMar>
            <w:vAlign w:val="top"/>
          </w:tcPr>
          <w:p>
            <w:pPr>
              <w:spacing w:after="0"/>
            </w:pPr>
            <w:r>
              <w:rPr>
                <w:rFonts w:ascii="Calibri" w:hAnsi="Calibri"/>
                <w:b w:val="0"/>
                <w:i w:val="0"/>
                <w:color w:val="1E2228"/>
                <w:sz w:val="17"/>
              </w:rPr>
              <w:t>Designed from handset upward; thumb-safe, no horizontal scroll, fast on ordinary mobile networks.</w:t>
            </w:r>
          </w:p>
        </w:tc>
      </w:tr>
    </w:tbl>
    <w:p>
      <w:pPr>
        <w:spacing w:after="20"/>
      </w:pPr>
    </w:p>
    <w:p>
      <w:pPr>
        <w:pStyle w:val="Heading2"/>
      </w:pPr>
      <w:r>
        <w:t>13.1 Explicit anti-patterns</w:t>
      </w:r>
    </w:p>
    <w:p>
      <w:pPr>
        <w:pStyle w:val="ListBullet"/>
      </w:pPr>
      <w:r>
        <w:t>No tile-heavy dashboard, kanban board, generic KPI strip, avatar row, activity feed or notification centre aesthetic.</w:t>
      </w:r>
    </w:p>
    <w:p>
      <w:pPr>
        <w:pStyle w:val="ListBullet"/>
      </w:pPr>
      <w:r>
        <w:t>No “tickets”, “workspaces”, “pipelines”, “sprints”, “users”, “records” or internal codes in host copy.</w:t>
      </w:r>
    </w:p>
    <w:p>
      <w:pPr>
        <w:pStyle w:val="ListBullet"/>
      </w:pPr>
      <w:r>
        <w:t>No decorative gold gradients, faux marble, excessive animation or luxury clichés.</w:t>
      </w:r>
    </w:p>
    <w:p>
      <w:pPr>
        <w:pStyle w:val="ListBullet"/>
      </w:pPr>
      <w:r>
        <w:t>No empty chart, table or generic “No data” panel simply because a chapter is optional.</w:t>
      </w:r>
    </w:p>
    <w:p>
      <w:pPr>
        <w:pStyle w:val="Heading1"/>
      </w:pPr>
      <w:r>
        <w:t>14. Accessibility, performance and dignity</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2088"/>
            <w:shd w:fill="E8EEF5"/>
            <w:tcMar>
              <w:top w:w="80" w:type="dxa"/>
              <w:start w:w="120" w:type="dxa"/>
              <w:bottom w:w="80" w:type="dxa"/>
              <w:end w:w="120" w:type="dxa"/>
            </w:tcMar>
            <w:vAlign w:val="center"/>
          </w:tcPr>
          <w:p>
            <w:r>
              <w:rPr>
                <w:rFonts w:ascii="Calibri" w:hAnsi="Calibri"/>
                <w:b/>
                <w:i w:val="0"/>
                <w:color w:val="0B2545"/>
                <w:sz w:val="18"/>
              </w:rPr>
              <w:t>Quality</w:t>
            </w:r>
          </w:p>
        </w:tc>
        <w:tc>
          <w:tcPr>
            <w:tcW w:type="dxa" w:w="7272"/>
            <w:shd w:fill="E8EEF5"/>
            <w:tcMar>
              <w:top w:w="80" w:type="dxa"/>
              <w:start w:w="120" w:type="dxa"/>
              <w:bottom w:w="80" w:type="dxa"/>
              <w:end w:w="120" w:type="dxa"/>
            </w:tcMar>
            <w:vAlign w:val="center"/>
          </w:tcPr>
          <w:p>
            <w:r>
              <w:rPr>
                <w:rFonts w:ascii="Calibri" w:hAnsi="Calibri"/>
                <w:b/>
                <w:i w:val="0"/>
                <w:color w:val="0B2545"/>
                <w:sz w:val="18"/>
              </w:rPr>
              <w:t>Acceptance requirement</w:t>
            </w:r>
          </w:p>
        </w:tc>
      </w:tr>
      <w:tr>
        <w:trPr>
          <w:cantSplit/>
        </w:trPr>
        <w:tc>
          <w:tcPr>
            <w:tcW w:type="dxa" w:w="2088"/>
            <w:tcMar>
              <w:top w:w="80" w:type="dxa"/>
              <w:start w:w="120" w:type="dxa"/>
              <w:bottom w:w="80" w:type="dxa"/>
              <w:end w:w="120" w:type="dxa"/>
            </w:tcMar>
            <w:vAlign w:val="top"/>
          </w:tcPr>
          <w:p>
            <w:pPr>
              <w:spacing w:after="0"/>
            </w:pPr>
            <w:r>
              <w:rPr>
                <w:rFonts w:ascii="Calibri" w:hAnsi="Calibri"/>
                <w:b w:val="0"/>
                <w:i w:val="0"/>
                <w:color w:val="1E2228"/>
                <w:sz w:val="17"/>
              </w:rPr>
              <w:t>Accessibility</w:t>
            </w:r>
          </w:p>
        </w:tc>
        <w:tc>
          <w:tcPr>
            <w:tcW w:type="dxa" w:w="7272"/>
            <w:tcMar>
              <w:top w:w="80" w:type="dxa"/>
              <w:start w:w="120" w:type="dxa"/>
              <w:bottom w:w="80" w:type="dxa"/>
              <w:end w:w="120" w:type="dxa"/>
            </w:tcMar>
            <w:vAlign w:val="top"/>
          </w:tcPr>
          <w:p>
            <w:pPr>
              <w:spacing w:after="0"/>
            </w:pPr>
            <w:r>
              <w:rPr>
                <w:rFonts w:ascii="Calibri" w:hAnsi="Calibri"/>
                <w:b w:val="0"/>
                <w:i w:val="0"/>
                <w:color w:val="1E2228"/>
                <w:sz w:val="17"/>
              </w:rPr>
              <w:t>WCAG-aligned contrast, keyboard path, visible focus, landmarks, labels, text alternatives and 200% zoom.</w:t>
            </w:r>
          </w:p>
        </w:tc>
      </w:tr>
      <w:tr>
        <w:trPr>
          <w:cantSplit/>
        </w:trPr>
        <w:tc>
          <w:tcPr>
            <w:tcW w:type="dxa" w:w="2088"/>
            <w:tcMar>
              <w:top w:w="80" w:type="dxa"/>
              <w:start w:w="120" w:type="dxa"/>
              <w:bottom w:w="80" w:type="dxa"/>
              <w:end w:w="120" w:type="dxa"/>
            </w:tcMar>
            <w:vAlign w:val="top"/>
          </w:tcPr>
          <w:p>
            <w:pPr>
              <w:spacing w:after="0"/>
            </w:pPr>
            <w:r>
              <w:rPr>
                <w:rFonts w:ascii="Calibri" w:hAnsi="Calibri"/>
                <w:b w:val="0"/>
                <w:i w:val="0"/>
                <w:color w:val="1E2228"/>
                <w:sz w:val="17"/>
              </w:rPr>
              <w:t>Motion</w:t>
            </w:r>
          </w:p>
        </w:tc>
        <w:tc>
          <w:tcPr>
            <w:tcW w:type="dxa" w:w="7272"/>
            <w:tcMar>
              <w:top w:w="80" w:type="dxa"/>
              <w:start w:w="120" w:type="dxa"/>
              <w:bottom w:w="80" w:type="dxa"/>
              <w:end w:w="120" w:type="dxa"/>
            </w:tcMar>
            <w:vAlign w:val="top"/>
          </w:tcPr>
          <w:p>
            <w:pPr>
              <w:spacing w:after="0"/>
            </w:pPr>
            <w:r>
              <w:rPr>
                <w:rFonts w:ascii="Calibri" w:hAnsi="Calibri"/>
                <w:b w:val="0"/>
                <w:i w:val="0"/>
                <w:color w:val="1E2228"/>
                <w:sz w:val="17"/>
              </w:rPr>
              <w:t>Full reduced-motion experience with no loss of meaning or access.</w:t>
            </w:r>
          </w:p>
        </w:tc>
      </w:tr>
      <w:tr>
        <w:trPr>
          <w:cantSplit/>
        </w:trPr>
        <w:tc>
          <w:tcPr>
            <w:tcW w:type="dxa" w:w="2088"/>
            <w:tcMar>
              <w:top w:w="80" w:type="dxa"/>
              <w:start w:w="120" w:type="dxa"/>
              <w:bottom w:w="80" w:type="dxa"/>
              <w:end w:w="120" w:type="dxa"/>
            </w:tcMar>
            <w:vAlign w:val="top"/>
          </w:tcPr>
          <w:p>
            <w:pPr>
              <w:spacing w:after="0"/>
            </w:pPr>
            <w:r>
              <w:rPr>
                <w:rFonts w:ascii="Calibri" w:hAnsi="Calibri"/>
                <w:b w:val="0"/>
                <w:i w:val="0"/>
                <w:color w:val="1E2228"/>
                <w:sz w:val="17"/>
              </w:rPr>
              <w:t>Names/titles</w:t>
            </w:r>
          </w:p>
        </w:tc>
        <w:tc>
          <w:tcPr>
            <w:tcW w:type="dxa" w:w="7272"/>
            <w:tcMar>
              <w:top w:w="80" w:type="dxa"/>
              <w:start w:w="120" w:type="dxa"/>
              <w:bottom w:w="80" w:type="dxa"/>
              <w:end w:w="120" w:type="dxa"/>
            </w:tcMar>
            <w:vAlign w:val="top"/>
          </w:tcPr>
          <w:p>
            <w:pPr>
              <w:spacing w:after="0"/>
            </w:pPr>
            <w:r>
              <w:rPr>
                <w:rFonts w:ascii="Calibri" w:hAnsi="Calibri"/>
                <w:b w:val="0"/>
                <w:i w:val="0"/>
                <w:color w:val="1E2228"/>
                <w:sz w:val="17"/>
              </w:rPr>
              <w:t>Long Nigerian/Yoruba names, diacritics, titles and multi-host forms wrap accurately and never truncate dignity.</w:t>
            </w:r>
          </w:p>
        </w:tc>
      </w:tr>
      <w:tr>
        <w:trPr>
          <w:cantSplit/>
        </w:trPr>
        <w:tc>
          <w:tcPr>
            <w:tcW w:type="dxa" w:w="2088"/>
            <w:tcMar>
              <w:top w:w="80" w:type="dxa"/>
              <w:start w:w="120" w:type="dxa"/>
              <w:bottom w:w="80" w:type="dxa"/>
              <w:end w:w="120" w:type="dxa"/>
            </w:tcMar>
            <w:vAlign w:val="top"/>
          </w:tcPr>
          <w:p>
            <w:pPr>
              <w:spacing w:after="0"/>
            </w:pPr>
            <w:r>
              <w:rPr>
                <w:rFonts w:ascii="Calibri" w:hAnsi="Calibri"/>
                <w:b w:val="0"/>
                <w:i w:val="0"/>
                <w:color w:val="1E2228"/>
                <w:sz w:val="17"/>
              </w:rPr>
              <w:t>Network</w:t>
            </w:r>
          </w:p>
        </w:tc>
        <w:tc>
          <w:tcPr>
            <w:tcW w:type="dxa" w:w="7272"/>
            <w:tcMar>
              <w:top w:w="80" w:type="dxa"/>
              <w:start w:w="120" w:type="dxa"/>
              <w:bottom w:w="80" w:type="dxa"/>
              <w:end w:w="120" w:type="dxa"/>
            </w:tcMar>
            <w:vAlign w:val="top"/>
          </w:tcPr>
          <w:p>
            <w:pPr>
              <w:spacing w:after="0"/>
            </w:pPr>
            <w:r>
              <w:rPr>
                <w:rFonts w:ascii="Calibri" w:hAnsi="Calibri"/>
                <w:b w:val="0"/>
                <w:i w:val="0"/>
                <w:color w:val="1E2228"/>
                <w:sz w:val="17"/>
              </w:rPr>
              <w:t>Useful first content on ordinary mobile data; responsive media, caching and graceful media failure.</w:t>
            </w:r>
          </w:p>
        </w:tc>
      </w:tr>
      <w:tr>
        <w:trPr>
          <w:cantSplit/>
        </w:trPr>
        <w:tc>
          <w:tcPr>
            <w:tcW w:type="dxa" w:w="2088"/>
            <w:tcMar>
              <w:top w:w="80" w:type="dxa"/>
              <w:start w:w="120" w:type="dxa"/>
              <w:bottom w:w="80" w:type="dxa"/>
              <w:end w:w="120" w:type="dxa"/>
            </w:tcMar>
            <w:vAlign w:val="top"/>
          </w:tcPr>
          <w:p>
            <w:pPr>
              <w:spacing w:after="0"/>
            </w:pPr>
            <w:r>
              <w:rPr>
                <w:rFonts w:ascii="Calibri" w:hAnsi="Calibri"/>
                <w:b w:val="0"/>
                <w:i w:val="0"/>
                <w:color w:val="1E2228"/>
                <w:sz w:val="17"/>
              </w:rPr>
              <w:t>Device</w:t>
            </w:r>
          </w:p>
        </w:tc>
        <w:tc>
          <w:tcPr>
            <w:tcW w:type="dxa" w:w="7272"/>
            <w:tcMar>
              <w:top w:w="80" w:type="dxa"/>
              <w:start w:w="120" w:type="dxa"/>
              <w:bottom w:w="80" w:type="dxa"/>
              <w:end w:w="120" w:type="dxa"/>
            </w:tcMar>
            <w:vAlign w:val="top"/>
          </w:tcPr>
          <w:p>
            <w:pPr>
              <w:spacing w:after="0"/>
            </w:pPr>
            <w:r>
              <w:rPr>
                <w:rFonts w:ascii="Calibri" w:hAnsi="Calibri"/>
                <w:b w:val="0"/>
                <w:i w:val="0"/>
                <w:color w:val="1E2228"/>
                <w:sz w:val="17"/>
              </w:rPr>
              <w:t>360px through large desktop; safe-area support and no orientation dependency.</w:t>
            </w:r>
          </w:p>
        </w:tc>
      </w:tr>
      <w:tr>
        <w:trPr>
          <w:cantSplit/>
        </w:trPr>
        <w:tc>
          <w:tcPr>
            <w:tcW w:type="dxa" w:w="2088"/>
            <w:tcMar>
              <w:top w:w="80" w:type="dxa"/>
              <w:start w:w="120" w:type="dxa"/>
              <w:bottom w:w="80" w:type="dxa"/>
              <w:end w:w="120" w:type="dxa"/>
            </w:tcMar>
            <w:vAlign w:val="top"/>
          </w:tcPr>
          <w:p>
            <w:pPr>
              <w:spacing w:after="0"/>
            </w:pPr>
            <w:r>
              <w:rPr>
                <w:rFonts w:ascii="Calibri" w:hAnsi="Calibri"/>
                <w:b w:val="0"/>
                <w:i w:val="0"/>
                <w:color w:val="1E2228"/>
                <w:sz w:val="17"/>
              </w:rPr>
              <w:t>Language</w:t>
            </w:r>
          </w:p>
        </w:tc>
        <w:tc>
          <w:tcPr>
            <w:tcW w:type="dxa" w:w="7272"/>
            <w:tcMar>
              <w:top w:w="80" w:type="dxa"/>
              <w:start w:w="120" w:type="dxa"/>
              <w:bottom w:w="80" w:type="dxa"/>
              <w:end w:w="120" w:type="dxa"/>
            </w:tcMar>
            <w:vAlign w:val="top"/>
          </w:tcPr>
          <w:p>
            <w:pPr>
              <w:spacing w:after="0"/>
            </w:pPr>
            <w:r>
              <w:rPr>
                <w:rFonts w:ascii="Calibri" w:hAnsi="Calibri"/>
                <w:b w:val="0"/>
                <w:i w:val="0"/>
                <w:color w:val="1E2228"/>
                <w:sz w:val="17"/>
              </w:rPr>
              <w:t>Locale/time-zone aware; dates and currency never inferred from browser alone.</w:t>
            </w:r>
          </w:p>
        </w:tc>
      </w:tr>
      <w:tr>
        <w:trPr>
          <w:cantSplit/>
        </w:trPr>
        <w:tc>
          <w:tcPr>
            <w:tcW w:type="dxa" w:w="2088"/>
            <w:tcMar>
              <w:top w:w="80" w:type="dxa"/>
              <w:start w:w="120" w:type="dxa"/>
              <w:bottom w:w="80" w:type="dxa"/>
              <w:end w:w="120" w:type="dxa"/>
            </w:tcMar>
            <w:vAlign w:val="top"/>
          </w:tcPr>
          <w:p>
            <w:pPr>
              <w:spacing w:after="0"/>
            </w:pPr>
            <w:r>
              <w:rPr>
                <w:rFonts w:ascii="Calibri" w:hAnsi="Calibri"/>
                <w:b w:val="0"/>
                <w:i w:val="0"/>
                <w:color w:val="1E2228"/>
                <w:sz w:val="17"/>
              </w:rPr>
              <w:t>Print/share</w:t>
            </w:r>
          </w:p>
        </w:tc>
        <w:tc>
          <w:tcPr>
            <w:tcW w:type="dxa" w:w="7272"/>
            <w:tcMar>
              <w:top w:w="80" w:type="dxa"/>
              <w:start w:w="120" w:type="dxa"/>
              <w:bottom w:w="80" w:type="dxa"/>
              <w:end w:w="120" w:type="dxa"/>
            </w:tcMar>
            <w:vAlign w:val="top"/>
          </w:tcPr>
          <w:p>
            <w:pPr>
              <w:spacing w:after="0"/>
            </w:pPr>
            <w:r>
              <w:rPr>
                <w:rFonts w:ascii="Calibri" w:hAnsi="Calibri"/>
                <w:b w:val="0"/>
                <w:i w:val="0"/>
                <w:color w:val="1E2228"/>
                <w:sz w:val="17"/>
              </w:rPr>
              <w:t>Only purpose-approved views; no accidental browser print of protected detail.</w:t>
            </w:r>
          </w:p>
        </w:tc>
      </w:tr>
    </w:tbl>
    <w:p>
      <w:pPr>
        <w:spacing w:after="20"/>
      </w:pPr>
    </w:p>
    <w:p>
      <w:pPr>
        <w:pStyle w:val="Heading2"/>
      </w:pPr>
      <w:r>
        <w:t>14.1 Experience budgets</w:t>
      </w:r>
    </w:p>
    <w:p>
      <w:pPr>
        <w:pStyle w:val="ListBullet"/>
      </w:pPr>
      <w:r>
        <w:t>The opening must not depend on autoplay video, custom-font completion or JavaScript animation.</w:t>
      </w:r>
    </w:p>
    <w:p>
      <w:pPr>
        <w:pStyle w:val="ListBullet"/>
      </w:pPr>
      <w:r>
        <w:t>Every media asset has dimensions, responsive variants, rights metadata and a lightweight fallback.</w:t>
      </w:r>
    </w:p>
    <w:p>
      <w:pPr>
        <w:pStyle w:val="ListBullet"/>
      </w:pPr>
      <w:r>
        <w:t>Host decisions remain usable with motion disabled and at mobile width.</w:t>
      </w:r>
    </w:p>
    <w:p>
      <w:pPr>
        <w:pStyle w:val="ListBullet"/>
      </w:pPr>
      <w:r>
        <w:t>Analytics are privacy-minimised and may not become behavioural profiling or event-status truth.</w:t>
      </w:r>
    </w:p>
    <w:p>
      <w:pPr>
        <w:pStyle w:val="Heading1"/>
      </w:pPr>
      <w:r>
        <w:t>15. Identity, magic-link access and host roles</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shd w:fill="F2F4F7"/>
            <w:tcMar>
              <w:top w:w="130" w:type="dxa"/>
              <w:start w:w="180" w:type="dxa"/>
              <w:bottom w:w="130" w:type="dxa"/>
              <w:end w:w="180" w:type="dxa"/>
            </w:tcMar>
          </w:tcPr>
          <w:p>
            <w:pPr>
              <w:spacing w:after="0"/>
            </w:pPr>
            <w:r>
              <w:rPr>
                <w:rFonts w:ascii="Calibri" w:hAnsi="Calibri"/>
                <w:b/>
                <w:i w:val="0"/>
                <w:color w:val="0B2545"/>
                <w:sz w:val="21"/>
              </w:rPr>
              <w:t xml:space="preserve">ACCESS DECISION  </w:t>
            </w:r>
            <w:r>
              <w:rPr>
                <w:rFonts w:ascii="Calibri" w:hAnsi="Calibri"/>
                <w:b w:val="0"/>
                <w:i w:val="0"/>
                <w:color w:val="1E2228"/>
                <w:sz w:val="21"/>
              </w:rPr>
              <w:t>A secure magic link is the preferred entrance because it is discreet and low-friction. It is not a bearer pass without controls: single use, short expiry, hashed storage, event/purpose scope, revocation and step-up are mandatory.</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2520"/>
            <w:shd w:fill="E8EEF5"/>
            <w:tcMar>
              <w:top w:w="80" w:type="dxa"/>
              <w:start w:w="120" w:type="dxa"/>
              <w:bottom w:w="80" w:type="dxa"/>
              <w:end w:w="120" w:type="dxa"/>
            </w:tcMar>
            <w:vAlign w:val="center"/>
          </w:tcPr>
          <w:p>
            <w:r>
              <w:rPr>
                <w:rFonts w:ascii="Calibri" w:hAnsi="Calibri"/>
                <w:b/>
                <w:i w:val="0"/>
                <w:color w:val="0B2545"/>
                <w:sz w:val="18"/>
              </w:rPr>
              <w:t>Role</w:t>
            </w:r>
          </w:p>
        </w:tc>
        <w:tc>
          <w:tcPr>
            <w:tcW w:type="dxa" w:w="6840"/>
            <w:shd w:fill="E8EEF5"/>
            <w:tcMar>
              <w:top w:w="80" w:type="dxa"/>
              <w:start w:w="120" w:type="dxa"/>
              <w:bottom w:w="80" w:type="dxa"/>
              <w:end w:w="120" w:type="dxa"/>
            </w:tcMar>
            <w:vAlign w:val="center"/>
          </w:tcPr>
          <w:p>
            <w:r>
              <w:rPr>
                <w:rFonts w:ascii="Calibri" w:hAnsi="Calibri"/>
                <w:b/>
                <w:i w:val="0"/>
                <w:color w:val="0B2545"/>
                <w:sz w:val="18"/>
              </w:rPr>
              <w:t>Default Atelier scope</w:t>
            </w:r>
          </w:p>
        </w:tc>
      </w:tr>
      <w:tr>
        <w:trPr>
          <w:cantSplit/>
        </w:trPr>
        <w:tc>
          <w:tcPr>
            <w:tcW w:type="dxa" w:w="2520"/>
            <w:tcMar>
              <w:top w:w="80" w:type="dxa"/>
              <w:start w:w="120" w:type="dxa"/>
              <w:bottom w:w="80" w:type="dxa"/>
              <w:end w:w="120" w:type="dxa"/>
            </w:tcMar>
            <w:vAlign w:val="top"/>
          </w:tcPr>
          <w:p>
            <w:pPr>
              <w:spacing w:after="0"/>
            </w:pPr>
            <w:r>
              <w:rPr>
                <w:rFonts w:ascii="Calibri" w:hAnsi="Calibri"/>
                <w:b w:val="0"/>
                <w:i w:val="0"/>
                <w:color w:val="1E2228"/>
                <w:sz w:val="17"/>
              </w:rPr>
              <w:t>Principal Host</w:t>
            </w:r>
          </w:p>
        </w:tc>
        <w:tc>
          <w:tcPr>
            <w:tcW w:type="dxa" w:w="6840"/>
            <w:tcMar>
              <w:top w:w="80" w:type="dxa"/>
              <w:start w:w="120" w:type="dxa"/>
              <w:bottom w:w="80" w:type="dxa"/>
              <w:end w:w="120" w:type="dxa"/>
            </w:tcMar>
            <w:vAlign w:val="top"/>
          </w:tcPr>
          <w:p>
            <w:pPr>
              <w:spacing w:after="0"/>
            </w:pPr>
            <w:r>
              <w:rPr>
                <w:rFonts w:ascii="Calibri" w:hAnsi="Calibri"/>
                <w:b w:val="0"/>
                <w:i w:val="0"/>
                <w:color w:val="1E2228"/>
                <w:sz w:val="17"/>
              </w:rPr>
              <w:t>All approved chapters and reserved decisions explicitly granted.</w:t>
            </w:r>
          </w:p>
        </w:tc>
      </w:tr>
      <w:tr>
        <w:trPr>
          <w:cantSplit/>
        </w:trPr>
        <w:tc>
          <w:tcPr>
            <w:tcW w:type="dxa" w:w="2520"/>
            <w:tcMar>
              <w:top w:w="80" w:type="dxa"/>
              <w:start w:w="120" w:type="dxa"/>
              <w:bottom w:w="80" w:type="dxa"/>
              <w:end w:w="120" w:type="dxa"/>
            </w:tcMar>
            <w:vAlign w:val="top"/>
          </w:tcPr>
          <w:p>
            <w:pPr>
              <w:spacing w:after="0"/>
            </w:pPr>
            <w:r>
              <w:rPr>
                <w:rFonts w:ascii="Calibri" w:hAnsi="Calibri"/>
                <w:b w:val="0"/>
                <w:i w:val="0"/>
                <w:color w:val="1E2228"/>
                <w:sz w:val="17"/>
              </w:rPr>
              <w:t>Co-host</w:t>
            </w:r>
          </w:p>
        </w:tc>
        <w:tc>
          <w:tcPr>
            <w:tcW w:type="dxa" w:w="6840"/>
            <w:tcMar>
              <w:top w:w="80" w:type="dxa"/>
              <w:start w:w="120" w:type="dxa"/>
              <w:bottom w:w="80" w:type="dxa"/>
              <w:end w:w="120" w:type="dxa"/>
            </w:tcMar>
            <w:vAlign w:val="top"/>
          </w:tcPr>
          <w:p>
            <w:pPr>
              <w:spacing w:after="0"/>
            </w:pPr>
            <w:r>
              <w:rPr>
                <w:rFonts w:ascii="Calibri" w:hAnsi="Calibri"/>
                <w:b w:val="0"/>
                <w:i w:val="0"/>
                <w:color w:val="1E2228"/>
                <w:sz w:val="17"/>
              </w:rPr>
              <w:t>Named chapters and decisions; no automatic parity with principal host.</w:t>
            </w:r>
          </w:p>
        </w:tc>
      </w:tr>
      <w:tr>
        <w:trPr>
          <w:cantSplit/>
        </w:trPr>
        <w:tc>
          <w:tcPr>
            <w:tcW w:type="dxa" w:w="2520"/>
            <w:tcMar>
              <w:top w:w="80" w:type="dxa"/>
              <w:start w:w="120" w:type="dxa"/>
              <w:bottom w:w="80" w:type="dxa"/>
              <w:end w:w="120" w:type="dxa"/>
            </w:tcMar>
            <w:vAlign w:val="top"/>
          </w:tcPr>
          <w:p>
            <w:pPr>
              <w:spacing w:after="0"/>
            </w:pPr>
            <w:r>
              <w:rPr>
                <w:rFonts w:ascii="Calibri" w:hAnsi="Calibri"/>
                <w:b w:val="0"/>
                <w:i w:val="0"/>
                <w:color w:val="1E2228"/>
                <w:sz w:val="17"/>
              </w:rPr>
              <w:t>Family Representative</w:t>
            </w:r>
          </w:p>
        </w:tc>
        <w:tc>
          <w:tcPr>
            <w:tcW w:type="dxa" w:w="6840"/>
            <w:tcMar>
              <w:top w:w="80" w:type="dxa"/>
              <w:start w:w="120" w:type="dxa"/>
              <w:bottom w:w="80" w:type="dxa"/>
              <w:end w:w="120" w:type="dxa"/>
            </w:tcMar>
            <w:vAlign w:val="top"/>
          </w:tcPr>
          <w:p>
            <w:pPr>
              <w:spacing w:after="0"/>
            </w:pPr>
            <w:r>
              <w:rPr>
                <w:rFonts w:ascii="Calibri" w:hAnsi="Calibri"/>
                <w:b w:val="0"/>
                <w:i w:val="0"/>
                <w:color w:val="1E2228"/>
                <w:sz w:val="17"/>
              </w:rPr>
              <w:t>A defined programme, cohort or decision area only.</w:t>
            </w:r>
          </w:p>
        </w:tc>
      </w:tr>
      <w:tr>
        <w:trPr>
          <w:cantSplit/>
        </w:trPr>
        <w:tc>
          <w:tcPr>
            <w:tcW w:type="dxa" w:w="2520"/>
            <w:tcMar>
              <w:top w:w="80" w:type="dxa"/>
              <w:start w:w="120" w:type="dxa"/>
              <w:bottom w:w="80" w:type="dxa"/>
              <w:end w:w="120" w:type="dxa"/>
            </w:tcMar>
            <w:vAlign w:val="top"/>
          </w:tcPr>
          <w:p>
            <w:pPr>
              <w:spacing w:after="0"/>
            </w:pPr>
            <w:r>
              <w:rPr>
                <w:rFonts w:ascii="Calibri" w:hAnsi="Calibri"/>
                <w:b w:val="0"/>
                <w:i w:val="0"/>
                <w:color w:val="1E2228"/>
                <w:sz w:val="17"/>
              </w:rPr>
              <w:t>Executive Assistant</w:t>
            </w:r>
          </w:p>
        </w:tc>
        <w:tc>
          <w:tcPr>
            <w:tcW w:type="dxa" w:w="6840"/>
            <w:tcMar>
              <w:top w:w="80" w:type="dxa"/>
              <w:start w:w="120" w:type="dxa"/>
              <w:bottom w:w="80" w:type="dxa"/>
              <w:end w:w="120" w:type="dxa"/>
            </w:tcMar>
            <w:vAlign w:val="top"/>
          </w:tcPr>
          <w:p>
            <w:pPr>
              <w:spacing w:after="0"/>
            </w:pPr>
            <w:r>
              <w:rPr>
                <w:rFonts w:ascii="Calibri" w:hAnsi="Calibri"/>
                <w:b w:val="0"/>
                <w:i w:val="0"/>
                <w:color w:val="1E2228"/>
                <w:sz w:val="17"/>
              </w:rPr>
              <w:t>Delegated access with scope, expiry and audit.</w:t>
            </w:r>
          </w:p>
        </w:tc>
      </w:tr>
      <w:tr>
        <w:trPr>
          <w:cantSplit/>
        </w:trPr>
        <w:tc>
          <w:tcPr>
            <w:tcW w:type="dxa" w:w="2520"/>
            <w:tcMar>
              <w:top w:w="80" w:type="dxa"/>
              <w:start w:w="120" w:type="dxa"/>
              <w:bottom w:w="80" w:type="dxa"/>
              <w:end w:w="120" w:type="dxa"/>
            </w:tcMar>
            <w:vAlign w:val="top"/>
          </w:tcPr>
          <w:p>
            <w:pPr>
              <w:spacing w:after="0"/>
            </w:pPr>
            <w:r>
              <w:rPr>
                <w:rFonts w:ascii="Calibri" w:hAnsi="Calibri"/>
                <w:b w:val="0"/>
                <w:i w:val="0"/>
                <w:color w:val="1E2228"/>
                <w:sz w:val="17"/>
              </w:rPr>
              <w:t>Corporate Representative</w:t>
            </w:r>
          </w:p>
        </w:tc>
        <w:tc>
          <w:tcPr>
            <w:tcW w:type="dxa" w:w="6840"/>
            <w:tcMar>
              <w:top w:w="80" w:type="dxa"/>
              <w:start w:w="120" w:type="dxa"/>
              <w:bottom w:w="80" w:type="dxa"/>
              <w:end w:w="120" w:type="dxa"/>
            </w:tcMar>
            <w:vAlign w:val="top"/>
          </w:tcPr>
          <w:p>
            <w:pPr>
              <w:spacing w:after="0"/>
            </w:pPr>
            <w:r>
              <w:rPr>
                <w:rFonts w:ascii="Calibri" w:hAnsi="Calibri"/>
                <w:b w:val="0"/>
                <w:i w:val="0"/>
                <w:color w:val="1E2228"/>
                <w:sz w:val="17"/>
              </w:rPr>
              <w:t>Brand/event scope appropriate to mandate.</w:t>
            </w:r>
          </w:p>
        </w:tc>
      </w:tr>
      <w:tr>
        <w:trPr>
          <w:cantSplit/>
        </w:trPr>
        <w:tc>
          <w:tcPr>
            <w:tcW w:type="dxa" w:w="2520"/>
            <w:tcMar>
              <w:top w:w="80" w:type="dxa"/>
              <w:start w:w="120" w:type="dxa"/>
              <w:bottom w:w="80" w:type="dxa"/>
              <w:end w:w="120" w:type="dxa"/>
            </w:tcMar>
            <w:vAlign w:val="top"/>
          </w:tcPr>
          <w:p>
            <w:pPr>
              <w:spacing w:after="0"/>
            </w:pPr>
            <w:r>
              <w:rPr>
                <w:rFonts w:ascii="Calibri" w:hAnsi="Calibri"/>
                <w:b w:val="0"/>
                <w:i w:val="0"/>
                <w:color w:val="1E2228"/>
                <w:sz w:val="17"/>
              </w:rPr>
              <w:t>Read-only Host</w:t>
            </w:r>
          </w:p>
        </w:tc>
        <w:tc>
          <w:tcPr>
            <w:tcW w:type="dxa" w:w="6840"/>
            <w:tcMar>
              <w:top w:w="80" w:type="dxa"/>
              <w:start w:w="120" w:type="dxa"/>
              <w:bottom w:w="80" w:type="dxa"/>
              <w:end w:w="120" w:type="dxa"/>
            </w:tcMar>
            <w:vAlign w:val="top"/>
          </w:tcPr>
          <w:p>
            <w:pPr>
              <w:spacing w:after="0"/>
            </w:pPr>
            <w:r>
              <w:rPr>
                <w:rFonts w:ascii="Calibri" w:hAnsi="Calibri"/>
                <w:b w:val="0"/>
                <w:i w:val="0"/>
                <w:color w:val="1E2228"/>
                <w:sz w:val="17"/>
              </w:rPr>
              <w:t>Narrative and assurance without decisions, exports or private annotations.</w:t>
            </w:r>
          </w:p>
        </w:tc>
      </w:tr>
      <w:tr>
        <w:trPr>
          <w:cantSplit/>
        </w:trPr>
        <w:tc>
          <w:tcPr>
            <w:tcW w:type="dxa" w:w="2520"/>
            <w:tcMar>
              <w:top w:w="80" w:type="dxa"/>
              <w:start w:w="120" w:type="dxa"/>
              <w:bottom w:w="80" w:type="dxa"/>
              <w:end w:w="120" w:type="dxa"/>
            </w:tcMar>
            <w:vAlign w:val="top"/>
          </w:tcPr>
          <w:p>
            <w:pPr>
              <w:spacing w:after="0"/>
            </w:pPr>
            <w:r>
              <w:rPr>
                <w:rFonts w:ascii="Calibri" w:hAnsi="Calibri"/>
                <w:b w:val="0"/>
                <w:i w:val="0"/>
                <w:color w:val="1E2228"/>
                <w:sz w:val="17"/>
              </w:rPr>
              <w:t>Maison Doclar Liaison</w:t>
            </w:r>
          </w:p>
        </w:tc>
        <w:tc>
          <w:tcPr>
            <w:tcW w:type="dxa" w:w="6840"/>
            <w:tcMar>
              <w:top w:w="80" w:type="dxa"/>
              <w:start w:w="120" w:type="dxa"/>
              <w:bottom w:w="80" w:type="dxa"/>
              <w:end w:w="120" w:type="dxa"/>
            </w:tcMar>
            <w:vAlign w:val="top"/>
          </w:tcPr>
          <w:p>
            <w:pPr>
              <w:spacing w:after="0"/>
            </w:pPr>
            <w:r>
              <w:rPr>
                <w:rFonts w:ascii="Calibri" w:hAnsi="Calibri"/>
                <w:b w:val="0"/>
                <w:i w:val="0"/>
                <w:color w:val="1E2228"/>
                <w:sz w:val="17"/>
              </w:rPr>
              <w:t>Staff support under staff authority; no silent impersonation.</w:t>
            </w:r>
          </w:p>
        </w:tc>
      </w:tr>
      <w:tr>
        <w:trPr>
          <w:cantSplit/>
        </w:trPr>
        <w:tc>
          <w:tcPr>
            <w:tcW w:type="dxa" w:w="2520"/>
            <w:tcMar>
              <w:top w:w="80" w:type="dxa"/>
              <w:start w:w="120" w:type="dxa"/>
              <w:bottom w:w="80" w:type="dxa"/>
              <w:end w:w="120" w:type="dxa"/>
            </w:tcMar>
            <w:vAlign w:val="top"/>
          </w:tcPr>
          <w:p>
            <w:pPr>
              <w:spacing w:after="0"/>
            </w:pPr>
            <w:r>
              <w:rPr>
                <w:rFonts w:ascii="Calibri" w:hAnsi="Calibri"/>
                <w:b w:val="0"/>
                <w:i w:val="0"/>
                <w:color w:val="1E2228"/>
                <w:sz w:val="17"/>
              </w:rPr>
              <w:t>Auditor</w:t>
            </w:r>
          </w:p>
        </w:tc>
        <w:tc>
          <w:tcPr>
            <w:tcW w:type="dxa" w:w="6840"/>
            <w:tcMar>
              <w:top w:w="80" w:type="dxa"/>
              <w:start w:w="120" w:type="dxa"/>
              <w:bottom w:w="80" w:type="dxa"/>
              <w:end w:w="120" w:type="dxa"/>
            </w:tcMar>
            <w:vAlign w:val="top"/>
          </w:tcPr>
          <w:p>
            <w:pPr>
              <w:spacing w:after="0"/>
            </w:pPr>
            <w:r>
              <w:rPr>
                <w:rFonts w:ascii="Calibri" w:hAnsi="Calibri"/>
                <w:b w:val="0"/>
                <w:i w:val="0"/>
                <w:color w:val="1E2228"/>
                <w:sz w:val="17"/>
              </w:rPr>
              <w:t>Access/security/decision evidence; no host-content mutation.</w:t>
            </w:r>
          </w:p>
        </w:tc>
      </w:tr>
    </w:tbl>
    <w:p>
      <w:pPr>
        <w:spacing w:after="20"/>
      </w:pPr>
    </w:p>
    <w:p>
      <w:pPr>
        <w:pStyle w:val="Heading2"/>
      </w:pPr>
      <w:r>
        <w:t>15.1 Link and session controls</w:t>
      </w:r>
    </w:p>
    <w:p>
      <w:pPr>
        <w:pStyle w:val="ListBullet"/>
      </w:pPr>
      <w:r>
        <w:t>Request and response do not reveal whether a host/event exists.</w:t>
      </w:r>
    </w:p>
    <w:p>
      <w:pPr>
        <w:pStyle w:val="ListBullet"/>
      </w:pPr>
      <w:r>
        <w:t>Token is hashed at rest, never logged, removed from the URL after redemption and cannot be replayed.</w:t>
      </w:r>
    </w:p>
    <w:p>
      <w:pPr>
        <w:pStyle w:val="ListBullet"/>
      </w:pPr>
      <w:r>
        <w:t>Session has idle and absolute expiry, remote revoke, event scope, CSRF protection and rate limiting.</w:t>
      </w:r>
    </w:p>
    <w:p>
      <w:pPr>
        <w:pStyle w:val="ListBullet"/>
      </w:pPr>
      <w:r>
        <w:t>Sensitive budget, joint decision, export or identity change may require fresh verification.</w:t>
      </w:r>
    </w:p>
    <w:p>
      <w:pPr>
        <w:pStyle w:val="ListBullet"/>
      </w:pPr>
      <w:r>
        <w:t>Forwarded, expired, redeemed, revoked and cross-event links fail closed with humane recovery.</w:t>
      </w:r>
    </w:p>
    <w:p>
      <w:pPr>
        <w:pStyle w:val="Heading1"/>
      </w:pPr>
      <w:r>
        <w:t>16. Canonical records and projection contracts</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3240"/>
            <w:shd w:fill="E8EEF5"/>
            <w:tcMar>
              <w:top w:w="80" w:type="dxa"/>
              <w:start w:w="120" w:type="dxa"/>
              <w:bottom w:w="80" w:type="dxa"/>
              <w:end w:w="120" w:type="dxa"/>
            </w:tcMar>
            <w:vAlign w:val="center"/>
          </w:tcPr>
          <w:p>
            <w:r>
              <w:rPr>
                <w:rFonts w:ascii="Calibri" w:hAnsi="Calibri"/>
                <w:b/>
                <w:i w:val="0"/>
                <w:color w:val="0B2545"/>
                <w:sz w:val="18"/>
              </w:rPr>
              <w:t>Record</w:t>
            </w:r>
          </w:p>
        </w:tc>
        <w:tc>
          <w:tcPr>
            <w:tcW w:type="dxa" w:w="6120"/>
            <w:shd w:fill="E8EEF5"/>
            <w:tcMar>
              <w:top w:w="80" w:type="dxa"/>
              <w:start w:w="120" w:type="dxa"/>
              <w:bottom w:w="80" w:type="dxa"/>
              <w:end w:w="120" w:type="dxa"/>
            </w:tcMar>
            <w:vAlign w:val="center"/>
          </w:tcPr>
          <w:p>
            <w:r>
              <w:rPr>
                <w:rFonts w:ascii="Calibri" w:hAnsi="Calibri"/>
                <w:b/>
                <w:i w:val="0"/>
                <w:color w:val="0B2545"/>
                <w:sz w:val="18"/>
              </w:rPr>
              <w:t>Essential fields / law</w:t>
            </w:r>
          </w:p>
        </w:tc>
      </w:tr>
      <w:tr>
        <w:trPr>
          <w:cantSplit/>
        </w:trPr>
        <w:tc>
          <w:tcPr>
            <w:tcW w:type="dxa" w:w="3240"/>
            <w:tcMar>
              <w:top w:w="80" w:type="dxa"/>
              <w:start w:w="120" w:type="dxa"/>
              <w:bottom w:w="80" w:type="dxa"/>
              <w:end w:w="120" w:type="dxa"/>
            </w:tcMar>
            <w:vAlign w:val="top"/>
          </w:tcPr>
          <w:p>
            <w:pPr>
              <w:spacing w:after="0"/>
            </w:pPr>
            <w:r>
              <w:rPr>
                <w:rFonts w:ascii="Calibri" w:hAnsi="Calibri"/>
                <w:b w:val="0"/>
                <w:i w:val="0"/>
                <w:color w:val="1E2228"/>
                <w:sz w:val="17"/>
              </w:rPr>
              <w:t>BlueprintGenesis</w:t>
            </w:r>
          </w:p>
        </w:tc>
        <w:tc>
          <w:tcPr>
            <w:tcW w:type="dxa" w:w="6120"/>
            <w:tcMar>
              <w:top w:w="80" w:type="dxa"/>
              <w:start w:w="120" w:type="dxa"/>
              <w:bottom w:w="80" w:type="dxa"/>
              <w:end w:w="120" w:type="dxa"/>
            </w:tcMar>
            <w:vAlign w:val="top"/>
          </w:tcPr>
          <w:p>
            <w:pPr>
              <w:spacing w:after="0"/>
            </w:pPr>
            <w:r>
              <w:rPr>
                <w:rFonts w:ascii="Calibri" w:hAnsi="Calibri"/>
                <w:b w:val="0"/>
                <w:i w:val="0"/>
                <w:color w:val="1E2228"/>
                <w:sz w:val="17"/>
              </w:rPr>
              <w:t>Accepted-source reference, captured intent, origin edition, accepter, time and import status.</w:t>
            </w:r>
          </w:p>
        </w:tc>
      </w:tr>
      <w:tr>
        <w:trPr>
          <w:cantSplit/>
        </w:trPr>
        <w:tc>
          <w:tcPr>
            <w:tcW w:type="dxa" w:w="3240"/>
            <w:tcMar>
              <w:top w:w="80" w:type="dxa"/>
              <w:start w:w="120" w:type="dxa"/>
              <w:bottom w:w="80" w:type="dxa"/>
              <w:end w:w="120" w:type="dxa"/>
            </w:tcMar>
            <w:vAlign w:val="top"/>
          </w:tcPr>
          <w:p>
            <w:pPr>
              <w:spacing w:after="0"/>
            </w:pPr>
            <w:r>
              <w:rPr>
                <w:rFonts w:ascii="Calibri" w:hAnsi="Calibri"/>
                <w:b w:val="0"/>
                <w:i w:val="0"/>
                <w:color w:val="1E2228"/>
                <w:sz w:val="17"/>
              </w:rPr>
              <w:t>EventAtelier</w:t>
            </w:r>
          </w:p>
        </w:tc>
        <w:tc>
          <w:tcPr>
            <w:tcW w:type="dxa" w:w="6120"/>
            <w:tcMar>
              <w:top w:w="80" w:type="dxa"/>
              <w:start w:w="120" w:type="dxa"/>
              <w:bottom w:w="80" w:type="dxa"/>
              <w:end w:w="120" w:type="dxa"/>
            </w:tcMar>
            <w:vAlign w:val="top"/>
          </w:tcPr>
          <w:p>
            <w:pPr>
              <w:spacing w:after="0"/>
            </w:pPr>
            <w:r>
              <w:rPr>
                <w:rFonts w:ascii="Calibri" w:hAnsi="Calibri"/>
                <w:b w:val="0"/>
                <w:i w:val="0"/>
                <w:color w:val="1E2228"/>
                <w:sz w:val="17"/>
              </w:rPr>
              <w:t>atelierId, event/programmeId, lifecycle state, theme edition and publication state.</w:t>
            </w:r>
          </w:p>
        </w:tc>
      </w:tr>
      <w:tr>
        <w:trPr>
          <w:cantSplit/>
        </w:trPr>
        <w:tc>
          <w:tcPr>
            <w:tcW w:type="dxa" w:w="3240"/>
            <w:tcMar>
              <w:top w:w="80" w:type="dxa"/>
              <w:start w:w="120" w:type="dxa"/>
              <w:bottom w:w="80" w:type="dxa"/>
              <w:end w:w="120" w:type="dxa"/>
            </w:tcMar>
            <w:vAlign w:val="top"/>
          </w:tcPr>
          <w:p>
            <w:pPr>
              <w:spacing w:after="0"/>
            </w:pPr>
            <w:r>
              <w:rPr>
                <w:rFonts w:ascii="Calibri" w:hAnsi="Calibri"/>
                <w:b w:val="0"/>
                <w:i w:val="0"/>
                <w:color w:val="1E2228"/>
                <w:sz w:val="17"/>
              </w:rPr>
              <w:t>AtelierChapter</w:t>
            </w:r>
          </w:p>
        </w:tc>
        <w:tc>
          <w:tcPr>
            <w:tcW w:type="dxa" w:w="6120"/>
            <w:tcMar>
              <w:top w:w="80" w:type="dxa"/>
              <w:start w:w="120" w:type="dxa"/>
              <w:bottom w:w="80" w:type="dxa"/>
              <w:end w:w="120" w:type="dxa"/>
            </w:tcMar>
            <w:vAlign w:val="top"/>
          </w:tcPr>
          <w:p>
            <w:pPr>
              <w:spacing w:after="0"/>
            </w:pPr>
            <w:r>
              <w:rPr>
                <w:rFonts w:ascii="Calibri" w:hAnsi="Calibri"/>
                <w:b w:val="0"/>
                <w:i w:val="0"/>
                <w:color w:val="1E2228"/>
                <w:sz w:val="17"/>
              </w:rPr>
              <w:t>type, order, visibility policy, current edition and chapter state.</w:t>
            </w:r>
          </w:p>
        </w:tc>
      </w:tr>
      <w:tr>
        <w:trPr>
          <w:cantSplit/>
        </w:trPr>
        <w:tc>
          <w:tcPr>
            <w:tcW w:type="dxa" w:w="3240"/>
            <w:tcMar>
              <w:top w:w="80" w:type="dxa"/>
              <w:start w:w="120" w:type="dxa"/>
              <w:bottom w:w="80" w:type="dxa"/>
              <w:end w:w="120" w:type="dxa"/>
            </w:tcMar>
            <w:vAlign w:val="top"/>
          </w:tcPr>
          <w:p>
            <w:pPr>
              <w:spacing w:after="0"/>
            </w:pPr>
            <w:r>
              <w:rPr>
                <w:rFonts w:ascii="Calibri" w:hAnsi="Calibri"/>
                <w:b w:val="0"/>
                <w:i w:val="0"/>
                <w:color w:val="1E2228"/>
                <w:sz w:val="17"/>
              </w:rPr>
              <w:t>EventNarrativeEdition</w:t>
            </w:r>
          </w:p>
        </w:tc>
        <w:tc>
          <w:tcPr>
            <w:tcW w:type="dxa" w:w="6120"/>
            <w:tcMar>
              <w:top w:w="80" w:type="dxa"/>
              <w:start w:w="120" w:type="dxa"/>
              <w:bottom w:w="80" w:type="dxa"/>
              <w:end w:w="120" w:type="dxa"/>
            </w:tcMar>
            <w:vAlign w:val="top"/>
          </w:tcPr>
          <w:p>
            <w:pPr>
              <w:spacing w:after="0"/>
            </w:pPr>
            <w:r>
              <w:rPr>
                <w:rFonts w:ascii="Calibri" w:hAnsi="Calibri"/>
                <w:b w:val="0"/>
                <w:i w:val="0"/>
                <w:color w:val="1E2228"/>
                <w:sz w:val="17"/>
              </w:rPr>
              <w:t>story, pillars, cultural/brand intent, author, approval, provenance and effective time.</w:t>
            </w:r>
          </w:p>
        </w:tc>
      </w:tr>
      <w:tr>
        <w:trPr>
          <w:cantSplit/>
        </w:trPr>
        <w:tc>
          <w:tcPr>
            <w:tcW w:type="dxa" w:w="3240"/>
            <w:tcMar>
              <w:top w:w="80" w:type="dxa"/>
              <w:start w:w="120" w:type="dxa"/>
              <w:bottom w:w="80" w:type="dxa"/>
              <w:end w:w="120" w:type="dxa"/>
            </w:tcMar>
            <w:vAlign w:val="top"/>
          </w:tcPr>
          <w:p>
            <w:pPr>
              <w:spacing w:after="0"/>
            </w:pPr>
            <w:r>
              <w:rPr>
                <w:rFonts w:ascii="Calibri" w:hAnsi="Calibri"/>
                <w:b w:val="0"/>
                <w:i w:val="0"/>
                <w:color w:val="1E2228"/>
                <w:sz w:val="17"/>
              </w:rPr>
              <w:t>CuratedMediaSet</w:t>
            </w:r>
          </w:p>
        </w:tc>
        <w:tc>
          <w:tcPr>
            <w:tcW w:type="dxa" w:w="6120"/>
            <w:tcMar>
              <w:top w:w="80" w:type="dxa"/>
              <w:start w:w="120" w:type="dxa"/>
              <w:bottom w:w="80" w:type="dxa"/>
              <w:end w:w="120" w:type="dxa"/>
            </w:tcMar>
            <w:vAlign w:val="top"/>
          </w:tcPr>
          <w:p>
            <w:pPr>
              <w:spacing w:after="0"/>
            </w:pPr>
            <w:r>
              <w:rPr>
                <w:rFonts w:ascii="Calibri" w:hAnsi="Calibri"/>
                <w:b w:val="0"/>
                <w:i w:val="0"/>
                <w:color w:val="1E2228"/>
                <w:sz w:val="17"/>
              </w:rPr>
              <w:t>asset refs, rights, alt text, crop/fallback, approval and expiry.</w:t>
            </w:r>
          </w:p>
        </w:tc>
      </w:tr>
      <w:tr>
        <w:trPr>
          <w:cantSplit/>
        </w:trPr>
        <w:tc>
          <w:tcPr>
            <w:tcW w:type="dxa" w:w="3240"/>
            <w:tcMar>
              <w:top w:w="80" w:type="dxa"/>
              <w:start w:w="120" w:type="dxa"/>
              <w:bottom w:w="80" w:type="dxa"/>
              <w:end w:w="120" w:type="dxa"/>
            </w:tcMar>
            <w:vAlign w:val="top"/>
          </w:tcPr>
          <w:p>
            <w:pPr>
              <w:spacing w:after="0"/>
            </w:pPr>
            <w:r>
              <w:rPr>
                <w:rFonts w:ascii="Calibri" w:hAnsi="Calibri"/>
                <w:b w:val="0"/>
                <w:i w:val="0"/>
                <w:color w:val="1E2228"/>
                <w:sz w:val="17"/>
              </w:rPr>
              <w:t>GuestJourneyProjection</w:t>
            </w:r>
          </w:p>
        </w:tc>
        <w:tc>
          <w:tcPr>
            <w:tcW w:type="dxa" w:w="6120"/>
            <w:tcMar>
              <w:top w:w="80" w:type="dxa"/>
              <w:start w:w="120" w:type="dxa"/>
              <w:bottom w:w="80" w:type="dxa"/>
              <w:end w:w="120" w:type="dxa"/>
            </w:tcMar>
            <w:vAlign w:val="top"/>
          </w:tcPr>
          <w:p>
            <w:pPr>
              <w:spacing w:after="0"/>
            </w:pPr>
            <w:r>
              <w:rPr>
                <w:rFonts w:ascii="Calibri" w:hAnsi="Calibri"/>
                <w:b w:val="0"/>
                <w:i w:val="0"/>
                <w:color w:val="1E2228"/>
                <w:sz w:val="17"/>
              </w:rPr>
              <w:t>S04B phase refs, host wording, edition, freshness and source versions.</w:t>
            </w:r>
          </w:p>
        </w:tc>
      </w:tr>
      <w:tr>
        <w:trPr>
          <w:cantSplit/>
        </w:trPr>
        <w:tc>
          <w:tcPr>
            <w:tcW w:type="dxa" w:w="3240"/>
            <w:tcMar>
              <w:top w:w="80" w:type="dxa"/>
              <w:start w:w="120" w:type="dxa"/>
              <w:bottom w:w="80" w:type="dxa"/>
              <w:end w:w="120" w:type="dxa"/>
            </w:tcMar>
            <w:vAlign w:val="top"/>
          </w:tcPr>
          <w:p>
            <w:pPr>
              <w:spacing w:after="0"/>
            </w:pPr>
            <w:r>
              <w:rPr>
                <w:rFonts w:ascii="Calibri" w:hAnsi="Calibri"/>
                <w:b w:val="0"/>
                <w:i w:val="0"/>
                <w:color w:val="1E2228"/>
                <w:sz w:val="17"/>
              </w:rPr>
              <w:t>HostMilestoneProjection</w:t>
            </w:r>
          </w:p>
        </w:tc>
        <w:tc>
          <w:tcPr>
            <w:tcW w:type="dxa" w:w="6120"/>
            <w:tcMar>
              <w:top w:w="80" w:type="dxa"/>
              <w:start w:w="120" w:type="dxa"/>
              <w:bottom w:w="80" w:type="dxa"/>
              <w:end w:w="120" w:type="dxa"/>
            </w:tcMar>
            <w:vAlign w:val="top"/>
          </w:tcPr>
          <w:p>
            <w:pPr>
              <w:spacing w:after="0"/>
            </w:pPr>
            <w:r>
              <w:rPr>
                <w:rFonts w:ascii="Calibri" w:hAnsi="Calibri"/>
                <w:b w:val="0"/>
                <w:i w:val="0"/>
                <w:color w:val="1E2228"/>
                <w:sz w:val="17"/>
              </w:rPr>
              <w:t>canonical refs, meaning, date, assurance state, host action and freshness.</w:t>
            </w:r>
          </w:p>
        </w:tc>
      </w:tr>
      <w:tr>
        <w:trPr>
          <w:cantSplit/>
        </w:trPr>
        <w:tc>
          <w:tcPr>
            <w:tcW w:type="dxa" w:w="3240"/>
            <w:tcMar>
              <w:top w:w="80" w:type="dxa"/>
              <w:start w:w="120" w:type="dxa"/>
              <w:bottom w:w="80" w:type="dxa"/>
              <w:end w:w="120" w:type="dxa"/>
            </w:tcMar>
            <w:vAlign w:val="top"/>
          </w:tcPr>
          <w:p>
            <w:pPr>
              <w:spacing w:after="0"/>
            </w:pPr>
            <w:r>
              <w:rPr>
                <w:rFonts w:ascii="Calibri" w:hAnsi="Calibri"/>
                <w:b w:val="0"/>
                <w:i w:val="0"/>
                <w:color w:val="1E2228"/>
                <w:sz w:val="17"/>
              </w:rPr>
              <w:t>BudgetAssuranceProjection</w:t>
            </w:r>
          </w:p>
        </w:tc>
        <w:tc>
          <w:tcPr>
            <w:tcW w:type="dxa" w:w="6120"/>
            <w:tcMar>
              <w:top w:w="80" w:type="dxa"/>
              <w:start w:w="120" w:type="dxa"/>
              <w:bottom w:w="80" w:type="dxa"/>
              <w:end w:w="120" w:type="dxa"/>
            </w:tcMar>
            <w:vAlign w:val="top"/>
          </w:tcPr>
          <w:p>
            <w:pPr>
              <w:spacing w:after="0"/>
            </w:pPr>
            <w:r>
              <w:rPr>
                <w:rFonts w:ascii="Calibri" w:hAnsi="Calibri"/>
                <w:b w:val="0"/>
                <w:i w:val="0"/>
                <w:color w:val="1E2228"/>
                <w:sz w:val="17"/>
              </w:rPr>
              <w:t>canonical finance ref, currency, approved aggregates, freshness and access class.</w:t>
            </w:r>
          </w:p>
        </w:tc>
      </w:tr>
      <w:tr>
        <w:trPr>
          <w:cantSplit/>
        </w:trPr>
        <w:tc>
          <w:tcPr>
            <w:tcW w:type="dxa" w:w="3240"/>
            <w:tcMar>
              <w:top w:w="80" w:type="dxa"/>
              <w:start w:w="120" w:type="dxa"/>
              <w:bottom w:w="80" w:type="dxa"/>
              <w:end w:w="120" w:type="dxa"/>
            </w:tcMar>
            <w:vAlign w:val="top"/>
          </w:tcPr>
          <w:p>
            <w:pPr>
              <w:spacing w:after="0"/>
            </w:pPr>
            <w:r>
              <w:rPr>
                <w:rFonts w:ascii="Calibri" w:hAnsi="Calibri"/>
                <w:b w:val="0"/>
                <w:i w:val="0"/>
                <w:color w:val="1E2228"/>
                <w:sz w:val="17"/>
              </w:rPr>
              <w:t>VendorEnsembleProjection</w:t>
            </w:r>
          </w:p>
        </w:tc>
        <w:tc>
          <w:tcPr>
            <w:tcW w:type="dxa" w:w="6120"/>
            <w:tcMar>
              <w:top w:w="80" w:type="dxa"/>
              <w:start w:w="120" w:type="dxa"/>
              <w:bottom w:w="80" w:type="dxa"/>
              <w:end w:w="120" w:type="dxa"/>
            </w:tcMar>
            <w:vAlign w:val="top"/>
          </w:tcPr>
          <w:p>
            <w:pPr>
              <w:spacing w:after="0"/>
            </w:pPr>
            <w:r>
              <w:rPr>
                <w:rFonts w:ascii="Calibri" w:hAnsi="Calibri"/>
                <w:b w:val="0"/>
                <w:i w:val="0"/>
                <w:color w:val="1E2228"/>
                <w:sz w:val="17"/>
              </w:rPr>
              <w:t>vendor/service, attributed/verified state, approved media/contact and visibility.</w:t>
            </w:r>
          </w:p>
        </w:tc>
      </w:tr>
      <w:tr>
        <w:trPr>
          <w:cantSplit/>
        </w:trPr>
        <w:tc>
          <w:tcPr>
            <w:tcW w:type="dxa" w:w="3240"/>
            <w:tcMar>
              <w:top w:w="80" w:type="dxa"/>
              <w:start w:w="120" w:type="dxa"/>
              <w:bottom w:w="80" w:type="dxa"/>
              <w:end w:w="120" w:type="dxa"/>
            </w:tcMar>
            <w:vAlign w:val="top"/>
          </w:tcPr>
          <w:p>
            <w:pPr>
              <w:spacing w:after="0"/>
            </w:pPr>
            <w:r>
              <w:rPr>
                <w:rFonts w:ascii="Calibri" w:hAnsi="Calibri"/>
                <w:b w:val="0"/>
                <w:i w:val="0"/>
                <w:color w:val="1E2228"/>
                <w:sz w:val="17"/>
              </w:rPr>
              <w:t>ContingencyAssuranceProjection</w:t>
            </w:r>
          </w:p>
        </w:tc>
        <w:tc>
          <w:tcPr>
            <w:tcW w:type="dxa" w:w="6120"/>
            <w:tcMar>
              <w:top w:w="80" w:type="dxa"/>
              <w:start w:w="120" w:type="dxa"/>
              <w:bottom w:w="80" w:type="dxa"/>
              <w:end w:w="120" w:type="dxa"/>
            </w:tcMar>
            <w:vAlign w:val="top"/>
          </w:tcPr>
          <w:p>
            <w:pPr>
              <w:spacing w:after="0"/>
            </w:pPr>
            <w:r>
              <w:rPr>
                <w:rFonts w:ascii="Calibri" w:hAnsi="Calibri"/>
                <w:b w:val="0"/>
                <w:i w:val="0"/>
                <w:color w:val="1E2228"/>
                <w:sz w:val="17"/>
              </w:rPr>
              <w:t>approved host statement, material action, source ref, visibility and expiry.</w:t>
            </w:r>
          </w:p>
        </w:tc>
      </w:tr>
      <w:tr>
        <w:trPr>
          <w:cantSplit/>
        </w:trPr>
        <w:tc>
          <w:tcPr>
            <w:tcW w:type="dxa" w:w="3240"/>
            <w:tcMar>
              <w:top w:w="80" w:type="dxa"/>
              <w:start w:w="120" w:type="dxa"/>
              <w:bottom w:w="80" w:type="dxa"/>
              <w:end w:w="120" w:type="dxa"/>
            </w:tcMar>
            <w:vAlign w:val="top"/>
          </w:tcPr>
          <w:p>
            <w:pPr>
              <w:spacing w:after="0"/>
            </w:pPr>
            <w:r>
              <w:rPr>
                <w:rFonts w:ascii="Calibri" w:hAnsi="Calibri"/>
                <w:b w:val="0"/>
                <w:i w:val="0"/>
                <w:color w:val="1E2228"/>
                <w:sz w:val="17"/>
              </w:rPr>
              <w:t>HostDecisionRequest/Receipt</w:t>
            </w:r>
          </w:p>
        </w:tc>
        <w:tc>
          <w:tcPr>
            <w:tcW w:type="dxa" w:w="6120"/>
            <w:tcMar>
              <w:top w:w="80" w:type="dxa"/>
              <w:start w:w="120" w:type="dxa"/>
              <w:bottom w:w="80" w:type="dxa"/>
              <w:end w:w="120" w:type="dxa"/>
            </w:tcMar>
            <w:vAlign w:val="top"/>
          </w:tcPr>
          <w:p>
            <w:pPr>
              <w:spacing w:after="0"/>
            </w:pPr>
            <w:r>
              <w:rPr>
                <w:rFonts w:ascii="Calibri" w:hAnsi="Calibri"/>
                <w:b w:val="0"/>
                <w:i w:val="0"/>
                <w:color w:val="1E2228"/>
                <w:sz w:val="17"/>
              </w:rPr>
              <w:t>versioned question, authority, recommendation/options, step-up, actor and outcome.</w:t>
            </w:r>
          </w:p>
        </w:tc>
      </w:tr>
      <w:tr>
        <w:trPr>
          <w:cantSplit/>
        </w:trPr>
        <w:tc>
          <w:tcPr>
            <w:tcW w:type="dxa" w:w="3240"/>
            <w:tcMar>
              <w:top w:w="80" w:type="dxa"/>
              <w:start w:w="120" w:type="dxa"/>
              <w:bottom w:w="80" w:type="dxa"/>
              <w:end w:w="120" w:type="dxa"/>
            </w:tcMar>
            <w:vAlign w:val="top"/>
          </w:tcPr>
          <w:p>
            <w:pPr>
              <w:spacing w:after="0"/>
            </w:pPr>
            <w:r>
              <w:rPr>
                <w:rFonts w:ascii="Calibri" w:hAnsi="Calibri"/>
                <w:b w:val="0"/>
                <w:i w:val="0"/>
                <w:color w:val="1E2228"/>
                <w:sz w:val="17"/>
              </w:rPr>
              <w:t>ApprovedAssetEdition</w:t>
            </w:r>
          </w:p>
        </w:tc>
        <w:tc>
          <w:tcPr>
            <w:tcW w:type="dxa" w:w="6120"/>
            <w:tcMar>
              <w:top w:w="80" w:type="dxa"/>
              <w:start w:w="120" w:type="dxa"/>
              <w:bottom w:w="80" w:type="dxa"/>
              <w:end w:w="120" w:type="dxa"/>
            </w:tcMar>
            <w:vAlign w:val="top"/>
          </w:tcPr>
          <w:p>
            <w:pPr>
              <w:spacing w:after="0"/>
            </w:pPr>
            <w:r>
              <w:rPr>
                <w:rFonts w:ascii="Calibri" w:hAnsi="Calibri"/>
                <w:b w:val="0"/>
                <w:i w:val="0"/>
                <w:color w:val="1E2228"/>
                <w:sz w:val="17"/>
              </w:rPr>
              <w:t>canonical asset ref, category, edition, approval, current/revoked state and rights.</w:t>
            </w:r>
          </w:p>
        </w:tc>
      </w:tr>
      <w:tr>
        <w:trPr>
          <w:cantSplit/>
        </w:trPr>
        <w:tc>
          <w:tcPr>
            <w:tcW w:type="dxa" w:w="3240"/>
            <w:tcMar>
              <w:top w:w="80" w:type="dxa"/>
              <w:start w:w="120" w:type="dxa"/>
              <w:bottom w:w="80" w:type="dxa"/>
              <w:end w:w="120" w:type="dxa"/>
            </w:tcMar>
            <w:vAlign w:val="top"/>
          </w:tcPr>
          <w:p>
            <w:pPr>
              <w:spacing w:after="0"/>
            </w:pPr>
            <w:r>
              <w:rPr>
                <w:rFonts w:ascii="Calibri" w:hAnsi="Calibri"/>
                <w:b w:val="0"/>
                <w:i w:val="0"/>
                <w:color w:val="1E2228"/>
                <w:sz w:val="17"/>
              </w:rPr>
              <w:t>CuratedUpdate</w:t>
            </w:r>
          </w:p>
        </w:tc>
        <w:tc>
          <w:tcPr>
            <w:tcW w:type="dxa" w:w="6120"/>
            <w:tcMar>
              <w:top w:w="80" w:type="dxa"/>
              <w:start w:w="120" w:type="dxa"/>
              <w:bottom w:w="80" w:type="dxa"/>
              <w:end w:w="120" w:type="dxa"/>
            </w:tcMar>
            <w:vAlign w:val="top"/>
          </w:tcPr>
          <w:p>
            <w:pPr>
              <w:spacing w:after="0"/>
            </w:pPr>
            <w:r>
              <w:rPr>
                <w:rFonts w:ascii="Calibri" w:hAnsi="Calibri"/>
                <w:b w:val="0"/>
                <w:i w:val="0"/>
                <w:color w:val="1E2228"/>
                <w:sz w:val="17"/>
              </w:rPr>
              <w:t>approved narrative, importance, source refs, audience, author, publish/expiry.</w:t>
            </w:r>
          </w:p>
        </w:tc>
      </w:tr>
      <w:tr>
        <w:trPr>
          <w:cantSplit/>
        </w:trPr>
        <w:tc>
          <w:tcPr>
            <w:tcW w:type="dxa" w:w="3240"/>
            <w:tcMar>
              <w:top w:w="80" w:type="dxa"/>
              <w:start w:w="120" w:type="dxa"/>
              <w:bottom w:w="80" w:type="dxa"/>
              <w:end w:w="120" w:type="dxa"/>
            </w:tcMar>
            <w:vAlign w:val="top"/>
          </w:tcPr>
          <w:p>
            <w:pPr>
              <w:spacing w:after="0"/>
            </w:pPr>
            <w:r>
              <w:rPr>
                <w:rFonts w:ascii="Calibri" w:hAnsi="Calibri"/>
                <w:b w:val="0"/>
                <w:i w:val="0"/>
                <w:color w:val="1E2228"/>
                <w:sz w:val="17"/>
              </w:rPr>
              <w:t>AtelierAccessGrant</w:t>
            </w:r>
          </w:p>
        </w:tc>
        <w:tc>
          <w:tcPr>
            <w:tcW w:type="dxa" w:w="6120"/>
            <w:tcMar>
              <w:top w:w="80" w:type="dxa"/>
              <w:start w:w="120" w:type="dxa"/>
              <w:bottom w:w="80" w:type="dxa"/>
              <w:end w:w="120" w:type="dxa"/>
            </w:tcMar>
            <w:vAlign w:val="top"/>
          </w:tcPr>
          <w:p>
            <w:pPr>
              <w:spacing w:after="0"/>
            </w:pPr>
            <w:r>
              <w:rPr>
                <w:rFonts w:ascii="Calibri" w:hAnsi="Calibri"/>
                <w:b w:val="0"/>
                <w:i w:val="0"/>
                <w:color w:val="1E2228"/>
                <w:sz w:val="17"/>
              </w:rPr>
              <w:t>person, event, role, permissions, issuer, validity and revoke state.</w:t>
            </w:r>
          </w:p>
        </w:tc>
      </w:tr>
      <w:tr>
        <w:trPr>
          <w:cantSplit/>
        </w:trPr>
        <w:tc>
          <w:tcPr>
            <w:tcW w:type="dxa" w:w="3240"/>
            <w:tcMar>
              <w:top w:w="80" w:type="dxa"/>
              <w:start w:w="120" w:type="dxa"/>
              <w:bottom w:w="80" w:type="dxa"/>
              <w:end w:w="120" w:type="dxa"/>
            </w:tcMar>
            <w:vAlign w:val="top"/>
          </w:tcPr>
          <w:p>
            <w:pPr>
              <w:spacing w:after="0"/>
            </w:pPr>
            <w:r>
              <w:rPr>
                <w:rFonts w:ascii="Calibri" w:hAnsi="Calibri"/>
                <w:b w:val="0"/>
                <w:i w:val="0"/>
                <w:color w:val="1E2228"/>
                <w:sz w:val="17"/>
              </w:rPr>
              <w:t>MagicLinkChallenge/Session</w:t>
            </w:r>
          </w:p>
        </w:tc>
        <w:tc>
          <w:tcPr>
            <w:tcW w:type="dxa" w:w="6120"/>
            <w:tcMar>
              <w:top w:w="80" w:type="dxa"/>
              <w:start w:w="120" w:type="dxa"/>
              <w:bottom w:w="80" w:type="dxa"/>
              <w:end w:w="120" w:type="dxa"/>
            </w:tcMar>
            <w:vAlign w:val="top"/>
          </w:tcPr>
          <w:p>
            <w:pPr>
              <w:spacing w:after="0"/>
            </w:pPr>
            <w:r>
              <w:rPr>
                <w:rFonts w:ascii="Calibri" w:hAnsi="Calibri"/>
                <w:b w:val="0"/>
                <w:i w:val="0"/>
                <w:color w:val="1E2228"/>
                <w:sz w:val="17"/>
              </w:rPr>
              <w:t>hashed purpose token, expiry/redemption plus scoped session and revoke state.</w:t>
            </w:r>
          </w:p>
        </w:tc>
      </w:tr>
    </w:tbl>
    <w:p>
      <w:pPr>
        <w:spacing w:after="20"/>
      </w:pPr>
    </w:p>
    <w:p>
      <w:pPr>
        <w:pStyle w:val="Heading2"/>
      </w:pPr>
      <w:r>
        <w:t>16.1 Projection laws</w:t>
      </w:r>
    </w:p>
    <w:p>
      <w:pPr>
        <w:pStyle w:val="ListBullet"/>
      </w:pPr>
      <w:r>
        <w:t>Server-side allowlists construct each projection; a domain object is never serialised wholesale.</w:t>
      </w:r>
    </w:p>
    <w:p>
      <w:pPr>
        <w:pStyle w:val="ListBullet"/>
      </w:pPr>
      <w:r>
        <w:t>Every material statement is traceable to source versions, approval and freshness even when those mechanics are visually quiet.</w:t>
      </w:r>
    </w:p>
    <w:p>
      <w:pPr>
        <w:pStyle w:val="ListBullet"/>
      </w:pPr>
      <w:r>
        <w:t>Host action creates a governed request or receipt; it never directly overwrites canonical truth.</w:t>
      </w:r>
    </w:p>
    <w:p>
      <w:pPr>
        <w:pStyle w:val="ListBullet"/>
      </w:pPr>
      <w:r>
        <w:t>Unknown, stale, withdrawn and unavailable states are explicit and cannot be converted to reassuring copy automatically.</w:t>
      </w:r>
    </w:p>
    <w:p>
      <w:pPr>
        <w:pStyle w:val="ListBullet"/>
      </w:pPr>
      <w:r>
        <w:t>Cross-event and cross-role reads fail closed; revoked editions disappear from ordinary presentation without destroying audit evidence.</w:t>
      </w:r>
    </w:p>
    <w:p>
      <w:pPr>
        <w:pStyle w:val="Heading1"/>
      </w:pPr>
      <w:r>
        <w:t>17. Blueprint Genesis and editorial workflow</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1872"/>
            <w:shd w:fill="E8EEF5"/>
            <w:tcMar>
              <w:top w:w="80" w:type="dxa"/>
              <w:start w:w="120" w:type="dxa"/>
              <w:bottom w:w="80" w:type="dxa"/>
              <w:end w:w="120" w:type="dxa"/>
            </w:tcMar>
            <w:vAlign w:val="center"/>
          </w:tcPr>
          <w:p>
            <w:r>
              <w:rPr>
                <w:rFonts w:ascii="Calibri" w:hAnsi="Calibri"/>
                <w:b/>
                <w:i w:val="0"/>
                <w:color w:val="0B2545"/>
                <w:sz w:val="18"/>
              </w:rPr>
              <w:t>Step</w:t>
            </w:r>
          </w:p>
        </w:tc>
        <w:tc>
          <w:tcPr>
            <w:tcW w:type="dxa" w:w="7488"/>
            <w:shd w:fill="E8EEF5"/>
            <w:tcMar>
              <w:top w:w="80" w:type="dxa"/>
              <w:start w:w="120" w:type="dxa"/>
              <w:bottom w:w="80" w:type="dxa"/>
              <w:end w:w="120" w:type="dxa"/>
            </w:tcMar>
            <w:vAlign w:val="center"/>
          </w:tcPr>
          <w:p>
            <w:r>
              <w:rPr>
                <w:rFonts w:ascii="Calibri" w:hAnsi="Calibri"/>
                <w:b/>
                <w:i w:val="0"/>
                <w:color w:val="0B2545"/>
                <w:sz w:val="18"/>
              </w:rPr>
              <w:t>Control</w:t>
            </w:r>
          </w:p>
        </w:tc>
      </w:tr>
      <w:tr>
        <w:trPr>
          <w:cantSplit/>
        </w:trPr>
        <w:tc>
          <w:tcPr>
            <w:tcW w:type="dxa" w:w="1872"/>
            <w:tcMar>
              <w:top w:w="80" w:type="dxa"/>
              <w:start w:w="120" w:type="dxa"/>
              <w:bottom w:w="80" w:type="dxa"/>
              <w:end w:w="120" w:type="dxa"/>
            </w:tcMar>
            <w:vAlign w:val="top"/>
          </w:tcPr>
          <w:p>
            <w:pPr>
              <w:spacing w:after="0"/>
            </w:pPr>
            <w:r>
              <w:rPr>
                <w:rFonts w:ascii="Calibri" w:hAnsi="Calibri"/>
                <w:b w:val="0"/>
                <w:i w:val="0"/>
                <w:color w:val="1E2228"/>
                <w:sz w:val="17"/>
              </w:rPr>
              <w:t>Accept source</w:t>
            </w:r>
          </w:p>
        </w:tc>
        <w:tc>
          <w:tcPr>
            <w:tcW w:type="dxa" w:w="7488"/>
            <w:tcMar>
              <w:top w:w="80" w:type="dxa"/>
              <w:start w:w="120" w:type="dxa"/>
              <w:bottom w:w="80" w:type="dxa"/>
              <w:end w:w="120" w:type="dxa"/>
            </w:tcMar>
            <w:vAlign w:val="top"/>
          </w:tcPr>
          <w:p>
            <w:pPr>
              <w:spacing w:after="0"/>
            </w:pPr>
            <w:r>
              <w:rPr>
                <w:rFonts w:ascii="Calibri" w:hAnsi="Calibri"/>
                <w:b w:val="0"/>
                <w:i w:val="0"/>
                <w:color w:val="1E2228"/>
                <w:sz w:val="17"/>
              </w:rPr>
              <w:t>Reference an already accepted proposal/brief/onboarding outcome; do not manage commercial acceptance here.</w:t>
            </w:r>
          </w:p>
        </w:tc>
      </w:tr>
      <w:tr>
        <w:trPr>
          <w:cantSplit/>
        </w:trPr>
        <w:tc>
          <w:tcPr>
            <w:tcW w:type="dxa" w:w="1872"/>
            <w:tcMar>
              <w:top w:w="80" w:type="dxa"/>
              <w:start w:w="120" w:type="dxa"/>
              <w:bottom w:w="80" w:type="dxa"/>
              <w:end w:w="120" w:type="dxa"/>
            </w:tcMar>
            <w:vAlign w:val="top"/>
          </w:tcPr>
          <w:p>
            <w:pPr>
              <w:spacing w:after="0"/>
            </w:pPr>
            <w:r>
              <w:rPr>
                <w:rFonts w:ascii="Calibri" w:hAnsi="Calibri"/>
                <w:b w:val="0"/>
                <w:i w:val="0"/>
                <w:color w:val="1E2228"/>
                <w:sz w:val="17"/>
              </w:rPr>
              <w:t>Import intent</w:t>
            </w:r>
          </w:p>
        </w:tc>
        <w:tc>
          <w:tcPr>
            <w:tcW w:type="dxa" w:w="7488"/>
            <w:tcMar>
              <w:top w:w="80" w:type="dxa"/>
              <w:start w:w="120" w:type="dxa"/>
              <w:bottom w:w="80" w:type="dxa"/>
              <w:end w:w="120" w:type="dxa"/>
            </w:tcMar>
            <w:vAlign w:val="top"/>
          </w:tcPr>
          <w:p>
            <w:pPr>
              <w:spacing w:after="0"/>
            </w:pPr>
            <w:r>
              <w:rPr>
                <w:rFonts w:ascii="Calibri" w:hAnsi="Calibri"/>
                <w:b w:val="0"/>
                <w:i w:val="0"/>
                <w:color w:val="1E2228"/>
                <w:sz w:val="17"/>
              </w:rPr>
              <w:t>Copy only allowlisted, host-approved facts with origin references.</w:t>
            </w:r>
          </w:p>
        </w:tc>
      </w:tr>
      <w:tr>
        <w:trPr>
          <w:cantSplit/>
        </w:trPr>
        <w:tc>
          <w:tcPr>
            <w:tcW w:type="dxa" w:w="1872"/>
            <w:tcMar>
              <w:top w:w="80" w:type="dxa"/>
              <w:start w:w="120" w:type="dxa"/>
              <w:bottom w:w="80" w:type="dxa"/>
              <w:end w:w="120" w:type="dxa"/>
            </w:tcMar>
            <w:vAlign w:val="top"/>
          </w:tcPr>
          <w:p>
            <w:pPr>
              <w:spacing w:after="0"/>
            </w:pPr>
            <w:r>
              <w:rPr>
                <w:rFonts w:ascii="Calibri" w:hAnsi="Calibri"/>
                <w:b w:val="0"/>
                <w:i w:val="0"/>
                <w:color w:val="1E2228"/>
                <w:sz w:val="17"/>
              </w:rPr>
              <w:t>Curate</w:t>
            </w:r>
          </w:p>
        </w:tc>
        <w:tc>
          <w:tcPr>
            <w:tcW w:type="dxa" w:w="7488"/>
            <w:tcMar>
              <w:top w:w="80" w:type="dxa"/>
              <w:start w:w="120" w:type="dxa"/>
              <w:bottom w:w="80" w:type="dxa"/>
              <w:end w:w="120" w:type="dxa"/>
            </w:tcMar>
            <w:vAlign w:val="top"/>
          </w:tcPr>
          <w:p>
            <w:pPr>
              <w:spacing w:after="0"/>
            </w:pPr>
            <w:r>
              <w:rPr>
                <w:rFonts w:ascii="Calibri" w:hAnsi="Calibri"/>
                <w:b w:val="0"/>
                <w:i w:val="0"/>
                <w:color w:val="1E2228"/>
                <w:sz w:val="17"/>
              </w:rPr>
              <w:t>Maison Doclar editor shapes story, pillars, journey and media in draft.</w:t>
            </w:r>
          </w:p>
        </w:tc>
      </w:tr>
      <w:tr>
        <w:trPr>
          <w:cantSplit/>
        </w:trPr>
        <w:tc>
          <w:tcPr>
            <w:tcW w:type="dxa" w:w="1872"/>
            <w:tcMar>
              <w:top w:w="80" w:type="dxa"/>
              <w:start w:w="120" w:type="dxa"/>
              <w:bottom w:w="80" w:type="dxa"/>
              <w:end w:w="120" w:type="dxa"/>
            </w:tcMar>
            <w:vAlign w:val="top"/>
          </w:tcPr>
          <w:p>
            <w:pPr>
              <w:spacing w:after="0"/>
            </w:pPr>
            <w:r>
              <w:rPr>
                <w:rFonts w:ascii="Calibri" w:hAnsi="Calibri"/>
                <w:b w:val="0"/>
                <w:i w:val="0"/>
                <w:color w:val="1E2228"/>
                <w:sz w:val="17"/>
              </w:rPr>
              <w:t>Review</w:t>
            </w:r>
          </w:p>
        </w:tc>
        <w:tc>
          <w:tcPr>
            <w:tcW w:type="dxa" w:w="7488"/>
            <w:tcMar>
              <w:top w:w="80" w:type="dxa"/>
              <w:start w:w="120" w:type="dxa"/>
              <w:bottom w:w="80" w:type="dxa"/>
              <w:end w:w="120" w:type="dxa"/>
            </w:tcMar>
            <w:vAlign w:val="top"/>
          </w:tcPr>
          <w:p>
            <w:pPr>
              <w:spacing w:after="0"/>
            </w:pPr>
            <w:r>
              <w:rPr>
                <w:rFonts w:ascii="Calibri" w:hAnsi="Calibri"/>
                <w:b w:val="0"/>
                <w:i w:val="0"/>
                <w:color w:val="1E2228"/>
                <w:sz w:val="17"/>
              </w:rPr>
              <w:t>Appropriate event/creative authority checks cultural, factual, rights and privacy accuracy.</w:t>
            </w:r>
          </w:p>
        </w:tc>
      </w:tr>
      <w:tr>
        <w:trPr>
          <w:cantSplit/>
        </w:trPr>
        <w:tc>
          <w:tcPr>
            <w:tcW w:type="dxa" w:w="1872"/>
            <w:tcMar>
              <w:top w:w="80" w:type="dxa"/>
              <w:start w:w="120" w:type="dxa"/>
              <w:bottom w:w="80" w:type="dxa"/>
              <w:end w:w="120" w:type="dxa"/>
            </w:tcMar>
            <w:vAlign w:val="top"/>
          </w:tcPr>
          <w:p>
            <w:pPr>
              <w:spacing w:after="0"/>
            </w:pPr>
            <w:r>
              <w:rPr>
                <w:rFonts w:ascii="Calibri" w:hAnsi="Calibri"/>
                <w:b w:val="0"/>
                <w:i w:val="0"/>
                <w:color w:val="1E2228"/>
                <w:sz w:val="17"/>
              </w:rPr>
              <w:t>Reveal</w:t>
            </w:r>
          </w:p>
        </w:tc>
        <w:tc>
          <w:tcPr>
            <w:tcW w:type="dxa" w:w="7488"/>
            <w:tcMar>
              <w:top w:w="80" w:type="dxa"/>
              <w:start w:w="120" w:type="dxa"/>
              <w:bottom w:w="80" w:type="dxa"/>
              <w:end w:w="120" w:type="dxa"/>
            </w:tcMar>
            <w:vAlign w:val="top"/>
          </w:tcPr>
          <w:p>
            <w:pPr>
              <w:spacing w:after="0"/>
            </w:pPr>
            <w:r>
              <w:rPr>
                <w:rFonts w:ascii="Calibri" w:hAnsi="Calibri"/>
                <w:b w:val="0"/>
                <w:i w:val="0"/>
                <w:color w:val="1E2228"/>
                <w:sz w:val="17"/>
              </w:rPr>
              <w:t>Named publisher releases an immutable first edition to authorised hosts.</w:t>
            </w:r>
          </w:p>
        </w:tc>
      </w:tr>
      <w:tr>
        <w:trPr>
          <w:cantSplit/>
        </w:trPr>
        <w:tc>
          <w:tcPr>
            <w:tcW w:type="dxa" w:w="1872"/>
            <w:tcMar>
              <w:top w:w="80" w:type="dxa"/>
              <w:start w:w="120" w:type="dxa"/>
              <w:bottom w:w="80" w:type="dxa"/>
              <w:end w:w="120" w:type="dxa"/>
            </w:tcMar>
            <w:vAlign w:val="top"/>
          </w:tcPr>
          <w:p>
            <w:pPr>
              <w:spacing w:after="0"/>
            </w:pPr>
            <w:r>
              <w:rPr>
                <w:rFonts w:ascii="Calibri" w:hAnsi="Calibri"/>
                <w:b w:val="0"/>
                <w:i w:val="0"/>
                <w:color w:val="1E2228"/>
                <w:sz w:val="17"/>
              </w:rPr>
              <w:t>Revise</w:t>
            </w:r>
          </w:p>
        </w:tc>
        <w:tc>
          <w:tcPr>
            <w:tcW w:type="dxa" w:w="7488"/>
            <w:tcMar>
              <w:top w:w="80" w:type="dxa"/>
              <w:start w:w="120" w:type="dxa"/>
              <w:bottom w:w="80" w:type="dxa"/>
              <w:end w:w="120" w:type="dxa"/>
            </w:tcMar>
            <w:vAlign w:val="top"/>
          </w:tcPr>
          <w:p>
            <w:pPr>
              <w:spacing w:after="0"/>
            </w:pPr>
            <w:r>
              <w:rPr>
                <w:rFonts w:ascii="Calibri" w:hAnsi="Calibri"/>
                <w:b w:val="0"/>
                <w:i w:val="0"/>
                <w:color w:val="1E2228"/>
                <w:sz w:val="17"/>
              </w:rPr>
              <w:t>New edition preserves lineage; consequential change may request host acknowledgement/decision.</w:t>
            </w:r>
          </w:p>
        </w:tc>
      </w:tr>
    </w:tbl>
    <w:p>
      <w:pPr>
        <w:spacing w:after="20"/>
      </w:pPr>
    </w:p>
    <w:p>
      <w:pPr>
        <w:pStyle w:val="Heading2"/>
      </w:pPr>
      <w:r>
        <w:t>17.1 AI boundary</w:t>
      </w:r>
    </w:p>
    <w:p>
      <w:r>
        <w:t>AI may suggest wording, summarise approved notes or organise draft references only under the programme’s shadow-mode and provenance controls. It cannot infer culture, promise delivery, approve media, decide what is safe to reveal, publish an edition or communicate directly with a host.</w:t>
      </w:r>
    </w:p>
    <w:p>
      <w:pPr>
        <w:pStyle w:val="Heading1"/>
      </w:pPr>
      <w:r>
        <w:t>18. Failure, exception and recovery design</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2520"/>
            <w:shd w:fill="E8EEF5"/>
            <w:tcMar>
              <w:top w:w="80" w:type="dxa"/>
              <w:start w:w="120" w:type="dxa"/>
              <w:bottom w:w="80" w:type="dxa"/>
              <w:end w:w="120" w:type="dxa"/>
            </w:tcMar>
            <w:vAlign w:val="center"/>
          </w:tcPr>
          <w:p>
            <w:r>
              <w:rPr>
                <w:rFonts w:ascii="Calibri" w:hAnsi="Calibri"/>
                <w:b/>
                <w:i w:val="0"/>
                <w:color w:val="0B2545"/>
                <w:sz w:val="18"/>
              </w:rPr>
              <w:t>Condition</w:t>
            </w:r>
          </w:p>
        </w:tc>
        <w:tc>
          <w:tcPr>
            <w:tcW w:type="dxa" w:w="6840"/>
            <w:shd w:fill="E8EEF5"/>
            <w:tcMar>
              <w:top w:w="80" w:type="dxa"/>
              <w:start w:w="120" w:type="dxa"/>
              <w:bottom w:w="80" w:type="dxa"/>
              <w:end w:w="120" w:type="dxa"/>
            </w:tcMar>
            <w:vAlign w:val="center"/>
          </w:tcPr>
          <w:p>
            <w:r>
              <w:rPr>
                <w:rFonts w:ascii="Calibri" w:hAnsi="Calibri"/>
                <w:b/>
                <w:i w:val="0"/>
                <w:color w:val="0B2545"/>
                <w:sz w:val="18"/>
              </w:rPr>
              <w:t>Host-safe response</w:t>
            </w:r>
          </w:p>
        </w:tc>
      </w:tr>
      <w:tr>
        <w:trPr>
          <w:cantSplit/>
        </w:trPr>
        <w:tc>
          <w:tcPr>
            <w:tcW w:type="dxa" w:w="2520"/>
            <w:tcMar>
              <w:top w:w="80" w:type="dxa"/>
              <w:start w:w="120" w:type="dxa"/>
              <w:bottom w:w="80" w:type="dxa"/>
              <w:end w:w="120" w:type="dxa"/>
            </w:tcMar>
            <w:vAlign w:val="top"/>
          </w:tcPr>
          <w:p>
            <w:pPr>
              <w:spacing w:after="0"/>
            </w:pPr>
            <w:r>
              <w:rPr>
                <w:rFonts w:ascii="Calibri" w:hAnsi="Calibri"/>
                <w:b w:val="0"/>
                <w:i w:val="0"/>
                <w:color w:val="1E2228"/>
                <w:sz w:val="17"/>
              </w:rPr>
              <w:t>Expired/replayed link</w:t>
            </w:r>
          </w:p>
        </w:tc>
        <w:tc>
          <w:tcPr>
            <w:tcW w:type="dxa" w:w="6840"/>
            <w:tcMar>
              <w:top w:w="80" w:type="dxa"/>
              <w:start w:w="120" w:type="dxa"/>
              <w:bottom w:w="80" w:type="dxa"/>
              <w:end w:w="120" w:type="dxa"/>
            </w:tcMar>
            <w:vAlign w:val="top"/>
          </w:tcPr>
          <w:p>
            <w:pPr>
              <w:spacing w:after="0"/>
            </w:pPr>
            <w:r>
              <w:rPr>
                <w:rFonts w:ascii="Calibri" w:hAnsi="Calibri"/>
                <w:b w:val="0"/>
                <w:i w:val="0"/>
                <w:color w:val="1E2228"/>
                <w:sz w:val="17"/>
              </w:rPr>
              <w:t>Reveal no event data; explain expiry and offer verified re-request.</w:t>
            </w:r>
          </w:p>
        </w:tc>
      </w:tr>
      <w:tr>
        <w:trPr>
          <w:cantSplit/>
        </w:trPr>
        <w:tc>
          <w:tcPr>
            <w:tcW w:type="dxa" w:w="2520"/>
            <w:tcMar>
              <w:top w:w="80" w:type="dxa"/>
              <w:start w:w="120" w:type="dxa"/>
              <w:bottom w:w="80" w:type="dxa"/>
              <w:end w:w="120" w:type="dxa"/>
            </w:tcMar>
            <w:vAlign w:val="top"/>
          </w:tcPr>
          <w:p>
            <w:pPr>
              <w:spacing w:after="0"/>
            </w:pPr>
            <w:r>
              <w:rPr>
                <w:rFonts w:ascii="Calibri" w:hAnsi="Calibri"/>
                <w:b w:val="0"/>
                <w:i w:val="0"/>
                <w:color w:val="1E2228"/>
                <w:sz w:val="17"/>
              </w:rPr>
              <w:t>Wrong/forwarded recipient</w:t>
            </w:r>
          </w:p>
        </w:tc>
        <w:tc>
          <w:tcPr>
            <w:tcW w:type="dxa" w:w="6840"/>
            <w:tcMar>
              <w:top w:w="80" w:type="dxa"/>
              <w:start w:w="120" w:type="dxa"/>
              <w:bottom w:w="80" w:type="dxa"/>
              <w:end w:w="120" w:type="dxa"/>
            </w:tcMar>
            <w:vAlign w:val="top"/>
          </w:tcPr>
          <w:p>
            <w:pPr>
              <w:spacing w:after="0"/>
            </w:pPr>
            <w:r>
              <w:rPr>
                <w:rFonts w:ascii="Calibri" w:hAnsi="Calibri"/>
                <w:b w:val="0"/>
                <w:i w:val="0"/>
                <w:color w:val="1E2228"/>
                <w:sz w:val="17"/>
              </w:rPr>
              <w:t>Fail closed, revoke as appropriate and route human identity recovery.</w:t>
            </w:r>
          </w:p>
        </w:tc>
      </w:tr>
      <w:tr>
        <w:trPr>
          <w:cantSplit/>
        </w:trPr>
        <w:tc>
          <w:tcPr>
            <w:tcW w:type="dxa" w:w="2520"/>
            <w:tcMar>
              <w:top w:w="80" w:type="dxa"/>
              <w:start w:w="120" w:type="dxa"/>
              <w:bottom w:w="80" w:type="dxa"/>
              <w:end w:w="120" w:type="dxa"/>
            </w:tcMar>
            <w:vAlign w:val="top"/>
          </w:tcPr>
          <w:p>
            <w:pPr>
              <w:spacing w:after="0"/>
            </w:pPr>
            <w:r>
              <w:rPr>
                <w:rFonts w:ascii="Calibri" w:hAnsi="Calibri"/>
                <w:b w:val="0"/>
                <w:i w:val="0"/>
                <w:color w:val="1E2228"/>
                <w:sz w:val="17"/>
              </w:rPr>
              <w:t>Projection stale</w:t>
            </w:r>
          </w:p>
        </w:tc>
        <w:tc>
          <w:tcPr>
            <w:tcW w:type="dxa" w:w="6840"/>
            <w:tcMar>
              <w:top w:w="80" w:type="dxa"/>
              <w:start w:w="120" w:type="dxa"/>
              <w:bottom w:w="80" w:type="dxa"/>
              <w:end w:w="120" w:type="dxa"/>
            </w:tcMar>
            <w:vAlign w:val="top"/>
          </w:tcPr>
          <w:p>
            <w:pPr>
              <w:spacing w:after="0"/>
            </w:pPr>
            <w:r>
              <w:rPr>
                <w:rFonts w:ascii="Calibri" w:hAnsi="Calibri"/>
                <w:b w:val="0"/>
                <w:i w:val="0"/>
                <w:color w:val="1E2228"/>
                <w:sz w:val="17"/>
              </w:rPr>
              <w:t>Show last verified moment and say Maison Doclar is confirming the position.</w:t>
            </w:r>
          </w:p>
        </w:tc>
      </w:tr>
      <w:tr>
        <w:trPr>
          <w:cantSplit/>
        </w:trPr>
        <w:tc>
          <w:tcPr>
            <w:tcW w:type="dxa" w:w="2520"/>
            <w:tcMar>
              <w:top w:w="80" w:type="dxa"/>
              <w:start w:w="120" w:type="dxa"/>
              <w:bottom w:w="80" w:type="dxa"/>
              <w:end w:w="120" w:type="dxa"/>
            </w:tcMar>
            <w:vAlign w:val="top"/>
          </w:tcPr>
          <w:p>
            <w:pPr>
              <w:spacing w:after="0"/>
            </w:pPr>
            <w:r>
              <w:rPr>
                <w:rFonts w:ascii="Calibri" w:hAnsi="Calibri"/>
                <w:b w:val="0"/>
                <w:i w:val="0"/>
                <w:color w:val="1E2228"/>
                <w:sz w:val="17"/>
              </w:rPr>
              <w:t>Source unavailable</w:t>
            </w:r>
          </w:p>
        </w:tc>
        <w:tc>
          <w:tcPr>
            <w:tcW w:type="dxa" w:w="6840"/>
            <w:tcMar>
              <w:top w:w="80" w:type="dxa"/>
              <w:start w:w="120" w:type="dxa"/>
              <w:bottom w:w="80" w:type="dxa"/>
              <w:end w:w="120" w:type="dxa"/>
            </w:tcMar>
            <w:vAlign w:val="top"/>
          </w:tcPr>
          <w:p>
            <w:pPr>
              <w:spacing w:after="0"/>
            </w:pPr>
            <w:r>
              <w:rPr>
                <w:rFonts w:ascii="Calibri" w:hAnsi="Calibri"/>
                <w:b w:val="0"/>
                <w:i w:val="0"/>
                <w:color w:val="1E2228"/>
                <w:sz w:val="17"/>
              </w:rPr>
              <w:t>Use safe last-approved content only where policy permits; never invent current assurance.</w:t>
            </w:r>
          </w:p>
        </w:tc>
      </w:tr>
      <w:tr>
        <w:trPr>
          <w:cantSplit/>
        </w:trPr>
        <w:tc>
          <w:tcPr>
            <w:tcW w:type="dxa" w:w="2520"/>
            <w:tcMar>
              <w:top w:w="80" w:type="dxa"/>
              <w:start w:w="120" w:type="dxa"/>
              <w:bottom w:w="80" w:type="dxa"/>
              <w:end w:w="120" w:type="dxa"/>
            </w:tcMar>
            <w:vAlign w:val="top"/>
          </w:tcPr>
          <w:p>
            <w:pPr>
              <w:spacing w:after="0"/>
            </w:pPr>
            <w:r>
              <w:rPr>
                <w:rFonts w:ascii="Calibri" w:hAnsi="Calibri"/>
                <w:b w:val="0"/>
                <w:i w:val="0"/>
                <w:color w:val="1E2228"/>
                <w:sz w:val="17"/>
              </w:rPr>
              <w:t>Media unavailable</w:t>
            </w:r>
          </w:p>
        </w:tc>
        <w:tc>
          <w:tcPr>
            <w:tcW w:type="dxa" w:w="6840"/>
            <w:tcMar>
              <w:top w:w="80" w:type="dxa"/>
              <w:start w:w="120" w:type="dxa"/>
              <w:bottom w:w="80" w:type="dxa"/>
              <w:end w:w="120" w:type="dxa"/>
            </w:tcMar>
            <w:vAlign w:val="top"/>
          </w:tcPr>
          <w:p>
            <w:pPr>
              <w:spacing w:after="0"/>
            </w:pPr>
            <w:r>
              <w:rPr>
                <w:rFonts w:ascii="Calibri" w:hAnsi="Calibri"/>
                <w:b w:val="0"/>
                <w:i w:val="0"/>
                <w:color w:val="1E2228"/>
                <w:sz w:val="17"/>
              </w:rPr>
              <w:t>Preserve story and actions with art-directed fallback; no broken gallery.</w:t>
            </w:r>
          </w:p>
        </w:tc>
      </w:tr>
      <w:tr>
        <w:trPr>
          <w:cantSplit/>
        </w:trPr>
        <w:tc>
          <w:tcPr>
            <w:tcW w:type="dxa" w:w="2520"/>
            <w:tcMar>
              <w:top w:w="80" w:type="dxa"/>
              <w:start w:w="120" w:type="dxa"/>
              <w:bottom w:w="80" w:type="dxa"/>
              <w:end w:w="120" w:type="dxa"/>
            </w:tcMar>
            <w:vAlign w:val="top"/>
          </w:tcPr>
          <w:p>
            <w:pPr>
              <w:spacing w:after="0"/>
            </w:pPr>
            <w:r>
              <w:rPr>
                <w:rFonts w:ascii="Calibri" w:hAnsi="Calibri"/>
                <w:b w:val="0"/>
                <w:i w:val="0"/>
                <w:color w:val="1E2228"/>
                <w:sz w:val="17"/>
              </w:rPr>
              <w:t>Decision revised</w:t>
            </w:r>
          </w:p>
        </w:tc>
        <w:tc>
          <w:tcPr>
            <w:tcW w:type="dxa" w:w="6840"/>
            <w:tcMar>
              <w:top w:w="80" w:type="dxa"/>
              <w:start w:w="120" w:type="dxa"/>
              <w:bottom w:w="80" w:type="dxa"/>
              <w:end w:w="120" w:type="dxa"/>
            </w:tcMar>
            <w:vAlign w:val="top"/>
          </w:tcPr>
          <w:p>
            <w:pPr>
              <w:spacing w:after="0"/>
            </w:pPr>
            <w:r>
              <w:rPr>
                <w:rFonts w:ascii="Calibri" w:hAnsi="Calibri"/>
                <w:b w:val="0"/>
                <w:i w:val="0"/>
                <w:color w:val="1E2228"/>
                <w:sz w:val="17"/>
              </w:rPr>
              <w:t>Block outdated action and present the new edition before consent.</w:t>
            </w:r>
          </w:p>
        </w:tc>
      </w:tr>
      <w:tr>
        <w:trPr>
          <w:cantSplit/>
        </w:trPr>
        <w:tc>
          <w:tcPr>
            <w:tcW w:type="dxa" w:w="2520"/>
            <w:tcMar>
              <w:top w:w="80" w:type="dxa"/>
              <w:start w:w="120" w:type="dxa"/>
              <w:bottom w:w="80" w:type="dxa"/>
              <w:end w:w="120" w:type="dxa"/>
            </w:tcMar>
            <w:vAlign w:val="top"/>
          </w:tcPr>
          <w:p>
            <w:pPr>
              <w:spacing w:after="0"/>
            </w:pPr>
            <w:r>
              <w:rPr>
                <w:rFonts w:ascii="Calibri" w:hAnsi="Calibri"/>
                <w:b w:val="0"/>
                <w:i w:val="0"/>
                <w:color w:val="1E2228"/>
                <w:sz w:val="17"/>
              </w:rPr>
              <w:t>Joint authority conflict</w:t>
            </w:r>
          </w:p>
        </w:tc>
        <w:tc>
          <w:tcPr>
            <w:tcW w:type="dxa" w:w="6840"/>
            <w:tcMar>
              <w:top w:w="80" w:type="dxa"/>
              <w:start w:w="120" w:type="dxa"/>
              <w:bottom w:w="80" w:type="dxa"/>
              <w:end w:w="120" w:type="dxa"/>
            </w:tcMar>
            <w:vAlign w:val="top"/>
          </w:tcPr>
          <w:p>
            <w:pPr>
              <w:spacing w:after="0"/>
            </w:pPr>
            <w:r>
              <w:rPr>
                <w:rFonts w:ascii="Calibri" w:hAnsi="Calibri"/>
                <w:b w:val="0"/>
                <w:i w:val="0"/>
                <w:color w:val="1E2228"/>
                <w:sz w:val="17"/>
              </w:rPr>
              <w:t>Hold the outcome and offer a named Maison Doclar conversation.</w:t>
            </w:r>
          </w:p>
        </w:tc>
      </w:tr>
      <w:tr>
        <w:trPr>
          <w:cantSplit/>
        </w:trPr>
        <w:tc>
          <w:tcPr>
            <w:tcW w:type="dxa" w:w="2520"/>
            <w:tcMar>
              <w:top w:w="80" w:type="dxa"/>
              <w:start w:w="120" w:type="dxa"/>
              <w:bottom w:w="80" w:type="dxa"/>
              <w:end w:w="120" w:type="dxa"/>
            </w:tcMar>
            <w:vAlign w:val="top"/>
          </w:tcPr>
          <w:p>
            <w:pPr>
              <w:spacing w:after="0"/>
            </w:pPr>
            <w:r>
              <w:rPr>
                <w:rFonts w:ascii="Calibri" w:hAnsi="Calibri"/>
                <w:b w:val="0"/>
                <w:i w:val="0"/>
                <w:color w:val="1E2228"/>
                <w:sz w:val="17"/>
              </w:rPr>
              <w:t>Budget authority absent</w:t>
            </w:r>
          </w:p>
        </w:tc>
        <w:tc>
          <w:tcPr>
            <w:tcW w:type="dxa" w:w="6840"/>
            <w:tcMar>
              <w:top w:w="80" w:type="dxa"/>
              <w:start w:w="120" w:type="dxa"/>
              <w:bottom w:w="80" w:type="dxa"/>
              <w:end w:w="120" w:type="dxa"/>
            </w:tcMar>
            <w:vAlign w:val="top"/>
          </w:tcPr>
          <w:p>
            <w:pPr>
              <w:spacing w:after="0"/>
            </w:pPr>
            <w:r>
              <w:rPr>
                <w:rFonts w:ascii="Calibri" w:hAnsi="Calibri"/>
                <w:b w:val="0"/>
                <w:i w:val="0"/>
                <w:color w:val="1E2228"/>
                <w:sz w:val="17"/>
              </w:rPr>
              <w:t>Hide chapter or state it is being prepared; never derive numbers from documents.</w:t>
            </w:r>
          </w:p>
        </w:tc>
      </w:tr>
      <w:tr>
        <w:trPr>
          <w:cantSplit/>
        </w:trPr>
        <w:tc>
          <w:tcPr>
            <w:tcW w:type="dxa" w:w="2520"/>
            <w:tcMar>
              <w:top w:w="80" w:type="dxa"/>
              <w:start w:w="120" w:type="dxa"/>
              <w:bottom w:w="80" w:type="dxa"/>
              <w:end w:w="120" w:type="dxa"/>
            </w:tcMar>
            <w:vAlign w:val="top"/>
          </w:tcPr>
          <w:p>
            <w:pPr>
              <w:spacing w:after="0"/>
            </w:pPr>
            <w:r>
              <w:rPr>
                <w:rFonts w:ascii="Calibri" w:hAnsi="Calibri"/>
                <w:b w:val="0"/>
                <w:i w:val="0"/>
                <w:color w:val="1E2228"/>
                <w:sz w:val="17"/>
              </w:rPr>
              <w:t>Material risk</w:t>
            </w:r>
          </w:p>
        </w:tc>
        <w:tc>
          <w:tcPr>
            <w:tcW w:type="dxa" w:w="6840"/>
            <w:tcMar>
              <w:top w:w="80" w:type="dxa"/>
              <w:start w:w="120" w:type="dxa"/>
              <w:bottom w:w="80" w:type="dxa"/>
              <w:end w:w="120" w:type="dxa"/>
            </w:tcMar>
            <w:vAlign w:val="top"/>
          </w:tcPr>
          <w:p>
            <w:pPr>
              <w:spacing w:after="0"/>
            </w:pPr>
            <w:r>
              <w:rPr>
                <w:rFonts w:ascii="Calibri" w:hAnsi="Calibri"/>
                <w:b w:val="0"/>
                <w:i w:val="0"/>
                <w:color w:val="1E2228"/>
                <w:sz w:val="17"/>
              </w:rPr>
              <w:t>State truth and required action clearly; calm language cannot suppress urgency.</w:t>
            </w:r>
          </w:p>
        </w:tc>
      </w:tr>
      <w:tr>
        <w:trPr>
          <w:cantSplit/>
        </w:trPr>
        <w:tc>
          <w:tcPr>
            <w:tcW w:type="dxa" w:w="2520"/>
            <w:tcMar>
              <w:top w:w="80" w:type="dxa"/>
              <w:start w:w="120" w:type="dxa"/>
              <w:bottom w:w="80" w:type="dxa"/>
              <w:end w:w="120" w:type="dxa"/>
            </w:tcMar>
            <w:vAlign w:val="top"/>
          </w:tcPr>
          <w:p>
            <w:pPr>
              <w:spacing w:after="0"/>
            </w:pPr>
            <w:r>
              <w:rPr>
                <w:rFonts w:ascii="Calibri" w:hAnsi="Calibri"/>
                <w:b w:val="0"/>
                <w:i w:val="0"/>
                <w:color w:val="1E2228"/>
                <w:sz w:val="17"/>
              </w:rPr>
              <w:t>Compromised session</w:t>
            </w:r>
          </w:p>
        </w:tc>
        <w:tc>
          <w:tcPr>
            <w:tcW w:type="dxa" w:w="6840"/>
            <w:tcMar>
              <w:top w:w="80" w:type="dxa"/>
              <w:start w:w="120" w:type="dxa"/>
              <w:bottom w:w="80" w:type="dxa"/>
              <w:end w:w="120" w:type="dxa"/>
            </w:tcMar>
            <w:vAlign w:val="top"/>
          </w:tcPr>
          <w:p>
            <w:pPr>
              <w:spacing w:after="0"/>
            </w:pPr>
            <w:r>
              <w:rPr>
                <w:rFonts w:ascii="Calibri" w:hAnsi="Calibri"/>
                <w:b w:val="0"/>
                <w:i w:val="0"/>
                <w:color w:val="1E2228"/>
                <w:sz w:val="17"/>
              </w:rPr>
              <w:t>Revoke, require fresh verification and preserve security/audit evidence.</w:t>
            </w:r>
          </w:p>
        </w:tc>
      </w:tr>
    </w:tbl>
    <w:p>
      <w:pPr>
        <w:spacing w:after="20"/>
      </w:pPr>
    </w:p>
    <w:p>
      <w:pPr>
        <w:pStyle w:val="Heading1"/>
      </w:pPr>
      <w:r>
        <w:t>19. Permissions, privacy and audit</w:t>
      </w:r>
    </w:p>
    <w:p>
      <w:pPr>
        <w:pStyle w:val="ListBullet"/>
      </w:pPr>
      <w:r>
        <w:t>Every view and action is event-, chapter-, field-, role-, purpose- and time-scoped.</w:t>
      </w:r>
    </w:p>
    <w:p>
      <w:pPr>
        <w:pStyle w:val="ListBullet"/>
      </w:pPr>
      <w:r>
        <w:t>Co-host relationship never implies access to another adult’s private preference, note or decision draft.</w:t>
      </w:r>
    </w:p>
    <w:p>
      <w:pPr>
        <w:pStyle w:val="ListBullet"/>
      </w:pPr>
      <w:r>
        <w:t>Children’s information is minimised; responsible-adult and S04A age-band rules remain controlling.</w:t>
      </w:r>
    </w:p>
    <w:p>
      <w:pPr>
        <w:pStyle w:val="ListBullet"/>
      </w:pPr>
      <w:r>
        <w:t>Guest, vendor, finance, security and internal-team fields use explicit classification and projection allowlists.</w:t>
      </w:r>
    </w:p>
    <w:p>
      <w:pPr>
        <w:pStyle w:val="ListBullet"/>
      </w:pPr>
      <w:r>
        <w:t>Support mode identifies staff presence, records reason and forbids silent impersonation.</w:t>
      </w:r>
    </w:p>
    <w:p>
      <w:pPr>
        <w:pStyle w:val="ListBullet"/>
      </w:pPr>
      <w:r>
        <w:t>Audit captures access grant, edition publication, decision, download/export, revoke and material projection publication without logging tokens or sensitive payloads.</w:t>
      </w:r>
    </w:p>
    <w:p>
      <w:pPr>
        <w:pStyle w:val="ListBullet"/>
      </w:pPr>
      <w:r>
        <w:t>Exports are separately authorised, watermarked where appropriate, time-bounded and auditable.</w:t>
      </w:r>
    </w:p>
    <w:p>
      <w:pPr>
        <w:pStyle w:val="Heading1"/>
      </w:pPr>
      <w:r>
        <w:t>20. Acceptance criteria and automated evidence</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2088"/>
            <w:shd w:fill="E8EEF5"/>
            <w:tcMar>
              <w:top w:w="80" w:type="dxa"/>
              <w:start w:w="120" w:type="dxa"/>
              <w:bottom w:w="80" w:type="dxa"/>
              <w:end w:w="120" w:type="dxa"/>
            </w:tcMar>
            <w:vAlign w:val="center"/>
          </w:tcPr>
          <w:p>
            <w:r>
              <w:rPr>
                <w:rFonts w:ascii="Calibri" w:hAnsi="Calibri"/>
                <w:b/>
                <w:i w:val="0"/>
                <w:color w:val="0B2545"/>
                <w:sz w:val="18"/>
              </w:rPr>
              <w:t>Test family</w:t>
            </w:r>
          </w:p>
        </w:tc>
        <w:tc>
          <w:tcPr>
            <w:tcW w:type="dxa" w:w="7272"/>
            <w:shd w:fill="E8EEF5"/>
            <w:tcMar>
              <w:top w:w="80" w:type="dxa"/>
              <w:start w:w="120" w:type="dxa"/>
              <w:bottom w:w="80" w:type="dxa"/>
              <w:end w:w="120" w:type="dxa"/>
            </w:tcMar>
            <w:vAlign w:val="center"/>
          </w:tcPr>
          <w:p>
            <w:r>
              <w:rPr>
                <w:rFonts w:ascii="Calibri" w:hAnsi="Calibri"/>
                <w:b/>
                <w:i w:val="0"/>
                <w:color w:val="0B2545"/>
                <w:sz w:val="18"/>
              </w:rPr>
              <w:t>Minimum evidence</w:t>
            </w:r>
          </w:p>
        </w:tc>
      </w:tr>
      <w:tr>
        <w:trPr>
          <w:cantSplit/>
        </w:trPr>
        <w:tc>
          <w:tcPr>
            <w:tcW w:type="dxa" w:w="2088"/>
            <w:tcMar>
              <w:top w:w="80" w:type="dxa"/>
              <w:start w:w="120" w:type="dxa"/>
              <w:bottom w:w="80" w:type="dxa"/>
              <w:end w:w="120" w:type="dxa"/>
            </w:tcMar>
            <w:vAlign w:val="top"/>
          </w:tcPr>
          <w:p>
            <w:pPr>
              <w:spacing w:after="0"/>
            </w:pPr>
            <w:r>
              <w:rPr>
                <w:rFonts w:ascii="Calibri" w:hAnsi="Calibri"/>
                <w:b w:val="0"/>
                <w:i w:val="0"/>
                <w:color w:val="1E2228"/>
                <w:sz w:val="17"/>
              </w:rPr>
              <w:t>Narrative</w:t>
            </w:r>
          </w:p>
        </w:tc>
        <w:tc>
          <w:tcPr>
            <w:tcW w:type="dxa" w:w="7272"/>
            <w:tcMar>
              <w:top w:w="80" w:type="dxa"/>
              <w:start w:w="120" w:type="dxa"/>
              <w:bottom w:w="80" w:type="dxa"/>
              <w:end w:w="120" w:type="dxa"/>
            </w:tcMar>
            <w:vAlign w:val="top"/>
          </w:tcPr>
          <w:p>
            <w:pPr>
              <w:spacing w:after="0"/>
            </w:pPr>
            <w:r>
              <w:rPr>
                <w:rFonts w:ascii="Calibri" w:hAnsi="Calibri"/>
                <w:b w:val="0"/>
                <w:i w:val="0"/>
                <w:color w:val="1E2228"/>
                <w:sz w:val="17"/>
              </w:rPr>
              <w:t>Approved story/pillars/media only; edition lineage, withdrawal and provenance.</w:t>
            </w:r>
          </w:p>
        </w:tc>
      </w:tr>
      <w:tr>
        <w:trPr>
          <w:cantSplit/>
        </w:trPr>
        <w:tc>
          <w:tcPr>
            <w:tcW w:type="dxa" w:w="2088"/>
            <w:tcMar>
              <w:top w:w="80" w:type="dxa"/>
              <w:start w:w="120" w:type="dxa"/>
              <w:bottom w:w="80" w:type="dxa"/>
              <w:end w:w="120" w:type="dxa"/>
            </w:tcMar>
            <w:vAlign w:val="top"/>
          </w:tcPr>
          <w:p>
            <w:pPr>
              <w:spacing w:after="0"/>
            </w:pPr>
            <w:r>
              <w:rPr>
                <w:rFonts w:ascii="Calibri" w:hAnsi="Calibri"/>
                <w:b w:val="0"/>
                <w:i w:val="0"/>
                <w:color w:val="1E2228"/>
                <w:sz w:val="17"/>
              </w:rPr>
              <w:t>Security</w:t>
            </w:r>
          </w:p>
        </w:tc>
        <w:tc>
          <w:tcPr>
            <w:tcW w:type="dxa" w:w="7272"/>
            <w:tcMar>
              <w:top w:w="80" w:type="dxa"/>
              <w:start w:w="120" w:type="dxa"/>
              <w:bottom w:w="80" w:type="dxa"/>
              <w:end w:w="120" w:type="dxa"/>
            </w:tcMar>
            <w:vAlign w:val="top"/>
          </w:tcPr>
          <w:p>
            <w:pPr>
              <w:spacing w:after="0"/>
            </w:pPr>
            <w:r>
              <w:rPr>
                <w:rFonts w:ascii="Calibri" w:hAnsi="Calibri"/>
                <w:b w:val="0"/>
                <w:i w:val="0"/>
                <w:color w:val="1E2228"/>
                <w:sz w:val="17"/>
              </w:rPr>
              <w:t>Issue/redeem/replay/expiry/revoke/forward/cross-event/session/CSRF/rate limits.</w:t>
            </w:r>
          </w:p>
        </w:tc>
      </w:tr>
      <w:tr>
        <w:trPr>
          <w:cantSplit/>
        </w:trPr>
        <w:tc>
          <w:tcPr>
            <w:tcW w:type="dxa" w:w="2088"/>
            <w:tcMar>
              <w:top w:w="80" w:type="dxa"/>
              <w:start w:w="120" w:type="dxa"/>
              <w:bottom w:w="80" w:type="dxa"/>
              <w:end w:w="120" w:type="dxa"/>
            </w:tcMar>
            <w:vAlign w:val="top"/>
          </w:tcPr>
          <w:p>
            <w:pPr>
              <w:spacing w:after="0"/>
            </w:pPr>
            <w:r>
              <w:rPr>
                <w:rFonts w:ascii="Calibri" w:hAnsi="Calibri"/>
                <w:b w:val="0"/>
                <w:i w:val="0"/>
                <w:color w:val="1E2228"/>
                <w:sz w:val="17"/>
              </w:rPr>
              <w:t>Projection</w:t>
            </w:r>
          </w:p>
        </w:tc>
        <w:tc>
          <w:tcPr>
            <w:tcW w:type="dxa" w:w="7272"/>
            <w:tcMar>
              <w:top w:w="80" w:type="dxa"/>
              <w:start w:w="120" w:type="dxa"/>
              <w:bottom w:w="80" w:type="dxa"/>
              <w:end w:w="120" w:type="dxa"/>
            </w:tcMar>
            <w:vAlign w:val="top"/>
          </w:tcPr>
          <w:p>
            <w:pPr>
              <w:spacing w:after="0"/>
            </w:pPr>
            <w:r>
              <w:rPr>
                <w:rFonts w:ascii="Calibri" w:hAnsi="Calibri"/>
                <w:b w:val="0"/>
                <w:i w:val="0"/>
                <w:color w:val="1E2228"/>
                <w:sz w:val="17"/>
              </w:rPr>
              <w:t>Field allowlists, freshness, unknown states and source-version integrity.</w:t>
            </w:r>
          </w:p>
        </w:tc>
      </w:tr>
      <w:tr>
        <w:trPr>
          <w:cantSplit/>
        </w:trPr>
        <w:tc>
          <w:tcPr>
            <w:tcW w:type="dxa" w:w="2088"/>
            <w:tcMar>
              <w:top w:w="80" w:type="dxa"/>
              <w:start w:w="120" w:type="dxa"/>
              <w:bottom w:w="80" w:type="dxa"/>
              <w:end w:w="120" w:type="dxa"/>
            </w:tcMar>
            <w:vAlign w:val="top"/>
          </w:tcPr>
          <w:p>
            <w:pPr>
              <w:spacing w:after="0"/>
            </w:pPr>
            <w:r>
              <w:rPr>
                <w:rFonts w:ascii="Calibri" w:hAnsi="Calibri"/>
                <w:b w:val="0"/>
                <w:i w:val="0"/>
                <w:color w:val="1E2228"/>
                <w:sz w:val="17"/>
              </w:rPr>
              <w:t>Authority</w:t>
            </w:r>
          </w:p>
        </w:tc>
        <w:tc>
          <w:tcPr>
            <w:tcW w:type="dxa" w:w="7272"/>
            <w:tcMar>
              <w:top w:w="80" w:type="dxa"/>
              <w:start w:w="120" w:type="dxa"/>
              <w:bottom w:w="80" w:type="dxa"/>
              <w:end w:w="120" w:type="dxa"/>
            </w:tcMar>
            <w:vAlign w:val="top"/>
          </w:tcPr>
          <w:p>
            <w:pPr>
              <w:spacing w:after="0"/>
            </w:pPr>
            <w:r>
              <w:rPr>
                <w:rFonts w:ascii="Calibri" w:hAnsi="Calibri"/>
                <w:b w:val="0"/>
                <w:i w:val="0"/>
                <w:color w:val="1E2228"/>
                <w:sz w:val="17"/>
              </w:rPr>
              <w:t>Principal/co-host/assistant/read-only/staff/auditor, joint decisions and step-up.</w:t>
            </w:r>
          </w:p>
        </w:tc>
      </w:tr>
      <w:tr>
        <w:trPr>
          <w:cantSplit/>
        </w:trPr>
        <w:tc>
          <w:tcPr>
            <w:tcW w:type="dxa" w:w="2088"/>
            <w:tcMar>
              <w:top w:w="80" w:type="dxa"/>
              <w:start w:w="120" w:type="dxa"/>
              <w:bottom w:w="80" w:type="dxa"/>
              <w:end w:w="120" w:type="dxa"/>
            </w:tcMar>
            <w:vAlign w:val="top"/>
          </w:tcPr>
          <w:p>
            <w:pPr>
              <w:spacing w:after="0"/>
            </w:pPr>
            <w:r>
              <w:rPr>
                <w:rFonts w:ascii="Calibri" w:hAnsi="Calibri"/>
                <w:b w:val="0"/>
                <w:i w:val="0"/>
                <w:color w:val="1E2228"/>
                <w:sz w:val="17"/>
              </w:rPr>
              <w:t>Privacy</w:t>
            </w:r>
          </w:p>
        </w:tc>
        <w:tc>
          <w:tcPr>
            <w:tcW w:type="dxa" w:w="7272"/>
            <w:tcMar>
              <w:top w:w="80" w:type="dxa"/>
              <w:start w:w="120" w:type="dxa"/>
              <w:bottom w:w="80" w:type="dxa"/>
              <w:end w:w="120" w:type="dxa"/>
            </w:tcMar>
            <w:vAlign w:val="top"/>
          </w:tcPr>
          <w:p>
            <w:pPr>
              <w:spacing w:after="0"/>
            </w:pPr>
            <w:r>
              <w:rPr>
                <w:rFonts w:ascii="Calibri" w:hAnsi="Calibri"/>
                <w:b w:val="0"/>
                <w:i w:val="0"/>
                <w:color w:val="1E2228"/>
                <w:sz w:val="17"/>
              </w:rPr>
              <w:t>Adult/minor, finance, guest, vendor, security and internal detail redaction.</w:t>
            </w:r>
          </w:p>
        </w:tc>
      </w:tr>
      <w:tr>
        <w:trPr>
          <w:cantSplit/>
        </w:trPr>
        <w:tc>
          <w:tcPr>
            <w:tcW w:type="dxa" w:w="2088"/>
            <w:tcMar>
              <w:top w:w="80" w:type="dxa"/>
              <w:start w:w="120" w:type="dxa"/>
              <w:bottom w:w="80" w:type="dxa"/>
              <w:end w:w="120" w:type="dxa"/>
            </w:tcMar>
            <w:vAlign w:val="top"/>
          </w:tcPr>
          <w:p>
            <w:pPr>
              <w:spacing w:after="0"/>
            </w:pPr>
            <w:r>
              <w:rPr>
                <w:rFonts w:ascii="Calibri" w:hAnsi="Calibri"/>
                <w:b w:val="0"/>
                <w:i w:val="0"/>
                <w:color w:val="1E2228"/>
                <w:sz w:val="17"/>
              </w:rPr>
              <w:t>Integration</w:t>
            </w:r>
          </w:p>
        </w:tc>
        <w:tc>
          <w:tcPr>
            <w:tcW w:type="dxa" w:w="7272"/>
            <w:tcMar>
              <w:top w:w="80" w:type="dxa"/>
              <w:start w:w="120" w:type="dxa"/>
              <w:bottom w:w="80" w:type="dxa"/>
              <w:end w:w="120" w:type="dxa"/>
            </w:tcMar>
            <w:vAlign w:val="top"/>
          </w:tcPr>
          <w:p>
            <w:pPr>
              <w:spacing w:after="0"/>
            </w:pPr>
            <w:r>
              <w:rPr>
                <w:rFonts w:ascii="Calibri" w:hAnsi="Calibri"/>
                <w:b w:val="0"/>
                <w:i w:val="0"/>
                <w:color w:val="1E2228"/>
                <w:sz w:val="17"/>
              </w:rPr>
              <w:t>S03 and S04A–D contracts; event-day projection without duplicate ledgers.</w:t>
            </w:r>
          </w:p>
        </w:tc>
      </w:tr>
      <w:tr>
        <w:trPr>
          <w:cantSplit/>
        </w:trPr>
        <w:tc>
          <w:tcPr>
            <w:tcW w:type="dxa" w:w="2088"/>
            <w:tcMar>
              <w:top w:w="80" w:type="dxa"/>
              <w:start w:w="120" w:type="dxa"/>
              <w:bottom w:w="80" w:type="dxa"/>
              <w:end w:w="120" w:type="dxa"/>
            </w:tcMar>
            <w:vAlign w:val="top"/>
          </w:tcPr>
          <w:p>
            <w:pPr>
              <w:spacing w:after="0"/>
            </w:pPr>
            <w:r>
              <w:rPr>
                <w:rFonts w:ascii="Calibri" w:hAnsi="Calibri"/>
                <w:b w:val="0"/>
                <w:i w:val="0"/>
                <w:color w:val="1E2228"/>
                <w:sz w:val="17"/>
              </w:rPr>
              <w:t>Visual</w:t>
            </w:r>
          </w:p>
        </w:tc>
        <w:tc>
          <w:tcPr>
            <w:tcW w:type="dxa" w:w="7272"/>
            <w:tcMar>
              <w:top w:w="80" w:type="dxa"/>
              <w:start w:w="120" w:type="dxa"/>
              <w:bottom w:w="80" w:type="dxa"/>
              <w:end w:w="120" w:type="dxa"/>
            </w:tcMar>
            <w:vAlign w:val="top"/>
          </w:tcPr>
          <w:p>
            <w:pPr>
              <w:spacing w:after="0"/>
            </w:pPr>
            <w:r>
              <w:rPr>
                <w:rFonts w:ascii="Calibri" w:hAnsi="Calibri"/>
                <w:b w:val="0"/>
                <w:i w:val="0"/>
                <w:color w:val="1E2228"/>
                <w:sz w:val="17"/>
              </w:rPr>
              <w:t>360/768/1440, long names/titles, media failure, contrast, focus, zoom and reduced motion.</w:t>
            </w:r>
          </w:p>
        </w:tc>
      </w:tr>
      <w:tr>
        <w:trPr>
          <w:cantSplit/>
        </w:trPr>
        <w:tc>
          <w:tcPr>
            <w:tcW w:type="dxa" w:w="2088"/>
            <w:tcMar>
              <w:top w:w="80" w:type="dxa"/>
              <w:start w:w="120" w:type="dxa"/>
              <w:bottom w:w="80" w:type="dxa"/>
              <w:end w:w="120" w:type="dxa"/>
            </w:tcMar>
            <w:vAlign w:val="top"/>
          </w:tcPr>
          <w:p>
            <w:pPr>
              <w:spacing w:after="0"/>
            </w:pPr>
            <w:r>
              <w:rPr>
                <w:rFonts w:ascii="Calibri" w:hAnsi="Calibri"/>
                <w:b w:val="0"/>
                <w:i w:val="0"/>
                <w:color w:val="1E2228"/>
                <w:sz w:val="17"/>
              </w:rPr>
              <w:t>Performance</w:t>
            </w:r>
          </w:p>
        </w:tc>
        <w:tc>
          <w:tcPr>
            <w:tcW w:type="dxa" w:w="7272"/>
            <w:tcMar>
              <w:top w:w="80" w:type="dxa"/>
              <w:start w:w="120" w:type="dxa"/>
              <w:bottom w:w="80" w:type="dxa"/>
              <w:end w:w="120" w:type="dxa"/>
            </w:tcMar>
            <w:vAlign w:val="top"/>
          </w:tcPr>
          <w:p>
            <w:pPr>
              <w:spacing w:after="0"/>
            </w:pPr>
            <w:r>
              <w:rPr>
                <w:rFonts w:ascii="Calibri" w:hAnsi="Calibri"/>
                <w:b w:val="0"/>
                <w:i w:val="0"/>
                <w:color w:val="1E2228"/>
                <w:sz w:val="17"/>
              </w:rPr>
              <w:t>Responsive media/fallbacks and usable opening on representative mobile conditions.</w:t>
            </w:r>
          </w:p>
        </w:tc>
      </w:tr>
      <w:tr>
        <w:trPr>
          <w:cantSplit/>
        </w:trPr>
        <w:tc>
          <w:tcPr>
            <w:tcW w:type="dxa" w:w="2088"/>
            <w:tcMar>
              <w:top w:w="80" w:type="dxa"/>
              <w:start w:w="120" w:type="dxa"/>
              <w:bottom w:w="80" w:type="dxa"/>
              <w:end w:w="120" w:type="dxa"/>
            </w:tcMar>
            <w:vAlign w:val="top"/>
          </w:tcPr>
          <w:p>
            <w:pPr>
              <w:spacing w:after="0"/>
            </w:pPr>
            <w:r>
              <w:rPr>
                <w:rFonts w:ascii="Calibri" w:hAnsi="Calibri"/>
                <w:b w:val="0"/>
                <w:i w:val="0"/>
                <w:color w:val="1E2228"/>
                <w:sz w:val="17"/>
              </w:rPr>
              <w:t>E2E</w:t>
            </w:r>
          </w:p>
        </w:tc>
        <w:tc>
          <w:tcPr>
            <w:tcW w:type="dxa" w:w="7272"/>
            <w:tcMar>
              <w:top w:w="80" w:type="dxa"/>
              <w:start w:w="120" w:type="dxa"/>
              <w:bottom w:w="80" w:type="dxa"/>
              <w:end w:w="120" w:type="dxa"/>
            </w:tcMar>
            <w:vAlign w:val="top"/>
          </w:tcPr>
          <w:p>
            <w:pPr>
              <w:spacing w:after="0"/>
            </w:pPr>
            <w:r>
              <w:rPr>
                <w:rFonts w:ascii="Calibri" w:hAnsi="Calibri"/>
                <w:b w:val="0"/>
                <w:i w:val="0"/>
                <w:color w:val="1E2228"/>
                <w:sz w:val="17"/>
              </w:rPr>
              <w:t>Genesis/reveal, magic link, story, decisions, editions, live transition and revocation.</w:t>
            </w:r>
          </w:p>
        </w:tc>
      </w:tr>
      <w:tr>
        <w:trPr>
          <w:cantSplit/>
        </w:trPr>
        <w:tc>
          <w:tcPr>
            <w:tcW w:type="dxa" w:w="2088"/>
            <w:tcMar>
              <w:top w:w="80" w:type="dxa"/>
              <w:start w:w="120" w:type="dxa"/>
              <w:bottom w:w="80" w:type="dxa"/>
              <w:end w:w="120" w:type="dxa"/>
            </w:tcMar>
            <w:vAlign w:val="top"/>
          </w:tcPr>
          <w:p>
            <w:pPr>
              <w:spacing w:after="0"/>
            </w:pPr>
            <w:r>
              <w:rPr>
                <w:rFonts w:ascii="Calibri" w:hAnsi="Calibri"/>
                <w:b w:val="0"/>
                <w:i w:val="0"/>
                <w:color w:val="1E2228"/>
                <w:sz w:val="17"/>
              </w:rPr>
              <w:t>Regression</w:t>
            </w:r>
          </w:p>
        </w:tc>
        <w:tc>
          <w:tcPr>
            <w:tcW w:type="dxa" w:w="7272"/>
            <w:tcMar>
              <w:top w:w="80" w:type="dxa"/>
              <w:start w:w="120" w:type="dxa"/>
              <w:bottom w:w="80" w:type="dxa"/>
              <w:end w:w="120" w:type="dxa"/>
            </w:tcMar>
            <w:vAlign w:val="top"/>
          </w:tcPr>
          <w:p>
            <w:pPr>
              <w:spacing w:after="0"/>
            </w:pPr>
            <w:r>
              <w:rPr>
                <w:rFonts w:ascii="Calibri" w:hAnsi="Calibri"/>
                <w:b w:val="0"/>
                <w:i w:val="0"/>
                <w:color w:val="1E2228"/>
                <w:sz w:val="17"/>
              </w:rPr>
              <w:t>S01–S04D, programme validation, typecheck, tests and production build.</w:t>
            </w:r>
          </w:p>
        </w:tc>
      </w:tr>
    </w:tbl>
    <w:p>
      <w:pPr>
        <w:spacing w:after="20"/>
      </w:pPr>
    </w:p>
    <w:p>
      <w:pPr>
        <w:pStyle w:val="ListBullet"/>
      </w:pPr>
      <w:r>
        <w:t>The opening contains no more than three host priorities and reads as a commissioned event experience.</w:t>
      </w:r>
    </w:p>
    <w:p>
      <w:pPr>
        <w:pStyle w:val="ListBullet"/>
      </w:pPr>
      <w:r>
        <w:t>No generic SaaS navigation, dashboard grid, raw operational status or technical identifier appears.</w:t>
      </w:r>
    </w:p>
    <w:p>
      <w:pPr>
        <w:pStyle w:val="ListBullet"/>
      </w:pPr>
      <w:r>
        <w:t>Attendance outlook, operational provision and confidence remain distinct.</w:t>
      </w:r>
    </w:p>
    <w:p>
      <w:pPr>
        <w:pStyle w:val="ListBullet"/>
      </w:pPr>
      <w:r>
        <w:t>Vendor-reported and Maison Doclar-verified status remain distinguishable.</w:t>
      </w:r>
    </w:p>
    <w:p>
      <w:pPr>
        <w:pStyle w:val="ListBullet"/>
      </w:pPr>
      <w:r>
        <w:t>Budget remains absent unless canonical authority, currency and freshness exist.</w:t>
      </w:r>
    </w:p>
    <w:p>
      <w:pPr>
        <w:pStyle w:val="ListBullet"/>
      </w:pPr>
      <w:r>
        <w:t>Every host action is bounded, versioned, receipted and unable to mutate core records directly.</w:t>
      </w:r>
    </w:p>
    <w:p>
      <w:pPr>
        <w:pStyle w:val="ListBullet"/>
      </w:pPr>
      <w:r>
        <w:t>EOS-S05 is absent; production remains unauthorised; protected gates remain unsigned.</w:t>
      </w:r>
    </w:p>
    <w:p>
      <w:pPr>
        <w:pStyle w:val="Heading1"/>
      </w:pPr>
      <w:r>
        <w:t>21. Claude human-verification plan</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shd w:fill="F2F4F7"/>
            <w:tcMar>
              <w:top w:w="130" w:type="dxa"/>
              <w:start w:w="180" w:type="dxa"/>
              <w:bottom w:w="130" w:type="dxa"/>
              <w:end w:w="180" w:type="dxa"/>
            </w:tcMar>
          </w:tcPr>
          <w:p>
            <w:pPr>
              <w:spacing w:after="0"/>
            </w:pPr>
            <w:r>
              <w:rPr>
                <w:rFonts w:ascii="Calibri" w:hAnsi="Calibri"/>
                <w:b/>
                <w:i w:val="0"/>
                <w:color w:val="0B2545"/>
                <w:sz w:val="21"/>
              </w:rPr>
              <w:t xml:space="preserve">HUMAN TESTER BOUNDARY  </w:t>
            </w:r>
            <w:r>
              <w:rPr>
                <w:rFonts w:ascii="Calibri" w:hAnsi="Calibri"/>
                <w:b w:val="0"/>
                <w:i w:val="0"/>
                <w:color w:val="1E2228"/>
                <w:sz w:val="21"/>
              </w:rPr>
              <w:t>Claude in Chrome may perform separately authorised synthetic browser verification and report. Claude cannot use real host data, enter undisclosed credentials, alter infrastructure, accept this slice, sign gates or make real commitments.</w:t>
            </w:r>
          </w:p>
        </w:tc>
      </w:tr>
    </w:tbl>
    <w:p>
      <w:pPr>
        <w:spacing w:after="20"/>
      </w:pPr>
    </w:p>
    <w:p>
      <w:r>
        <w:t>Prompt for Claude after implementation and controlled synthetic deployment:</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shd w:fill="F2F4F7"/>
            <w:tcMar>
              <w:top w:w="130" w:type="dxa"/>
              <w:start w:w="180" w:type="dxa"/>
              <w:bottom w:w="130" w:type="dxa"/>
              <w:end w:w="180" w:type="dxa"/>
            </w:tcMar>
          </w:tcPr>
          <w:p>
            <w:pPr>
              <w:spacing w:after="0"/>
            </w:pPr>
            <w:r>
              <w:rPr>
                <w:rFonts w:ascii="Calibri" w:hAnsi="Calibri"/>
                <w:b/>
                <w:i w:val="0"/>
                <w:color w:val="0B2545"/>
                <w:sz w:val="21"/>
              </w:rPr>
              <w:t xml:space="preserve">CLAUDE PROMPT  </w:t>
            </w:r>
            <w:r>
              <w:rPr>
                <w:rFonts w:ascii="Calibri" w:hAnsi="Calibri"/>
                <w:b w:val="0"/>
                <w:i w:val="0"/>
                <w:color w:val="1E2228"/>
                <w:sz w:val="21"/>
              </w:rPr>
              <w:t>Verify EOS-S04E as the Maison Doclar Private Event Atelier using synthetic fixtures only. First confirm productionAuthorised:false, fixtures enabled and no real-recipient path. STOP immediately if any safety condition fails. Follow the controlled sections below, request confirmation before any mutating form submission not already authorised, and report PASS / FAIL / BLOCKED / NOT ASSESSED with screenshots and exact identity/state evidence.</w:t>
            </w:r>
          </w:p>
        </w:tc>
      </w:tr>
    </w:tbl>
    <w:p>
      <w:pPr>
        <w:spacing w:after="20"/>
      </w:pPr>
    </w:p>
    <w:p>
      <w:pPr>
        <w:pStyle w:val="ListBullet"/>
      </w:pPr>
      <w:r>
        <w:t>Redeem a synthetic event-scoped host magic link; test replay, expiry, revoke, forward and cross-event denial without revealing data.</w:t>
      </w:r>
    </w:p>
    <w:p>
      <w:pPr>
        <w:pStyle w:val="ListBullet"/>
      </w:pPr>
      <w:r>
        <w:t>At 360px, tablet and desktop, assess the opening as a commissioned private experience: event portrait, story, current moment and no more than three actions.</w:t>
      </w:r>
    </w:p>
    <w:p>
      <w:pPr>
        <w:pStyle w:val="ListBullet"/>
      </w:pPr>
      <w:r>
        <w:t>Verify no SaaS dashboard cues, admin language, internal codes, raw tasks, logs, risk register or technical identifiers.</w:t>
      </w:r>
    </w:p>
    <w:p>
      <w:pPr>
        <w:pStyle w:val="ListBullet"/>
      </w:pPr>
      <w:r>
        <w:t>Inspect Vision, guest journey and media provenance/fallback/reduced-motion behaviour.</w:t>
      </w:r>
    </w:p>
    <w:p>
      <w:pPr>
        <w:pStyle w:val="ListBullet"/>
      </w:pPr>
      <w:r>
        <w:t>Verify S04B multiphase/multiday journey and optional detailed host timeline without operational/security leakage.</w:t>
      </w:r>
    </w:p>
    <w:p>
      <w:pPr>
        <w:pStyle w:val="ListBullet"/>
      </w:pPr>
      <w:r>
        <w:t>Verify S04D attendance range/confidence/provision are distinct and no person probability is exposed.</w:t>
      </w:r>
    </w:p>
    <w:p>
      <w:pPr>
        <w:pStyle w:val="ListBullet"/>
      </w:pPr>
      <w:r>
        <w:t>Verify budget chapter hides when authority is absent and reveals only authorised aggregates when present.</w:t>
      </w:r>
    </w:p>
    <w:p>
      <w:pPr>
        <w:pStyle w:val="ListBullet"/>
      </w:pPr>
      <w:r>
        <w:t>Verify ensemble reported/verified wording and absence of commercial/internal records.</w:t>
      </w:r>
    </w:p>
    <w:p>
      <w:pPr>
        <w:pStyle w:val="ListBullet"/>
      </w:pPr>
      <w:r>
        <w:t>Complete a synthetic reserved decision with distinct authority and step-up; test stale edition, unauthorised co-host and joint authority.</w:t>
      </w:r>
    </w:p>
    <w:p>
      <w:pPr>
        <w:pStyle w:val="ListBullet"/>
      </w:pPr>
      <w:r>
        <w:t>Verify Current Edition, earlier-edition labelling, withdrawal, media fallback and structured Update behaviour.</w:t>
      </w:r>
    </w:p>
    <w:p>
      <w:pPr>
        <w:pStyle w:val="ListBullet"/>
      </w:pPr>
      <w:r>
        <w:t>Verify live-day transition is calm and contains no access codes, security routes or control-room functions.</w:t>
      </w:r>
    </w:p>
    <w:p>
      <w:pPr>
        <w:pStyle w:val="ListBullet"/>
      </w:pPr>
      <w:r>
        <w:t>Confirm revocation/sign-out, no real message/payment/provider action, EOS-S05 absent and protected gates unsigned.</w:t>
      </w:r>
    </w:p>
    <w:p>
      <w:pPr>
        <w:pStyle w:val="Heading1"/>
      </w:pPr>
      <w:r>
        <w:t>22. Academy training delta — ACA-S04E</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2520"/>
            <w:shd w:fill="E8EEF5"/>
            <w:tcMar>
              <w:top w:w="80" w:type="dxa"/>
              <w:start w:w="120" w:type="dxa"/>
              <w:bottom w:w="80" w:type="dxa"/>
              <w:end w:w="120" w:type="dxa"/>
            </w:tcMar>
            <w:vAlign w:val="center"/>
          </w:tcPr>
          <w:p>
            <w:r>
              <w:rPr>
                <w:rFonts w:ascii="Calibri" w:hAnsi="Calibri"/>
                <w:b/>
                <w:i w:val="0"/>
                <w:color w:val="0B2545"/>
                <w:sz w:val="18"/>
              </w:rPr>
              <w:t>Learning unit</w:t>
            </w:r>
          </w:p>
        </w:tc>
        <w:tc>
          <w:tcPr>
            <w:tcW w:type="dxa" w:w="6840"/>
            <w:shd w:fill="E8EEF5"/>
            <w:tcMar>
              <w:top w:w="80" w:type="dxa"/>
              <w:start w:w="120" w:type="dxa"/>
              <w:bottom w:w="80" w:type="dxa"/>
              <w:end w:w="120" w:type="dxa"/>
            </w:tcMar>
            <w:vAlign w:val="center"/>
          </w:tcPr>
          <w:p>
            <w:r>
              <w:rPr>
                <w:rFonts w:ascii="Calibri" w:hAnsi="Calibri"/>
                <w:b/>
                <w:i w:val="0"/>
                <w:color w:val="0B2545"/>
                <w:sz w:val="18"/>
              </w:rPr>
              <w:t>Capability</w:t>
            </w:r>
          </w:p>
        </w:tc>
      </w:tr>
      <w:tr>
        <w:trPr>
          <w:cantSplit/>
        </w:trPr>
        <w:tc>
          <w:tcPr>
            <w:tcW w:type="dxa" w:w="2520"/>
            <w:tcMar>
              <w:top w:w="80" w:type="dxa"/>
              <w:start w:w="120" w:type="dxa"/>
              <w:bottom w:w="80" w:type="dxa"/>
              <w:end w:w="120" w:type="dxa"/>
            </w:tcMar>
            <w:vAlign w:val="top"/>
          </w:tcPr>
          <w:p>
            <w:pPr>
              <w:spacing w:after="0"/>
            </w:pPr>
            <w:r>
              <w:rPr>
                <w:rFonts w:ascii="Calibri" w:hAnsi="Calibri"/>
                <w:b w:val="0"/>
                <w:i w:val="0"/>
                <w:color w:val="1E2228"/>
                <w:sz w:val="17"/>
              </w:rPr>
              <w:t>The Maison narrative</w:t>
            </w:r>
          </w:p>
        </w:tc>
        <w:tc>
          <w:tcPr>
            <w:tcW w:type="dxa" w:w="6840"/>
            <w:tcMar>
              <w:top w:w="80" w:type="dxa"/>
              <w:start w:w="120" w:type="dxa"/>
              <w:bottom w:w="80" w:type="dxa"/>
              <w:end w:w="120" w:type="dxa"/>
            </w:tcMar>
            <w:vAlign w:val="top"/>
          </w:tcPr>
          <w:p>
            <w:pPr>
              <w:spacing w:after="0"/>
            </w:pPr>
            <w:r>
              <w:rPr>
                <w:rFonts w:ascii="Calibri" w:hAnsi="Calibri"/>
                <w:b w:val="0"/>
                <w:i w:val="0"/>
                <w:color w:val="1E2228"/>
                <w:sz w:val="17"/>
              </w:rPr>
              <w:t>Translate approved intent into an exact, dignified Event Story without invention.</w:t>
            </w:r>
          </w:p>
        </w:tc>
      </w:tr>
      <w:tr>
        <w:trPr>
          <w:cantSplit/>
        </w:trPr>
        <w:tc>
          <w:tcPr>
            <w:tcW w:type="dxa" w:w="2520"/>
            <w:tcMar>
              <w:top w:w="80" w:type="dxa"/>
              <w:start w:w="120" w:type="dxa"/>
              <w:bottom w:w="80" w:type="dxa"/>
              <w:end w:w="120" w:type="dxa"/>
            </w:tcMar>
            <w:vAlign w:val="top"/>
          </w:tcPr>
          <w:p>
            <w:pPr>
              <w:spacing w:after="0"/>
            </w:pPr>
            <w:r>
              <w:rPr>
                <w:rFonts w:ascii="Calibri" w:hAnsi="Calibri"/>
                <w:b w:val="0"/>
                <w:i w:val="0"/>
                <w:color w:val="1E2228"/>
                <w:sz w:val="17"/>
              </w:rPr>
              <w:t>Editorial curation</w:t>
            </w:r>
          </w:p>
        </w:tc>
        <w:tc>
          <w:tcPr>
            <w:tcW w:type="dxa" w:w="6840"/>
            <w:tcMar>
              <w:top w:w="80" w:type="dxa"/>
              <w:start w:w="120" w:type="dxa"/>
              <w:bottom w:w="80" w:type="dxa"/>
              <w:end w:w="120" w:type="dxa"/>
            </w:tcMar>
            <w:vAlign w:val="top"/>
          </w:tcPr>
          <w:p>
            <w:pPr>
              <w:spacing w:after="0"/>
            </w:pPr>
            <w:r>
              <w:rPr>
                <w:rFonts w:ascii="Calibri" w:hAnsi="Calibri"/>
                <w:b w:val="0"/>
                <w:i w:val="0"/>
                <w:color w:val="1E2228"/>
                <w:sz w:val="17"/>
              </w:rPr>
              <w:t>Select what helps the host now and protect internal operational detail.</w:t>
            </w:r>
          </w:p>
        </w:tc>
      </w:tr>
      <w:tr>
        <w:trPr>
          <w:cantSplit/>
        </w:trPr>
        <w:tc>
          <w:tcPr>
            <w:tcW w:type="dxa" w:w="2520"/>
            <w:tcMar>
              <w:top w:w="80" w:type="dxa"/>
              <w:start w:w="120" w:type="dxa"/>
              <w:bottom w:w="80" w:type="dxa"/>
              <w:end w:w="120" w:type="dxa"/>
            </w:tcMar>
            <w:vAlign w:val="top"/>
          </w:tcPr>
          <w:p>
            <w:pPr>
              <w:spacing w:after="0"/>
            </w:pPr>
            <w:r>
              <w:rPr>
                <w:rFonts w:ascii="Calibri" w:hAnsi="Calibri"/>
                <w:b w:val="0"/>
                <w:i w:val="0"/>
                <w:color w:val="1E2228"/>
                <w:sz w:val="17"/>
              </w:rPr>
              <w:t>Assurance writing</w:t>
            </w:r>
          </w:p>
        </w:tc>
        <w:tc>
          <w:tcPr>
            <w:tcW w:type="dxa" w:w="6840"/>
            <w:tcMar>
              <w:top w:w="80" w:type="dxa"/>
              <w:start w:w="120" w:type="dxa"/>
              <w:bottom w:w="80" w:type="dxa"/>
              <w:end w:w="120" w:type="dxa"/>
            </w:tcMar>
            <w:vAlign w:val="top"/>
          </w:tcPr>
          <w:p>
            <w:pPr>
              <w:spacing w:after="0"/>
            </w:pPr>
            <w:r>
              <w:rPr>
                <w:rFonts w:ascii="Calibri" w:hAnsi="Calibri"/>
                <w:b w:val="0"/>
                <w:i w:val="0"/>
                <w:color w:val="1E2228"/>
                <w:sz w:val="17"/>
              </w:rPr>
              <w:t>Express readiness, contingency, attendance and budget truth calmly without false reassurance.</w:t>
            </w:r>
          </w:p>
        </w:tc>
      </w:tr>
      <w:tr>
        <w:trPr>
          <w:cantSplit/>
        </w:trPr>
        <w:tc>
          <w:tcPr>
            <w:tcW w:type="dxa" w:w="2520"/>
            <w:tcMar>
              <w:top w:w="80" w:type="dxa"/>
              <w:start w:w="120" w:type="dxa"/>
              <w:bottom w:w="80" w:type="dxa"/>
              <w:end w:w="120" w:type="dxa"/>
            </w:tcMar>
            <w:vAlign w:val="top"/>
          </w:tcPr>
          <w:p>
            <w:pPr>
              <w:spacing w:after="0"/>
            </w:pPr>
            <w:r>
              <w:rPr>
                <w:rFonts w:ascii="Calibri" w:hAnsi="Calibri"/>
                <w:b w:val="0"/>
                <w:i w:val="0"/>
                <w:color w:val="1E2228"/>
                <w:sz w:val="17"/>
              </w:rPr>
              <w:t>Decision hosting</w:t>
            </w:r>
          </w:p>
        </w:tc>
        <w:tc>
          <w:tcPr>
            <w:tcW w:type="dxa" w:w="6840"/>
            <w:tcMar>
              <w:top w:w="80" w:type="dxa"/>
              <w:start w:w="120" w:type="dxa"/>
              <w:bottom w:w="80" w:type="dxa"/>
              <w:end w:w="120" w:type="dxa"/>
            </w:tcMar>
            <w:vAlign w:val="top"/>
          </w:tcPr>
          <w:p>
            <w:pPr>
              <w:spacing w:after="0"/>
            </w:pPr>
            <w:r>
              <w:rPr>
                <w:rFonts w:ascii="Calibri" w:hAnsi="Calibri"/>
                <w:b w:val="0"/>
                <w:i w:val="0"/>
                <w:color w:val="1E2228"/>
                <w:sz w:val="17"/>
              </w:rPr>
              <w:t>Frame one decision, recommendation, consequence, authority and receipt.</w:t>
            </w:r>
          </w:p>
        </w:tc>
      </w:tr>
      <w:tr>
        <w:trPr>
          <w:cantSplit/>
        </w:trPr>
        <w:tc>
          <w:tcPr>
            <w:tcW w:type="dxa" w:w="2520"/>
            <w:tcMar>
              <w:top w:w="80" w:type="dxa"/>
              <w:start w:w="120" w:type="dxa"/>
              <w:bottom w:w="80" w:type="dxa"/>
              <w:end w:w="120" w:type="dxa"/>
            </w:tcMar>
            <w:vAlign w:val="top"/>
          </w:tcPr>
          <w:p>
            <w:pPr>
              <w:spacing w:after="0"/>
            </w:pPr>
            <w:r>
              <w:rPr>
                <w:rFonts w:ascii="Calibri" w:hAnsi="Calibri"/>
                <w:b w:val="0"/>
                <w:i w:val="0"/>
                <w:color w:val="1E2228"/>
                <w:sz w:val="17"/>
              </w:rPr>
              <w:t>Editions and media</w:t>
            </w:r>
          </w:p>
        </w:tc>
        <w:tc>
          <w:tcPr>
            <w:tcW w:type="dxa" w:w="6840"/>
            <w:tcMar>
              <w:top w:w="80" w:type="dxa"/>
              <w:start w:w="120" w:type="dxa"/>
              <w:bottom w:w="80" w:type="dxa"/>
              <w:end w:w="120" w:type="dxa"/>
            </w:tcMar>
            <w:vAlign w:val="top"/>
          </w:tcPr>
          <w:p>
            <w:pPr>
              <w:spacing w:after="0"/>
            </w:pPr>
            <w:r>
              <w:rPr>
                <w:rFonts w:ascii="Calibri" w:hAnsi="Calibri"/>
                <w:b w:val="0"/>
                <w:i w:val="0"/>
                <w:color w:val="1E2228"/>
                <w:sz w:val="17"/>
              </w:rPr>
              <w:t>Publish/withdraw current approved assets with rights, provenance and accessibility.</w:t>
            </w:r>
          </w:p>
        </w:tc>
      </w:tr>
      <w:tr>
        <w:trPr>
          <w:cantSplit/>
        </w:trPr>
        <w:tc>
          <w:tcPr>
            <w:tcW w:type="dxa" w:w="2520"/>
            <w:tcMar>
              <w:top w:w="80" w:type="dxa"/>
              <w:start w:w="120" w:type="dxa"/>
              <w:bottom w:w="80" w:type="dxa"/>
              <w:end w:w="120" w:type="dxa"/>
            </w:tcMar>
            <w:vAlign w:val="top"/>
          </w:tcPr>
          <w:p>
            <w:pPr>
              <w:spacing w:after="0"/>
            </w:pPr>
            <w:r>
              <w:rPr>
                <w:rFonts w:ascii="Calibri" w:hAnsi="Calibri"/>
                <w:b w:val="0"/>
                <w:i w:val="0"/>
                <w:color w:val="1E2228"/>
                <w:sz w:val="17"/>
              </w:rPr>
              <w:t>Host access</w:t>
            </w:r>
          </w:p>
        </w:tc>
        <w:tc>
          <w:tcPr>
            <w:tcW w:type="dxa" w:w="6840"/>
            <w:tcMar>
              <w:top w:w="80" w:type="dxa"/>
              <w:start w:w="120" w:type="dxa"/>
              <w:bottom w:w="80" w:type="dxa"/>
              <w:end w:w="120" w:type="dxa"/>
            </w:tcMar>
            <w:vAlign w:val="top"/>
          </w:tcPr>
          <w:p>
            <w:pPr>
              <w:spacing w:after="0"/>
            </w:pPr>
            <w:r>
              <w:rPr>
                <w:rFonts w:ascii="Calibri" w:hAnsi="Calibri"/>
                <w:b w:val="0"/>
                <w:i w:val="0"/>
                <w:color w:val="1E2228"/>
                <w:sz w:val="17"/>
              </w:rPr>
              <w:t>Issue, revoke and recover magic-link access; handle delegation and joint authority.</w:t>
            </w:r>
          </w:p>
        </w:tc>
      </w:tr>
      <w:tr>
        <w:trPr>
          <w:cantSplit/>
        </w:trPr>
        <w:tc>
          <w:tcPr>
            <w:tcW w:type="dxa" w:w="2520"/>
            <w:tcMar>
              <w:top w:w="80" w:type="dxa"/>
              <w:start w:w="120" w:type="dxa"/>
              <w:bottom w:w="80" w:type="dxa"/>
              <w:end w:w="120" w:type="dxa"/>
            </w:tcMar>
            <w:vAlign w:val="top"/>
          </w:tcPr>
          <w:p>
            <w:pPr>
              <w:spacing w:after="0"/>
            </w:pPr>
            <w:r>
              <w:rPr>
                <w:rFonts w:ascii="Calibri" w:hAnsi="Calibri"/>
                <w:b w:val="0"/>
                <w:i w:val="0"/>
                <w:color w:val="1E2228"/>
                <w:sz w:val="17"/>
              </w:rPr>
              <w:t>Live-day hospitality</w:t>
            </w:r>
          </w:p>
        </w:tc>
        <w:tc>
          <w:tcPr>
            <w:tcW w:type="dxa" w:w="6840"/>
            <w:tcMar>
              <w:top w:w="80" w:type="dxa"/>
              <w:start w:w="120" w:type="dxa"/>
              <w:bottom w:w="80" w:type="dxa"/>
              <w:end w:w="120" w:type="dxa"/>
            </w:tcMar>
            <w:vAlign w:val="top"/>
          </w:tcPr>
          <w:p>
            <w:pPr>
              <w:spacing w:after="0"/>
            </w:pPr>
            <w:r>
              <w:rPr>
                <w:rFonts w:ascii="Calibri" w:hAnsi="Calibri"/>
                <w:b w:val="0"/>
                <w:i w:val="0"/>
                <w:color w:val="1E2228"/>
                <w:sz w:val="17"/>
              </w:rPr>
              <w:t>Use the Atelier as a calm host companion without entering operational command.</w:t>
            </w:r>
          </w:p>
        </w:tc>
      </w:tr>
      <w:tr>
        <w:trPr>
          <w:cantSplit/>
        </w:trPr>
        <w:tc>
          <w:tcPr>
            <w:tcW w:type="dxa" w:w="2520"/>
            <w:tcMar>
              <w:top w:w="80" w:type="dxa"/>
              <w:start w:w="120" w:type="dxa"/>
              <w:bottom w:w="80" w:type="dxa"/>
              <w:end w:w="120" w:type="dxa"/>
            </w:tcMar>
            <w:vAlign w:val="top"/>
          </w:tcPr>
          <w:p>
            <w:pPr>
              <w:spacing w:after="0"/>
            </w:pPr>
            <w:r>
              <w:rPr>
                <w:rFonts w:ascii="Calibri" w:hAnsi="Calibri"/>
                <w:b w:val="0"/>
                <w:i w:val="0"/>
                <w:color w:val="1E2228"/>
                <w:sz w:val="17"/>
              </w:rPr>
              <w:t>Privacy and dignity</w:t>
            </w:r>
          </w:p>
        </w:tc>
        <w:tc>
          <w:tcPr>
            <w:tcW w:type="dxa" w:w="6840"/>
            <w:tcMar>
              <w:top w:w="80" w:type="dxa"/>
              <w:start w:w="120" w:type="dxa"/>
              <w:bottom w:w="80" w:type="dxa"/>
              <w:end w:w="120" w:type="dxa"/>
            </w:tcMar>
            <w:vAlign w:val="top"/>
          </w:tcPr>
          <w:p>
            <w:pPr>
              <w:spacing w:after="0"/>
            </w:pPr>
            <w:r>
              <w:rPr>
                <w:rFonts w:ascii="Calibri" w:hAnsi="Calibri"/>
                <w:b w:val="0"/>
                <w:i w:val="0"/>
                <w:color w:val="1E2228"/>
                <w:sz w:val="17"/>
              </w:rPr>
              <w:t>Protect adults, children, guests, vendors, finance and security information.</w:t>
            </w:r>
          </w:p>
        </w:tc>
      </w:tr>
      <w:tr>
        <w:trPr>
          <w:cantSplit/>
        </w:trPr>
        <w:tc>
          <w:tcPr>
            <w:tcW w:type="dxa" w:w="2520"/>
            <w:tcMar>
              <w:top w:w="80" w:type="dxa"/>
              <w:start w:w="120" w:type="dxa"/>
              <w:bottom w:w="80" w:type="dxa"/>
              <w:end w:w="120" w:type="dxa"/>
            </w:tcMar>
            <w:vAlign w:val="top"/>
          </w:tcPr>
          <w:p>
            <w:pPr>
              <w:spacing w:after="0"/>
            </w:pPr>
            <w:r>
              <w:rPr>
                <w:rFonts w:ascii="Calibri" w:hAnsi="Calibri"/>
                <w:b w:val="0"/>
                <w:i w:val="0"/>
                <w:color w:val="1E2228"/>
                <w:sz w:val="17"/>
              </w:rPr>
              <w:t>AI restraint</w:t>
            </w:r>
          </w:p>
        </w:tc>
        <w:tc>
          <w:tcPr>
            <w:tcW w:type="dxa" w:w="6840"/>
            <w:tcMar>
              <w:top w:w="80" w:type="dxa"/>
              <w:start w:w="120" w:type="dxa"/>
              <w:bottom w:w="80" w:type="dxa"/>
              <w:end w:w="120" w:type="dxa"/>
            </w:tcMar>
            <w:vAlign w:val="top"/>
          </w:tcPr>
          <w:p>
            <w:pPr>
              <w:spacing w:after="0"/>
            </w:pPr>
            <w:r>
              <w:rPr>
                <w:rFonts w:ascii="Calibri" w:hAnsi="Calibri"/>
                <w:b w:val="0"/>
                <w:i w:val="0"/>
                <w:color w:val="1E2228"/>
                <w:sz w:val="17"/>
              </w:rPr>
              <w:t>Use AI only for governed drafts; identify unsupported inference and reject autonomous publication.</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2232"/>
            <w:shd w:fill="E8EEF5"/>
            <w:tcMar>
              <w:top w:w="80" w:type="dxa"/>
              <w:start w:w="120" w:type="dxa"/>
              <w:bottom w:w="80" w:type="dxa"/>
              <w:end w:w="120" w:type="dxa"/>
            </w:tcMar>
            <w:vAlign w:val="center"/>
          </w:tcPr>
          <w:p>
            <w:r>
              <w:rPr>
                <w:rFonts w:ascii="Calibri" w:hAnsi="Calibri"/>
                <w:b/>
                <w:i w:val="0"/>
                <w:color w:val="0B2545"/>
                <w:sz w:val="18"/>
              </w:rPr>
              <w:t>Assessment</w:t>
            </w:r>
          </w:p>
        </w:tc>
        <w:tc>
          <w:tcPr>
            <w:tcW w:type="dxa" w:w="7128"/>
            <w:shd w:fill="E8EEF5"/>
            <w:tcMar>
              <w:top w:w="80" w:type="dxa"/>
              <w:start w:w="120" w:type="dxa"/>
              <w:bottom w:w="80" w:type="dxa"/>
              <w:end w:w="120" w:type="dxa"/>
            </w:tcMar>
            <w:vAlign w:val="center"/>
          </w:tcPr>
          <w:p>
            <w:r>
              <w:rPr>
                <w:rFonts w:ascii="Calibri" w:hAnsi="Calibri"/>
                <w:b/>
                <w:i w:val="0"/>
                <w:color w:val="0B2545"/>
                <w:sz w:val="18"/>
              </w:rPr>
              <w:t>Requirement</w:t>
            </w:r>
          </w:p>
        </w:tc>
      </w:tr>
      <w:tr>
        <w:trPr>
          <w:cantSplit/>
        </w:trPr>
        <w:tc>
          <w:tcPr>
            <w:tcW w:type="dxa" w:w="2232"/>
            <w:tcMar>
              <w:top w:w="80" w:type="dxa"/>
              <w:start w:w="120" w:type="dxa"/>
              <w:bottom w:w="80" w:type="dxa"/>
              <w:end w:w="120" w:type="dxa"/>
            </w:tcMar>
            <w:vAlign w:val="top"/>
          </w:tcPr>
          <w:p>
            <w:pPr>
              <w:spacing w:after="0"/>
            </w:pPr>
            <w:r>
              <w:rPr>
                <w:rFonts w:ascii="Calibri" w:hAnsi="Calibri"/>
                <w:b w:val="0"/>
                <w:i w:val="0"/>
                <w:color w:val="1E2228"/>
                <w:sz w:val="17"/>
              </w:rPr>
              <w:t>Knowledge</w:t>
            </w:r>
          </w:p>
        </w:tc>
        <w:tc>
          <w:tcPr>
            <w:tcW w:type="dxa" w:w="7128"/>
            <w:tcMar>
              <w:top w:w="80" w:type="dxa"/>
              <w:start w:w="120" w:type="dxa"/>
              <w:bottom w:w="80" w:type="dxa"/>
              <w:end w:w="120" w:type="dxa"/>
            </w:tcMar>
            <w:vAlign w:val="top"/>
          </w:tcPr>
          <w:p>
            <w:pPr>
              <w:spacing w:after="0"/>
            </w:pPr>
            <w:r>
              <w:rPr>
                <w:rFonts w:ascii="Calibri" w:hAnsi="Calibri"/>
                <w:b w:val="0"/>
                <w:i w:val="0"/>
                <w:color w:val="1E2228"/>
                <w:sz w:val="17"/>
              </w:rPr>
              <w:t>Pass 80%; distinction 90%; role-specific authority and privacy questions.</w:t>
            </w:r>
          </w:p>
        </w:tc>
      </w:tr>
      <w:tr>
        <w:trPr>
          <w:cantSplit/>
        </w:trPr>
        <w:tc>
          <w:tcPr>
            <w:tcW w:type="dxa" w:w="2232"/>
            <w:tcMar>
              <w:top w:w="80" w:type="dxa"/>
              <w:start w:w="120" w:type="dxa"/>
              <w:bottom w:w="80" w:type="dxa"/>
              <w:end w:w="120" w:type="dxa"/>
            </w:tcMar>
            <w:vAlign w:val="top"/>
          </w:tcPr>
          <w:p>
            <w:pPr>
              <w:spacing w:after="0"/>
            </w:pPr>
            <w:r>
              <w:rPr>
                <w:rFonts w:ascii="Calibri" w:hAnsi="Calibri"/>
                <w:b w:val="0"/>
                <w:i w:val="0"/>
                <w:color w:val="1E2228"/>
                <w:sz w:val="17"/>
              </w:rPr>
              <w:t>Editorial practical</w:t>
            </w:r>
          </w:p>
        </w:tc>
        <w:tc>
          <w:tcPr>
            <w:tcW w:type="dxa" w:w="7128"/>
            <w:tcMar>
              <w:top w:w="80" w:type="dxa"/>
              <w:start w:w="120" w:type="dxa"/>
              <w:bottom w:w="80" w:type="dxa"/>
              <w:end w:w="120" w:type="dxa"/>
            </w:tcMar>
            <w:vAlign w:val="top"/>
          </w:tcPr>
          <w:p>
            <w:pPr>
              <w:spacing w:after="0"/>
            </w:pPr>
            <w:r>
              <w:rPr>
                <w:rFonts w:ascii="Calibri" w:hAnsi="Calibri"/>
                <w:b w:val="0"/>
                <w:i w:val="0"/>
                <w:color w:val="1E2228"/>
                <w:sz w:val="17"/>
              </w:rPr>
              <w:t>Create a Vision edition from approved inputs with provenance and alt text.</w:t>
            </w:r>
          </w:p>
        </w:tc>
      </w:tr>
      <w:tr>
        <w:trPr>
          <w:cantSplit/>
        </w:trPr>
        <w:tc>
          <w:tcPr>
            <w:tcW w:type="dxa" w:w="2232"/>
            <w:tcMar>
              <w:top w:w="80" w:type="dxa"/>
              <w:start w:w="120" w:type="dxa"/>
              <w:bottom w:w="80" w:type="dxa"/>
              <w:end w:w="120" w:type="dxa"/>
            </w:tcMar>
            <w:vAlign w:val="top"/>
          </w:tcPr>
          <w:p>
            <w:pPr>
              <w:spacing w:after="0"/>
            </w:pPr>
            <w:r>
              <w:rPr>
                <w:rFonts w:ascii="Calibri" w:hAnsi="Calibri"/>
                <w:b w:val="0"/>
                <w:i w:val="0"/>
                <w:color w:val="1E2228"/>
                <w:sz w:val="17"/>
              </w:rPr>
              <w:t>Assurance scenario</w:t>
            </w:r>
          </w:p>
        </w:tc>
        <w:tc>
          <w:tcPr>
            <w:tcW w:type="dxa" w:w="7128"/>
            <w:tcMar>
              <w:top w:w="80" w:type="dxa"/>
              <w:start w:w="120" w:type="dxa"/>
              <w:bottom w:w="80" w:type="dxa"/>
              <w:end w:w="120" w:type="dxa"/>
            </w:tcMar>
            <w:vAlign w:val="top"/>
          </w:tcPr>
          <w:p>
            <w:pPr>
              <w:spacing w:after="0"/>
            </w:pPr>
            <w:r>
              <w:rPr>
                <w:rFonts w:ascii="Calibri" w:hAnsi="Calibri"/>
                <w:b w:val="0"/>
                <w:i w:val="0"/>
                <w:color w:val="1E2228"/>
                <w:sz w:val="17"/>
              </w:rPr>
              <w:t>Turn noisy operational evidence into truthful host copy without hiding material risk.</w:t>
            </w:r>
          </w:p>
        </w:tc>
      </w:tr>
      <w:tr>
        <w:trPr>
          <w:cantSplit/>
        </w:trPr>
        <w:tc>
          <w:tcPr>
            <w:tcW w:type="dxa" w:w="2232"/>
            <w:tcMar>
              <w:top w:w="80" w:type="dxa"/>
              <w:start w:w="120" w:type="dxa"/>
              <w:bottom w:w="80" w:type="dxa"/>
              <w:end w:w="120" w:type="dxa"/>
            </w:tcMar>
            <w:vAlign w:val="top"/>
          </w:tcPr>
          <w:p>
            <w:pPr>
              <w:spacing w:after="0"/>
            </w:pPr>
            <w:r>
              <w:rPr>
                <w:rFonts w:ascii="Calibri" w:hAnsi="Calibri"/>
                <w:b w:val="0"/>
                <w:i w:val="0"/>
                <w:color w:val="1E2228"/>
                <w:sz w:val="17"/>
              </w:rPr>
              <w:t>Decision scenario</w:t>
            </w:r>
          </w:p>
        </w:tc>
        <w:tc>
          <w:tcPr>
            <w:tcW w:type="dxa" w:w="7128"/>
            <w:tcMar>
              <w:top w:w="80" w:type="dxa"/>
              <w:start w:w="120" w:type="dxa"/>
              <w:bottom w:w="80" w:type="dxa"/>
              <w:end w:w="120" w:type="dxa"/>
            </w:tcMar>
            <w:vAlign w:val="top"/>
          </w:tcPr>
          <w:p>
            <w:pPr>
              <w:spacing w:after="0"/>
            </w:pPr>
            <w:r>
              <w:rPr>
                <w:rFonts w:ascii="Calibri" w:hAnsi="Calibri"/>
                <w:b w:val="0"/>
                <w:i w:val="0"/>
                <w:color w:val="1E2228"/>
                <w:sz w:val="17"/>
              </w:rPr>
              <w:t>Guide a synthetic host through a reserved/joint decision and stale-edition recovery.</w:t>
            </w:r>
          </w:p>
        </w:tc>
      </w:tr>
      <w:tr>
        <w:trPr>
          <w:cantSplit/>
        </w:trPr>
        <w:tc>
          <w:tcPr>
            <w:tcW w:type="dxa" w:w="2232"/>
            <w:tcMar>
              <w:top w:w="80" w:type="dxa"/>
              <w:start w:w="120" w:type="dxa"/>
              <w:bottom w:w="80" w:type="dxa"/>
              <w:end w:w="120" w:type="dxa"/>
            </w:tcMar>
            <w:vAlign w:val="top"/>
          </w:tcPr>
          <w:p>
            <w:pPr>
              <w:spacing w:after="0"/>
            </w:pPr>
            <w:r>
              <w:rPr>
                <w:rFonts w:ascii="Calibri" w:hAnsi="Calibri"/>
                <w:b w:val="0"/>
                <w:i w:val="0"/>
                <w:color w:val="1E2228"/>
                <w:sz w:val="17"/>
              </w:rPr>
              <w:t>Security practical</w:t>
            </w:r>
          </w:p>
        </w:tc>
        <w:tc>
          <w:tcPr>
            <w:tcW w:type="dxa" w:w="7128"/>
            <w:tcMar>
              <w:top w:w="80" w:type="dxa"/>
              <w:start w:w="120" w:type="dxa"/>
              <w:bottom w:w="80" w:type="dxa"/>
              <w:end w:w="120" w:type="dxa"/>
            </w:tcMar>
            <w:vAlign w:val="top"/>
          </w:tcPr>
          <w:p>
            <w:pPr>
              <w:spacing w:after="0"/>
            </w:pPr>
            <w:r>
              <w:rPr>
                <w:rFonts w:ascii="Calibri" w:hAnsi="Calibri"/>
                <w:b w:val="0"/>
                <w:i w:val="0"/>
                <w:color w:val="1E2228"/>
                <w:sz w:val="17"/>
              </w:rPr>
              <w:t>Issue/revoke/recover magic-link access without credential sharing.</w:t>
            </w:r>
          </w:p>
        </w:tc>
      </w:tr>
      <w:tr>
        <w:trPr>
          <w:cantSplit/>
        </w:trPr>
        <w:tc>
          <w:tcPr>
            <w:tcW w:type="dxa" w:w="2232"/>
            <w:tcMar>
              <w:top w:w="80" w:type="dxa"/>
              <w:start w:w="120" w:type="dxa"/>
              <w:bottom w:w="80" w:type="dxa"/>
              <w:end w:w="120" w:type="dxa"/>
            </w:tcMar>
            <w:vAlign w:val="top"/>
          </w:tcPr>
          <w:p>
            <w:pPr>
              <w:spacing w:after="0"/>
            </w:pPr>
            <w:r>
              <w:rPr>
                <w:rFonts w:ascii="Calibri" w:hAnsi="Calibri"/>
                <w:b w:val="0"/>
                <w:i w:val="0"/>
                <w:color w:val="1E2228"/>
                <w:sz w:val="17"/>
              </w:rPr>
              <w:t>Live-day practical</w:t>
            </w:r>
          </w:p>
        </w:tc>
        <w:tc>
          <w:tcPr>
            <w:tcW w:type="dxa" w:w="7128"/>
            <w:tcMar>
              <w:top w:w="80" w:type="dxa"/>
              <w:start w:w="120" w:type="dxa"/>
              <w:bottom w:w="80" w:type="dxa"/>
              <w:end w:w="120" w:type="dxa"/>
            </w:tcMar>
            <w:vAlign w:val="top"/>
          </w:tcPr>
          <w:p>
            <w:pPr>
              <w:spacing w:after="0"/>
            </w:pPr>
            <w:r>
              <w:rPr>
                <w:rFonts w:ascii="Calibri" w:hAnsi="Calibri"/>
                <w:b w:val="0"/>
                <w:i w:val="0"/>
                <w:color w:val="1E2228"/>
                <w:sz w:val="17"/>
              </w:rPr>
              <w:t>Present a changed programme calmly while protecting command/security detail.</w:t>
            </w:r>
          </w:p>
        </w:tc>
      </w:tr>
    </w:tbl>
    <w:p>
      <w:pPr>
        <w:spacing w:after="20"/>
      </w:pPr>
    </w:p>
    <w:p>
      <w:pPr>
        <w:pStyle w:val="Heading1"/>
      </w:pPr>
      <w:r>
        <w:t>23. Controlled Cursor prompt — issue only after ratification</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shd w:fill="F2F4F7"/>
            <w:tcMar>
              <w:top w:w="130" w:type="dxa"/>
              <w:start w:w="180" w:type="dxa"/>
              <w:bottom w:w="130" w:type="dxa"/>
              <w:end w:w="180" w:type="dxa"/>
            </w:tcMar>
          </w:tcPr>
          <w:p>
            <w:pPr>
              <w:spacing w:after="0"/>
            </w:pPr>
            <w:r>
              <w:rPr>
                <w:rFonts w:ascii="Calibri" w:hAnsi="Calibri"/>
                <w:b/>
                <w:i w:val="0"/>
                <w:color w:val="0B2545"/>
                <w:sz w:val="21"/>
              </w:rPr>
              <w:t xml:space="preserve">CONTROL  </w:t>
            </w:r>
            <w:r>
              <w:rPr>
                <w:rFonts w:ascii="Calibri" w:hAnsi="Calibri"/>
                <w:b w:val="0"/>
                <w:i w:val="0"/>
                <w:color w:val="1E2228"/>
                <w:sz w:val="21"/>
              </w:rPr>
              <w:t>Do not execute until the CEO separately authorises S04E implementation and the accepted S03 and S04A–D contracts are available. This draft does not authorise commit, push or deployment.</w:t>
            </w:r>
          </w:p>
        </w:tc>
      </w:tr>
    </w:tbl>
    <w:p>
      <w:pPr>
        <w:spacing w:after="20"/>
      </w:pPr>
    </w:p>
    <w:p>
      <w:r>
        <w:t>Implement EOS-S04E as the Maison Doclar Private Event Atelier in kglaw-Oluseyi/atelier-doclar only. Railway, if later separately authorised, is atelier-doclar only. Preserve productionAuthorised:false and unsigned gates. Do not implement EOS-S05, deploy, activate real communications/payments, create new infrastructure, or expose raw Event OS data.</w:t>
      </w:r>
    </w:p>
    <w:p>
      <w:pPr>
        <w:pStyle w:val="ListBullet"/>
      </w:pPr>
      <w:r>
        <w:t>Reconcile accepted identity/access, S03, S04A–D, vendor governance and event-day projection contracts before code changes.</w:t>
      </w:r>
    </w:p>
    <w:p>
      <w:pPr>
        <w:pStyle w:val="ListBullet"/>
      </w:pPr>
      <w:r>
        <w:t>Implement Blueprint Genesis, Atelier/chapters, narrative/media editions, projections, updates, decisions/receipts, access grants and secure magic-link sessions.</w:t>
      </w:r>
    </w:p>
    <w:p>
      <w:pPr>
        <w:pStyle w:val="ListBullet"/>
      </w:pPr>
      <w:r>
        <w:t>Build an editorial, cinematic, mobile-first experience under the design constitution and anti-SaaS acceptance tests.</w:t>
      </w:r>
    </w:p>
    <w:p>
      <w:pPr>
        <w:pStyle w:val="ListBullet"/>
      </w:pPr>
      <w:r>
        <w:t>Use server-side field allowlists, source version/freshness, withdrawal, unknown/stale and rights/provenance controls.</w:t>
      </w:r>
    </w:p>
    <w:p>
      <w:pPr>
        <w:pStyle w:val="ListBullet"/>
      </w:pPr>
      <w:r>
        <w:t>Keep host and operational timelines as purpose-specific projections from common canonical sources.</w:t>
      </w:r>
    </w:p>
    <w:p>
      <w:pPr>
        <w:pStyle w:val="ListBullet"/>
      </w:pPr>
      <w:r>
        <w:t>Do not implement a budget ledger; render budget assurance only behind an accepted canonical contract and permission.</w:t>
      </w:r>
    </w:p>
    <w:p>
      <w:pPr>
        <w:pStyle w:val="ListBullet"/>
      </w:pPr>
      <w:r>
        <w:t>Ensure host actions create governed requests/receipts and cannot directly mutate core records.</w:t>
      </w:r>
    </w:p>
    <w:p>
      <w:pPr>
        <w:pStyle w:val="ListBullet"/>
      </w:pPr>
      <w:r>
        <w:t>Add security, authority, privacy, contract, accessibility, performance, visual-regression and Playwright E2E evidence.</w:t>
      </w:r>
    </w:p>
    <w:p>
      <w:pPr>
        <w:pStyle w:val="ListBullet"/>
      </w:pPr>
      <w:r>
        <w:t>Run typecheck, tests, programme validation, production build and relevant E2E; return exact evidence.</w:t>
      </w:r>
    </w:p>
    <w:p>
      <w:pPr>
        <w:pStyle w:val="ListBullet"/>
      </w:pPr>
      <w:r>
        <w:t>Stop before commit/push/deploy unless each action is separately authorised.</w:t>
      </w:r>
    </w:p>
    <w:p>
      <w:pPr>
        <w:pStyle w:val="Heading2"/>
      </w:pPr>
      <w:r>
        <w:t>23.1 Mandatory STOP conditions</w:t>
      </w:r>
    </w:p>
    <w:p>
      <w:pPr>
        <w:pStyle w:val="ListBullet"/>
      </w:pPr>
      <w:r>
        <w:t>Accepted contract missing, contradictory or requires EOS-S05.</w:t>
      </w:r>
    </w:p>
    <w:p>
      <w:pPr>
        <w:pStyle w:val="ListBullet"/>
      </w:pPr>
      <w:r>
        <w:t>Magic-link access cannot guarantee scope, expiry, revocation, replay defence and token redaction.</w:t>
      </w:r>
    </w:p>
    <w:p>
      <w:pPr>
        <w:pStyle w:val="ListBullet"/>
      </w:pPr>
      <w:r>
        <w:t>A projection requires wholesale core serialization or exposes private, security, finance or commercial data.</w:t>
      </w:r>
    </w:p>
    <w:p>
      <w:pPr>
        <w:pStyle w:val="ListBullet"/>
      </w:pPr>
      <w:r>
        <w:t>Host action bypasses maker/checker/domain authority or creates a parallel control tower/ledger.</w:t>
      </w:r>
    </w:p>
    <w:p>
      <w:pPr>
        <w:pStyle w:val="ListBullet"/>
      </w:pPr>
      <w:r>
        <w:t>Narrative/media cannot preserve approval, provenance, rights or withdrawal.</w:t>
      </w:r>
    </w:p>
    <w:p>
      <w:pPr>
        <w:pStyle w:val="ListBullet"/>
      </w:pPr>
      <w:r>
        <w:t>Repository/branch/worktree mismatch, productionAuthorised true or a protected gate would be crossed.</w:t>
      </w:r>
    </w:p>
    <w:p>
      <w:pPr>
        <w:pStyle w:val="Heading1"/>
      </w:pPr>
      <w:r>
        <w:t>24. CEO ratification record</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2520"/>
            <w:shd w:fill="E8EEF5"/>
            <w:tcMar>
              <w:top w:w="80" w:type="dxa"/>
              <w:start w:w="120" w:type="dxa"/>
              <w:bottom w:w="80" w:type="dxa"/>
              <w:end w:w="120" w:type="dxa"/>
            </w:tcMar>
            <w:vAlign w:val="center"/>
          </w:tcPr>
          <w:p>
            <w:r>
              <w:rPr>
                <w:rFonts w:ascii="Calibri" w:hAnsi="Calibri"/>
                <w:b/>
                <w:i w:val="0"/>
                <w:color w:val="0B2545"/>
                <w:sz w:val="18"/>
              </w:rPr>
              <w:t>Decision</w:t>
            </w:r>
          </w:p>
        </w:tc>
        <w:tc>
          <w:tcPr>
            <w:tcW w:type="dxa" w:w="6840"/>
            <w:shd w:fill="E8EEF5"/>
            <w:tcMar>
              <w:top w:w="80" w:type="dxa"/>
              <w:start w:w="120" w:type="dxa"/>
              <w:bottom w:w="80" w:type="dxa"/>
              <w:end w:w="120" w:type="dxa"/>
            </w:tcMar>
            <w:vAlign w:val="center"/>
          </w:tcPr>
          <w:p>
            <w:r>
              <w:rPr>
                <w:rFonts w:ascii="Calibri" w:hAnsi="Calibri"/>
                <w:b/>
                <w:i w:val="0"/>
                <w:color w:val="0B2545"/>
                <w:sz w:val="18"/>
              </w:rPr>
              <w:t>Draft ruling</w:t>
            </w:r>
          </w:p>
        </w:tc>
      </w:tr>
      <w:tr>
        <w:trPr>
          <w:cantSplit/>
        </w:trPr>
        <w:tc>
          <w:tcPr>
            <w:tcW w:type="dxa" w:w="2520"/>
            <w:tcMar>
              <w:top w:w="80" w:type="dxa"/>
              <w:start w:w="120" w:type="dxa"/>
              <w:bottom w:w="80" w:type="dxa"/>
              <w:end w:w="120" w:type="dxa"/>
            </w:tcMar>
            <w:vAlign w:val="top"/>
          </w:tcPr>
          <w:p>
            <w:pPr>
              <w:spacing w:after="0"/>
            </w:pPr>
            <w:r>
              <w:rPr>
                <w:rFonts w:ascii="Calibri" w:hAnsi="Calibri"/>
                <w:b w:val="0"/>
                <w:i w:val="0"/>
                <w:color w:val="1E2228"/>
                <w:sz w:val="17"/>
              </w:rPr>
              <w:t>Product</w:t>
            </w:r>
          </w:p>
        </w:tc>
        <w:tc>
          <w:tcPr>
            <w:tcW w:type="dxa" w:w="6840"/>
            <w:tcMar>
              <w:top w:w="80" w:type="dxa"/>
              <w:start w:w="120" w:type="dxa"/>
              <w:bottom w:w="80" w:type="dxa"/>
              <w:end w:w="120" w:type="dxa"/>
            </w:tcMar>
            <w:vAlign w:val="top"/>
          </w:tcPr>
          <w:p>
            <w:pPr>
              <w:spacing w:after="0"/>
            </w:pPr>
            <w:r>
              <w:rPr>
                <w:rFonts w:ascii="Calibri" w:hAnsi="Calibri"/>
                <w:b w:val="0"/>
                <w:i w:val="0"/>
                <w:color w:val="1E2228"/>
                <w:sz w:val="17"/>
              </w:rPr>
              <w:t>Maison Doclar Private Event Atelier — Event Blueprint, Journey &amp; Host Experience.</w:t>
            </w:r>
          </w:p>
        </w:tc>
      </w:tr>
      <w:tr>
        <w:trPr>
          <w:cantSplit/>
        </w:trPr>
        <w:tc>
          <w:tcPr>
            <w:tcW w:type="dxa" w:w="2520"/>
            <w:tcMar>
              <w:top w:w="80" w:type="dxa"/>
              <w:start w:w="120" w:type="dxa"/>
              <w:bottom w:w="80" w:type="dxa"/>
              <w:end w:w="120" w:type="dxa"/>
            </w:tcMar>
            <w:vAlign w:val="top"/>
          </w:tcPr>
          <w:p>
            <w:pPr>
              <w:spacing w:after="0"/>
            </w:pPr>
            <w:r>
              <w:rPr>
                <w:rFonts w:ascii="Calibri" w:hAnsi="Calibri"/>
                <w:b w:val="0"/>
                <w:i w:val="0"/>
                <w:color w:val="1E2228"/>
                <w:sz w:val="17"/>
              </w:rPr>
              <w:t>Position</w:t>
            </w:r>
          </w:p>
        </w:tc>
        <w:tc>
          <w:tcPr>
            <w:tcW w:type="dxa" w:w="6840"/>
            <w:tcMar>
              <w:top w:w="80" w:type="dxa"/>
              <w:start w:w="120" w:type="dxa"/>
              <w:bottom w:w="80" w:type="dxa"/>
              <w:end w:w="120" w:type="dxa"/>
            </w:tcMar>
            <w:vAlign w:val="top"/>
          </w:tcPr>
          <w:p>
            <w:pPr>
              <w:spacing w:after="0"/>
            </w:pPr>
            <w:r>
              <w:rPr>
                <w:rFonts w:ascii="Calibri" w:hAnsi="Calibri"/>
                <w:b w:val="0"/>
                <w:i w:val="0"/>
                <w:color w:val="1E2228"/>
                <w:sz w:val="17"/>
              </w:rPr>
              <w:t>EOS-S04E after S04D and before EOS-S05.</w:t>
            </w:r>
          </w:p>
        </w:tc>
      </w:tr>
      <w:tr>
        <w:trPr>
          <w:cantSplit/>
        </w:trPr>
        <w:tc>
          <w:tcPr>
            <w:tcW w:type="dxa" w:w="2520"/>
            <w:tcMar>
              <w:top w:w="80" w:type="dxa"/>
              <w:start w:w="120" w:type="dxa"/>
              <w:bottom w:w="80" w:type="dxa"/>
              <w:end w:w="120" w:type="dxa"/>
            </w:tcMar>
            <w:vAlign w:val="top"/>
          </w:tcPr>
          <w:p>
            <w:pPr>
              <w:spacing w:after="0"/>
            </w:pPr>
            <w:r>
              <w:rPr>
                <w:rFonts w:ascii="Calibri" w:hAnsi="Calibri"/>
                <w:b w:val="0"/>
                <w:i w:val="0"/>
                <w:color w:val="1E2228"/>
                <w:sz w:val="17"/>
              </w:rPr>
              <w:t>Assurance</w:t>
            </w:r>
          </w:p>
        </w:tc>
        <w:tc>
          <w:tcPr>
            <w:tcW w:type="dxa" w:w="6840"/>
            <w:tcMar>
              <w:top w:w="80" w:type="dxa"/>
              <w:start w:w="120" w:type="dxa"/>
              <w:bottom w:w="80" w:type="dxa"/>
              <w:end w:w="120" w:type="dxa"/>
            </w:tcMar>
            <w:vAlign w:val="top"/>
          </w:tcPr>
          <w:p>
            <w:pPr>
              <w:spacing w:after="0"/>
            </w:pPr>
            <w:r>
              <w:rPr>
                <w:rFonts w:ascii="Calibri" w:hAnsi="Calibri"/>
                <w:b w:val="0"/>
                <w:i w:val="0"/>
                <w:color w:val="1E2228"/>
                <w:sz w:val="17"/>
              </w:rPr>
              <w:t>Retained as a protected chapter and universal experience promise, not the whole product.</w:t>
            </w:r>
          </w:p>
        </w:tc>
      </w:tr>
      <w:tr>
        <w:trPr>
          <w:cantSplit/>
        </w:trPr>
        <w:tc>
          <w:tcPr>
            <w:tcW w:type="dxa" w:w="2520"/>
            <w:tcMar>
              <w:top w:w="80" w:type="dxa"/>
              <w:start w:w="120" w:type="dxa"/>
              <w:bottom w:w="80" w:type="dxa"/>
              <w:end w:w="120" w:type="dxa"/>
            </w:tcMar>
            <w:vAlign w:val="top"/>
          </w:tcPr>
          <w:p>
            <w:pPr>
              <w:spacing w:after="0"/>
            </w:pPr>
            <w:r>
              <w:rPr>
                <w:rFonts w:ascii="Calibri" w:hAnsi="Calibri"/>
                <w:b w:val="0"/>
                <w:i w:val="0"/>
                <w:color w:val="1E2228"/>
                <w:sz w:val="17"/>
              </w:rPr>
              <w:t>Access</w:t>
            </w:r>
          </w:p>
        </w:tc>
        <w:tc>
          <w:tcPr>
            <w:tcW w:type="dxa" w:w="6840"/>
            <w:tcMar>
              <w:top w:w="80" w:type="dxa"/>
              <w:start w:w="120" w:type="dxa"/>
              <w:bottom w:w="80" w:type="dxa"/>
              <w:end w:w="120" w:type="dxa"/>
            </w:tcMar>
            <w:vAlign w:val="top"/>
          </w:tcPr>
          <w:p>
            <w:pPr>
              <w:spacing w:after="0"/>
            </w:pPr>
            <w:r>
              <w:rPr>
                <w:rFonts w:ascii="Calibri" w:hAnsi="Calibri"/>
                <w:b w:val="0"/>
                <w:i w:val="0"/>
                <w:color w:val="1E2228"/>
                <w:sz w:val="17"/>
              </w:rPr>
              <w:t>Secure event-scoped magic link preferred; step-up for sensitive actions.</w:t>
            </w:r>
          </w:p>
        </w:tc>
      </w:tr>
      <w:tr>
        <w:trPr>
          <w:cantSplit/>
        </w:trPr>
        <w:tc>
          <w:tcPr>
            <w:tcW w:type="dxa" w:w="2520"/>
            <w:tcMar>
              <w:top w:w="80" w:type="dxa"/>
              <w:start w:w="120" w:type="dxa"/>
              <w:bottom w:w="80" w:type="dxa"/>
              <w:end w:w="120" w:type="dxa"/>
            </w:tcMar>
            <w:vAlign w:val="top"/>
          </w:tcPr>
          <w:p>
            <w:pPr>
              <w:spacing w:after="0"/>
            </w:pPr>
            <w:r>
              <w:rPr>
                <w:rFonts w:ascii="Calibri" w:hAnsi="Calibri"/>
                <w:b w:val="0"/>
                <w:i w:val="0"/>
                <w:color w:val="1E2228"/>
                <w:sz w:val="17"/>
              </w:rPr>
              <w:t>Experience</w:t>
            </w:r>
          </w:p>
        </w:tc>
        <w:tc>
          <w:tcPr>
            <w:tcW w:type="dxa" w:w="6840"/>
            <w:tcMar>
              <w:top w:w="80" w:type="dxa"/>
              <w:start w:w="120" w:type="dxa"/>
              <w:bottom w:w="80" w:type="dxa"/>
              <w:end w:w="120" w:type="dxa"/>
            </w:tcMar>
            <w:vAlign w:val="top"/>
          </w:tcPr>
          <w:p>
            <w:pPr>
              <w:spacing w:after="0"/>
            </w:pPr>
            <w:r>
              <w:rPr>
                <w:rFonts w:ascii="Calibri" w:hAnsi="Calibri"/>
                <w:b w:val="0"/>
                <w:i w:val="0"/>
                <w:color w:val="1E2228"/>
                <w:sz w:val="17"/>
              </w:rPr>
              <w:t>Editorial, cinematic, restrained luxury; expressly non-SaaS.</w:t>
            </w:r>
          </w:p>
        </w:tc>
      </w:tr>
      <w:tr>
        <w:trPr>
          <w:cantSplit/>
        </w:trPr>
        <w:tc>
          <w:tcPr>
            <w:tcW w:type="dxa" w:w="2520"/>
            <w:tcMar>
              <w:top w:w="80" w:type="dxa"/>
              <w:start w:w="120" w:type="dxa"/>
              <w:bottom w:w="80" w:type="dxa"/>
              <w:end w:w="120" w:type="dxa"/>
            </w:tcMar>
            <w:vAlign w:val="top"/>
          </w:tcPr>
          <w:p>
            <w:pPr>
              <w:spacing w:after="0"/>
            </w:pPr>
            <w:r>
              <w:rPr>
                <w:rFonts w:ascii="Calibri" w:hAnsi="Calibri"/>
                <w:b w:val="0"/>
                <w:i w:val="0"/>
                <w:color w:val="1E2228"/>
                <w:sz w:val="17"/>
              </w:rPr>
              <w:t>Lifecycle</w:t>
            </w:r>
          </w:p>
        </w:tc>
        <w:tc>
          <w:tcPr>
            <w:tcW w:type="dxa" w:w="6840"/>
            <w:tcMar>
              <w:top w:w="80" w:type="dxa"/>
              <w:start w:w="120" w:type="dxa"/>
              <w:bottom w:w="80" w:type="dxa"/>
              <w:end w:w="120" w:type="dxa"/>
            </w:tcMar>
            <w:vAlign w:val="top"/>
          </w:tcPr>
          <w:p>
            <w:pPr>
              <w:spacing w:after="0"/>
            </w:pPr>
            <w:r>
              <w:rPr>
                <w:rFonts w:ascii="Calibri" w:hAnsi="Calibri"/>
                <w:b w:val="0"/>
                <w:i w:val="0"/>
                <w:color w:val="1E2228"/>
                <w:sz w:val="17"/>
              </w:rPr>
              <w:t>Genesis, Reveal, Planning, Production, Live and After.</w:t>
            </w:r>
          </w:p>
        </w:tc>
      </w:tr>
      <w:tr>
        <w:trPr>
          <w:cantSplit/>
        </w:trPr>
        <w:tc>
          <w:tcPr>
            <w:tcW w:type="dxa" w:w="2520"/>
            <w:tcMar>
              <w:top w:w="80" w:type="dxa"/>
              <w:start w:w="120" w:type="dxa"/>
              <w:bottom w:w="80" w:type="dxa"/>
              <w:end w:w="120" w:type="dxa"/>
            </w:tcMar>
            <w:vAlign w:val="top"/>
          </w:tcPr>
          <w:p>
            <w:pPr>
              <w:spacing w:after="0"/>
            </w:pPr>
            <w:r>
              <w:rPr>
                <w:rFonts w:ascii="Calibri" w:hAnsi="Calibri"/>
                <w:b w:val="0"/>
                <w:i w:val="0"/>
                <w:color w:val="1E2228"/>
                <w:sz w:val="17"/>
              </w:rPr>
              <w:t>Authority</w:t>
            </w:r>
          </w:p>
        </w:tc>
        <w:tc>
          <w:tcPr>
            <w:tcW w:type="dxa" w:w="6840"/>
            <w:tcMar>
              <w:top w:w="80" w:type="dxa"/>
              <w:start w:w="120" w:type="dxa"/>
              <w:bottom w:w="80" w:type="dxa"/>
              <w:end w:w="120" w:type="dxa"/>
            </w:tcMar>
            <w:vAlign w:val="top"/>
          </w:tcPr>
          <w:p>
            <w:pPr>
              <w:spacing w:after="0"/>
            </w:pPr>
            <w:r>
              <w:rPr>
                <w:rFonts w:ascii="Calibri" w:hAnsi="Calibri"/>
                <w:b w:val="0"/>
                <w:i w:val="0"/>
                <w:color w:val="1E2228"/>
                <w:sz w:val="17"/>
              </w:rPr>
              <w:t>Curated projections and governed decisions; never operational control or direct core mutation.</w:t>
            </w:r>
          </w:p>
        </w:tc>
      </w:tr>
      <w:tr>
        <w:trPr>
          <w:cantSplit/>
        </w:trPr>
        <w:tc>
          <w:tcPr>
            <w:tcW w:type="dxa" w:w="2520"/>
            <w:tcMar>
              <w:top w:w="80" w:type="dxa"/>
              <w:start w:w="120" w:type="dxa"/>
              <w:bottom w:w="80" w:type="dxa"/>
              <w:end w:w="120" w:type="dxa"/>
            </w:tcMar>
            <w:vAlign w:val="top"/>
          </w:tcPr>
          <w:p>
            <w:pPr>
              <w:spacing w:after="0"/>
            </w:pPr>
            <w:r>
              <w:rPr>
                <w:rFonts w:ascii="Calibri" w:hAnsi="Calibri"/>
                <w:b w:val="0"/>
                <w:i w:val="0"/>
                <w:color w:val="1E2228"/>
                <w:sz w:val="17"/>
              </w:rPr>
              <w:t>Budget</w:t>
            </w:r>
          </w:p>
        </w:tc>
        <w:tc>
          <w:tcPr>
            <w:tcW w:type="dxa" w:w="6840"/>
            <w:tcMar>
              <w:top w:w="80" w:type="dxa"/>
              <w:start w:w="120" w:type="dxa"/>
              <w:bottom w:w="80" w:type="dxa"/>
              <w:end w:w="120" w:type="dxa"/>
            </w:tcMar>
            <w:vAlign w:val="top"/>
          </w:tcPr>
          <w:p>
            <w:pPr>
              <w:spacing w:after="0"/>
            </w:pPr>
            <w:r>
              <w:rPr>
                <w:rFonts w:ascii="Calibri" w:hAnsi="Calibri"/>
                <w:b w:val="0"/>
                <w:i w:val="0"/>
                <w:color w:val="1E2228"/>
                <w:sz w:val="17"/>
              </w:rPr>
              <w:t>Projection only when separately accepted canonical authority exists; no payment handling.</w:t>
            </w:r>
          </w:p>
        </w:tc>
      </w:tr>
      <w:tr>
        <w:trPr>
          <w:cantSplit/>
        </w:trPr>
        <w:tc>
          <w:tcPr>
            <w:tcW w:type="dxa" w:w="2520"/>
            <w:tcMar>
              <w:top w:w="80" w:type="dxa"/>
              <w:start w:w="120" w:type="dxa"/>
              <w:bottom w:w="80" w:type="dxa"/>
              <w:end w:w="120" w:type="dxa"/>
            </w:tcMar>
            <w:vAlign w:val="top"/>
          </w:tcPr>
          <w:p>
            <w:pPr>
              <w:spacing w:after="0"/>
            </w:pPr>
            <w:r>
              <w:rPr>
                <w:rFonts w:ascii="Calibri" w:hAnsi="Calibri"/>
                <w:b w:val="0"/>
                <w:i w:val="0"/>
                <w:color w:val="1E2228"/>
                <w:sz w:val="17"/>
              </w:rPr>
              <w:t>AI</w:t>
            </w:r>
          </w:p>
        </w:tc>
        <w:tc>
          <w:tcPr>
            <w:tcW w:type="dxa" w:w="6840"/>
            <w:tcMar>
              <w:top w:w="80" w:type="dxa"/>
              <w:start w:w="120" w:type="dxa"/>
              <w:bottom w:w="80" w:type="dxa"/>
              <w:end w:w="120" w:type="dxa"/>
            </w:tcMar>
            <w:vAlign w:val="top"/>
          </w:tcPr>
          <w:p>
            <w:pPr>
              <w:spacing w:after="0"/>
            </w:pPr>
            <w:r>
              <w:rPr>
                <w:rFonts w:ascii="Calibri" w:hAnsi="Calibri"/>
                <w:b w:val="0"/>
                <w:i w:val="0"/>
                <w:color w:val="1E2228"/>
                <w:sz w:val="17"/>
              </w:rPr>
              <w:t>Draft assistance only under shadow-mode/provenance/human publication controls.</w:t>
            </w:r>
          </w:p>
        </w:tc>
      </w:tr>
      <w:tr>
        <w:trPr>
          <w:cantSplit/>
        </w:trPr>
        <w:tc>
          <w:tcPr>
            <w:tcW w:type="dxa" w:w="2520"/>
            <w:tcMar>
              <w:top w:w="80" w:type="dxa"/>
              <w:start w:w="120" w:type="dxa"/>
              <w:bottom w:w="80" w:type="dxa"/>
              <w:end w:w="120" w:type="dxa"/>
            </w:tcMar>
            <w:vAlign w:val="top"/>
          </w:tcPr>
          <w:p>
            <w:pPr>
              <w:spacing w:after="0"/>
            </w:pPr>
            <w:r>
              <w:rPr>
                <w:rFonts w:ascii="Calibri" w:hAnsi="Calibri"/>
                <w:b w:val="0"/>
                <w:i w:val="0"/>
                <w:color w:val="1E2228"/>
                <w:sz w:val="17"/>
              </w:rPr>
              <w:t>Academy</w:t>
            </w:r>
          </w:p>
        </w:tc>
        <w:tc>
          <w:tcPr>
            <w:tcW w:type="dxa" w:w="6840"/>
            <w:tcMar>
              <w:top w:w="80" w:type="dxa"/>
              <w:start w:w="120" w:type="dxa"/>
              <w:bottom w:w="80" w:type="dxa"/>
              <w:end w:w="120" w:type="dxa"/>
            </w:tcMar>
            <w:vAlign w:val="top"/>
          </w:tcPr>
          <w:p>
            <w:pPr>
              <w:spacing w:after="0"/>
            </w:pPr>
            <w:r>
              <w:rPr>
                <w:rFonts w:ascii="Calibri" w:hAnsi="Calibri"/>
                <w:b w:val="0"/>
                <w:i w:val="0"/>
                <w:color w:val="1E2228"/>
                <w:sz w:val="17"/>
              </w:rPr>
              <w:t>ACA-S04E role-tiered training delta required.</w:t>
            </w:r>
          </w:p>
        </w:tc>
      </w:tr>
      <w:tr>
        <w:trPr>
          <w:cantSplit/>
        </w:trPr>
        <w:tc>
          <w:tcPr>
            <w:tcW w:type="dxa" w:w="2520"/>
            <w:tcMar>
              <w:top w:w="80" w:type="dxa"/>
              <w:start w:w="120" w:type="dxa"/>
              <w:bottom w:w="80" w:type="dxa"/>
              <w:end w:w="120" w:type="dxa"/>
            </w:tcMar>
            <w:vAlign w:val="top"/>
          </w:tcPr>
          <w:p>
            <w:pPr>
              <w:spacing w:after="0"/>
            </w:pPr>
            <w:r>
              <w:rPr>
                <w:rFonts w:ascii="Calibri" w:hAnsi="Calibri"/>
                <w:b w:val="0"/>
                <w:i w:val="0"/>
                <w:color w:val="1E2228"/>
                <w:sz w:val="17"/>
              </w:rPr>
              <w:t>Implementation</w:t>
            </w:r>
          </w:p>
        </w:tc>
        <w:tc>
          <w:tcPr>
            <w:tcW w:type="dxa" w:w="6840"/>
            <w:tcMar>
              <w:top w:w="80" w:type="dxa"/>
              <w:start w:w="120" w:type="dxa"/>
              <w:bottom w:w="80" w:type="dxa"/>
              <w:end w:w="120" w:type="dxa"/>
            </w:tcMar>
            <w:vAlign w:val="top"/>
          </w:tcPr>
          <w:p>
            <w:pPr>
              <w:spacing w:after="0"/>
            </w:pPr>
            <w:r>
              <w:rPr>
                <w:rFonts w:ascii="Calibri" w:hAnsi="Calibri"/>
                <w:b w:val="0"/>
                <w:i w:val="0"/>
                <w:color w:val="1E2228"/>
                <w:sz w:val="17"/>
              </w:rPr>
              <w:t>Not authorised by this draft.</w:t>
            </w:r>
          </w:p>
        </w:tc>
      </w:tr>
      <w:tr>
        <w:trPr>
          <w:cantSplit/>
        </w:trPr>
        <w:tc>
          <w:tcPr>
            <w:tcW w:type="dxa" w:w="2520"/>
            <w:tcMar>
              <w:top w:w="80" w:type="dxa"/>
              <w:start w:w="120" w:type="dxa"/>
              <w:bottom w:w="80" w:type="dxa"/>
              <w:end w:w="120" w:type="dxa"/>
            </w:tcMar>
            <w:vAlign w:val="top"/>
          </w:tcPr>
          <w:p>
            <w:pPr>
              <w:spacing w:after="0"/>
            </w:pPr>
            <w:r>
              <w:rPr>
                <w:rFonts w:ascii="Calibri" w:hAnsi="Calibri"/>
                <w:b w:val="0"/>
                <w:i w:val="0"/>
                <w:color w:val="1E2228"/>
                <w:sz w:val="17"/>
              </w:rPr>
              <w:t>Deployment/production</w:t>
            </w:r>
          </w:p>
        </w:tc>
        <w:tc>
          <w:tcPr>
            <w:tcW w:type="dxa" w:w="6840"/>
            <w:tcMar>
              <w:top w:w="80" w:type="dxa"/>
              <w:start w:w="120" w:type="dxa"/>
              <w:bottom w:w="80" w:type="dxa"/>
              <w:end w:w="120" w:type="dxa"/>
            </w:tcMar>
            <w:vAlign w:val="top"/>
          </w:tcPr>
          <w:p>
            <w:pPr>
              <w:spacing w:after="0"/>
            </w:pPr>
            <w:r>
              <w:rPr>
                <w:rFonts w:ascii="Calibri" w:hAnsi="Calibri"/>
                <w:b w:val="0"/>
                <w:i w:val="0"/>
                <w:color w:val="1E2228"/>
                <w:sz w:val="17"/>
              </w:rPr>
              <w:t>Not authorised; production false and protected gates unsigned.</w:t>
            </w:r>
          </w:p>
        </w:tc>
      </w:tr>
    </w:tbl>
    <w:p>
      <w:pPr>
        <w:spacing w:after="20"/>
      </w:pPr>
    </w:p>
    <w:p>
      <w:pPr>
        <w:pStyle w:val="Heading2"/>
      </w:pPr>
      <w:r>
        <w:t>24.1 Decisions requested from the CEO</w:t>
      </w:r>
    </w:p>
    <w:p>
      <w:pPr>
        <w:pStyle w:val="ListBullet"/>
      </w:pPr>
      <w:r>
        <w:t>Ratify the product name “Maison Doclar Private Event Atelier”.</w:t>
      </w:r>
    </w:p>
    <w:p>
      <w:pPr>
        <w:pStyle w:val="ListBullet"/>
      </w:pPr>
      <w:r>
        <w:t>Ratify the nine-chapter architecture and six-stage lifecycle.</w:t>
      </w:r>
    </w:p>
    <w:p>
      <w:pPr>
        <w:pStyle w:val="ListBullet"/>
      </w:pPr>
      <w:r>
        <w:t>Ratify the design constitution and explicit anti-SaaS tests.</w:t>
      </w:r>
    </w:p>
    <w:p>
      <w:pPr>
        <w:pStyle w:val="ListBullet"/>
      </w:pPr>
      <w:r>
        <w:t>Ratify magic-link access with step-up and scoped host roles.</w:t>
      </w:r>
    </w:p>
    <w:p>
      <w:pPr>
        <w:pStyle w:val="ListBullet"/>
      </w:pPr>
      <w:r>
        <w:t>Ratify the Blueprint Genesis boundary and optional budget-assurance rule.</w:t>
      </w:r>
    </w:p>
    <w:p>
      <w:pPr>
        <w:pStyle w:val="ListBullet"/>
      </w:pPr>
      <w:r>
        <w:t>Ratify ACA-S04E as the required Academy training delta.</w:t>
      </w:r>
    </w:p>
    <w:p>
      <w:pPr>
        <w:pStyle w:val="ListBullet"/>
      </w:pPr>
      <w:r>
        <w:t>After ratification, separately authorise or withhold the controlled Cursor implementation prompt.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i w:val="0"/>
        <w:color w:val="5A626C"/>
        <w:sz w:val="16"/>
      </w:rPr>
      <w:t>MAISON DOCLAR  |  EVENT OS CONTROLLED DELIVERY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b w:val="0"/>
      <w:color w:val="1E22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5A626C"/>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b w:val="0"/>
      <w:color w:val="1E2228"/>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b w:val="0"/>
      <w:color w:val="1E2228"/>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Maison Doclar EOS-S04E Controlled Slice Pack v1.0 Draft</dc:title>
  <dc:subject>Maison Doclar Private Event Atelier</dc:subject>
  <dc:creator>Maison Doclar</dc:creator>
  <cp:keywords/>
  <dc:description>generated by python-docx</dc:description>
  <cp:lastModifiedBy/>
  <cp:revision>1</cp:revision>
  <dcterms:created xsi:type="dcterms:W3CDTF">2013-12-23T23:15:00Z</dcterms:created>
  <dcterms:modified xsi:type="dcterms:W3CDTF">2013-12-23T23:15:00Z</dcterms:modified>
  <cp:category/>
</cp:coreProperties>
</file>