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EOS S05B Risk Protection and Continuity Command</w:t>
      </w:r>
    </w:p>
    <w:p>
      <w:pPr>
        <w:jc w:val="left"/>
      </w:pPr>
      <w:r>
        <w:rPr>
          <w:rFonts w:ascii="Georgia" w:hAnsi="Georgia"/>
          <w:color w:val="8B6E38"/>
          <w:sz w:val="30"/>
        </w:rPr>
        <w:t>CEO Ratification Requirements and Detailed Cursor Implementation Pack</w:t>
      </w:r>
    </w:p>
    <w:p>
      <w:r>
        <w:t>Maison Doclar Event OS</w:t>
      </w:r>
    </w:p>
    <w:p>
      <w:r>
        <w:t>Version 1.0  |  CEO review draft  |  Not implementation authority</w:t>
      </w:r>
    </w:p>
    <w:tbl>
      <w:tblPr>
        <w:tblW w:type="auto" w:w="0"/>
        <w:jc w:val="left"/>
        <w:tblLook w:firstColumn="1" w:firstRow="1" w:lastColumn="0" w:lastRow="0" w:noHBand="0" w:noVBand="1" w:val="04A0"/>
      </w:tblPr>
      <w:tblGrid>
        <w:gridCol w:w="4939"/>
        <w:gridCol w:w="4939"/>
      </w:tblGrid>
      <w:tr>
        <w:tc>
          <w:tcPr>
            <w:tcW w:type="dxa" w:w="4939"/>
          </w:tcPr>
          <w:p>
            <w:r>
              <w:t>Recommended control</w:t>
            </w:r>
          </w:p>
        </w:tc>
        <w:tc>
          <w:tcPr>
            <w:tcW w:type="dxa" w:w="4939"/>
          </w:tcPr>
          <w:p>
            <w:r>
              <w:t>MD-PR-S054</w:t>
            </w:r>
          </w:p>
        </w:tc>
      </w:tr>
      <w:tr>
        <w:tc>
          <w:tcPr>
            <w:tcW w:type="dxa" w:w="4939"/>
          </w:tcPr>
          <w:p>
            <w:r>
              <w:t>Repository</w:t>
            </w:r>
          </w:p>
        </w:tc>
        <w:tc>
          <w:tcPr>
            <w:tcW w:type="dxa" w:w="4939"/>
          </w:tcPr>
          <w:p>
            <w:r>
              <w:t>kglaw-Oluseyi/atelier-doclar · main</w:t>
            </w:r>
          </w:p>
        </w:tc>
      </w:tr>
      <w:tr>
        <w:tc>
          <w:tcPr>
            <w:tcW w:type="dxa" w:w="4939"/>
          </w:tcPr>
          <w:p>
            <w:r>
              <w:t>Canonical baseline</w:t>
            </w:r>
          </w:p>
        </w:tc>
        <w:tc>
          <w:tcPr>
            <w:tcW w:type="dxa" w:w="4939"/>
          </w:tcPr>
          <w:p>
            <w:r>
              <w:t>f12798a28f438408527d8811be57389661c86c25</w:t>
            </w:r>
          </w:p>
        </w:tc>
      </w:tr>
      <w:tr>
        <w:tc>
          <w:tcPr>
            <w:tcW w:type="dxa" w:w="4939"/>
          </w:tcPr>
          <w:p>
            <w:r>
              <w:t>Successor state</w:t>
            </w:r>
          </w:p>
        </w:tc>
        <w:tc>
          <w:tcPr>
            <w:tcW w:type="dxa" w:w="4939"/>
          </w:tcPr>
          <w:p>
            <w:r>
              <w:t>EOS-S05B and EOS-S06 remain unauthorised</w:t>
            </w:r>
          </w:p>
        </w:tc>
      </w:tr>
    </w:tbl>
    <w:p>
      <w:r>
        <w:br w:type="page"/>
      </w:r>
    </w:p>
    <w:p>
      <w:pPr>
        <w:pStyle w:val="Heading1"/>
      </w:pPr>
      <w:r>
        <w:t>Contents</w:t>
      </w:r>
    </w:p>
    <w:p>
      <w:pPr>
        <w:pStyle w:val="ListNumber"/>
      </w:pPr>
      <w:r>
        <w:t>EOS-S05B Risk Protection and Continuity Command</w:t>
      </w:r>
    </w:p>
    <w:p>
      <w:pPr>
        <w:pStyle w:val="ListNumber"/>
      </w:pPr>
      <w:r>
        <w:t>EOS-S05B Ratification Doctrine and Accepted Contract Compatibility</w:t>
      </w:r>
    </w:p>
    <w:p>
      <w:pPr>
        <w:pStyle w:val="ListNumber"/>
      </w:pPr>
      <w:r>
        <w:t>EOS-S05B Regulatory Insurance and Legal Evidence Model</w:t>
      </w:r>
    </w:p>
    <w:p>
      <w:pPr>
        <w:pStyle w:val="ListNumber"/>
      </w:pPr>
      <w:r>
        <w:t>EOS-S05B Product Domain Data and State Specification</w:t>
      </w:r>
    </w:p>
    <w:p>
      <w:pPr>
        <w:pStyle w:val="ListNumber"/>
      </w:pPr>
      <w:r>
        <w:t>EOS-S05B Insurance Coverage and Gap Engine</w:t>
      </w:r>
    </w:p>
    <w:p>
      <w:pPr>
        <w:pStyle w:val="ListNumber"/>
      </w:pPr>
      <w:r>
        <w:t>EOS-S05B Contractual Protection and Legal Review Specification</w:t>
      </w:r>
    </w:p>
    <w:p>
      <w:pPr>
        <w:pStyle w:val="ListNumber"/>
      </w:pPr>
      <w:r>
        <w:t>EOS-S05B Vendor Risk and Evidence Intelligence</w:t>
      </w:r>
    </w:p>
    <w:p>
      <w:pPr>
        <w:pStyle w:val="ListNumber"/>
      </w:pPr>
      <w:r>
        <w:t>EOS-S05B Event Continuity Fallback and Incident Command</w:t>
      </w:r>
    </w:p>
    <w:p>
      <w:pPr>
        <w:pStyle w:val="ListNumber"/>
      </w:pPr>
      <w:r>
        <w:t>EOS-S05B Risk Budget Reserve and Financial Boundaries</w:t>
      </w:r>
    </w:p>
    <w:p>
      <w:pPr>
        <w:pStyle w:val="ListNumber"/>
      </w:pPr>
      <w:r>
        <w:t>EOS-S05B Permissions Privacy Audit and Document Security</w:t>
      </w:r>
    </w:p>
    <w:p>
      <w:pPr>
        <w:pStyle w:val="ListNumber"/>
      </w:pPr>
      <w:r>
        <w:t>EOS-S05B Command Atelier UX and Client Assurance</w:t>
      </w:r>
    </w:p>
    <w:p>
      <w:pPr>
        <w:pStyle w:val="ListNumber"/>
      </w:pPr>
      <w:r>
        <w:t>EOS-S05B AI Safety Scoring and Evaluation</w:t>
      </w:r>
    </w:p>
    <w:p>
      <w:pPr>
        <w:pStyle w:val="ListNumber"/>
      </w:pPr>
      <w:r>
        <w:t>EOS-S05B Integration Notifications and Provider Boundaries</w:t>
      </w:r>
    </w:p>
    <w:p>
      <w:pPr>
        <w:pStyle w:val="ListNumber"/>
      </w:pPr>
      <w:r>
        <w:t>EOS-S05B Migration Deployment and Production Configuration</w:t>
      </w:r>
    </w:p>
    <w:p>
      <w:pPr>
        <w:pStyle w:val="ListNumber"/>
      </w:pPr>
      <w:r>
        <w:t>EOS-S05B Detailed Cursor Pack A Control and Foundations</w:t>
      </w:r>
    </w:p>
    <w:p>
      <w:pPr>
        <w:pStyle w:val="ListNumber"/>
      </w:pPr>
      <w:r>
        <w:t>EOS-S05B Detailed Cursor Pack B Insurance Contract and Vendor Intelligence</w:t>
      </w:r>
    </w:p>
    <w:p>
      <w:pPr>
        <w:pStyle w:val="ListNumber"/>
      </w:pPr>
      <w:r>
        <w:t>EOS-S05B Detailed Cursor Pack C Continuity Budget and Experience</w:t>
      </w:r>
    </w:p>
    <w:p>
      <w:pPr>
        <w:pStyle w:val="ListNumber"/>
      </w:pPr>
      <w:r>
        <w:t>EOS-S05B Detailed Cursor Pack D Assurance Deployment and Reporting</w:t>
      </w:r>
    </w:p>
    <w:p>
      <w:pPr>
        <w:pStyle w:val="ListNumber"/>
      </w:pPr>
      <w:r>
        <w:t>EOS-S05B Independent Claude Verification and Acceptance</w:t>
      </w:r>
    </w:p>
    <w:p>
      <w:r>
        <w:br w:type="page"/>
      </w:r>
    </w:p>
    <w:p>
      <w:pPr>
        <w:pStyle w:val="Title"/>
      </w:pPr>
      <w:r>
        <w:t>EOS-S05B Risk Protection and Continuity Command</w:t>
      </w:r>
    </w:p>
    <w:p>
      <w:r>
        <w:rPr>
          <w:b/>
        </w:rPr>
        <w:t>Status:</w:t>
      </w:r>
      <w:r>
        <w:t xml:space="preserve"> CEO review draft — not implementation authority  </w:t>
      </w:r>
    </w:p>
    <w:p>
      <w:r>
        <w:rPr>
          <w:b/>
        </w:rPr>
        <w:t>Recommended control:</w:t>
      </w:r>
      <w:r>
        <w:t xml:space="preserve"> MD-PR-S054  </w:t>
      </w:r>
    </w:p>
    <w:p>
      <w:r>
        <w:rPr>
          <w:b/>
        </w:rPr>
        <w:t>Repository:</w:t>
      </w:r>
      <w:r>
        <w:t xml:space="preserve"> </w:t>
      </w:r>
      <w:r>
        <w:rPr>
          <w:rFonts w:ascii="Aptos Mono" w:hAnsi="Aptos Mono"/>
          <w:color w:val="554630"/>
          <w:sz w:val="18"/>
        </w:rPr>
        <w:t>kglaw-Oluseyi/atelier-doclar</w:t>
      </w:r>
      <w:r>
        <w:t xml:space="preserve"> / </w:t>
      </w:r>
      <w:r>
        <w:rPr>
          <w:rFonts w:ascii="Aptos Mono" w:hAnsi="Aptos Mono"/>
          <w:color w:val="554630"/>
          <w:sz w:val="18"/>
        </w:rPr>
        <w:t>main</w:t>
      </w:r>
      <w:r>
        <w:t xml:space="preserve">  </w:t>
      </w:r>
    </w:p>
    <w:p>
      <w:r>
        <w:rPr>
          <w:b/>
        </w:rPr>
        <w:t>Baseline:</w:t>
      </w:r>
      <w:r>
        <w:t xml:space="preserve"> </w:t>
      </w:r>
      <w:r>
        <w:rPr>
          <w:rFonts w:ascii="Aptos Mono" w:hAnsi="Aptos Mono"/>
          <w:color w:val="554630"/>
          <w:sz w:val="18"/>
        </w:rPr>
        <w:t>f12798a28f438408527d8811be57389661c86c25</w:t>
      </w:r>
      <w:r>
        <w:t xml:space="preserve">  </w:t>
      </w:r>
    </w:p>
    <w:p>
      <w:r>
        <w:rPr>
          <w:b/>
        </w:rPr>
        <w:t>Affected application if later authorised:</w:t>
      </w:r>
      <w:r>
        <w:t xml:space="preserve"> Event OS only</w:t>
      </w:r>
    </w:p>
    <w:p>
      <w:pPr>
        <w:pStyle w:val="Heading1"/>
      </w:pPr>
      <w:r>
        <w:t>Decision requested</w:t>
      </w:r>
    </w:p>
    <w:p>
      <w:r>
        <w:t>Ratify EOS-S05B as a controlled non-catalogue insert after accepted EOS-S05A and before EOS-S06. Ratification approves the requirements corpus; it does not authorise Cursor, deployment, real data, legal reliance, messages, payments, bookings, claims submission or production operation.</w:t>
      </w:r>
    </w:p>
    <w:p>
      <w:pPr>
        <w:pStyle w:val="Heading1"/>
      </w:pPr>
      <w:r>
        <w:t>Product conclusion</w:t>
      </w:r>
    </w:p>
    <w:p>
      <w:r>
        <w:t>Risk must become an operational command capability, not a document cupboard. The system must answer five questions truthfully: what protection applies; what evidence supports it; what remains exposed; what must happen next; and who is authorised to decide. It must preserve uncertainty and never manufacture legal, insurance or financial certainty.</w:t>
      </w:r>
    </w:p>
    <w:p>
      <w:pPr>
        <w:pStyle w:val="Heading1"/>
      </w:pPr>
      <w:r>
        <w:t>Pack contents</w:t>
      </w:r>
    </w:p>
    <w:tbl>
      <w:tblPr>
        <w:tblStyle w:val="TableGrid"/>
        <w:tblW w:type="auto" w:w="0"/>
        <w:jc w:val="center"/>
        <w:tblLook w:firstColumn="1" w:firstRow="1" w:lastColumn="0" w:lastRow="0" w:noHBand="0" w:noVBand="1" w:val="04A0"/>
      </w:tblPr>
      <w:tblGrid>
        <w:gridCol w:w="4939"/>
        <w:gridCol w:w="4939"/>
      </w:tblGrid>
      <w:tr>
        <w:tc>
          <w:tcPr>
            <w:tcW w:type="dxa" w:w="4939"/>
            <w:shd w:fill="11100F"/>
          </w:tcPr>
          <w:p>
            <w:r>
              <w:rPr>
                <w:b/>
                <w:color w:val="F5F0E8"/>
              </w:rPr>
              <w:t>File</w:t>
            </w:r>
          </w:p>
        </w:tc>
        <w:tc>
          <w:tcPr>
            <w:tcW w:type="dxa" w:w="4939"/>
            <w:shd w:fill="11100F"/>
          </w:tcPr>
          <w:p>
            <w:r>
              <w:rPr>
                <w:b/>
                <w:color w:val="F5F0E8"/>
              </w:rPr>
              <w:t>Purpose</w:t>
            </w:r>
          </w:p>
        </w:tc>
      </w:tr>
      <w:tr>
        <w:tc>
          <w:tcPr>
            <w:tcW w:type="dxa" w:w="4939"/>
            <w:vAlign w:val="top"/>
          </w:tcPr>
          <w:p>
            <w:r>
              <w:t>00</w:t>
            </w:r>
          </w:p>
        </w:tc>
        <w:tc>
          <w:tcPr>
            <w:tcW w:type="dxa" w:w="4939"/>
            <w:vAlign w:val="top"/>
          </w:tcPr>
          <w:p>
            <w:r>
              <w:t>Index, authority and ratification map</w:t>
            </w:r>
          </w:p>
        </w:tc>
      </w:tr>
      <w:tr>
        <w:tc>
          <w:tcPr>
            <w:tcW w:type="dxa" w:w="4939"/>
            <w:vAlign w:val="top"/>
          </w:tcPr>
          <w:p>
            <w:r>
              <w:t>01</w:t>
            </w:r>
          </w:p>
        </w:tc>
        <w:tc>
          <w:tcPr>
            <w:tcW w:type="dxa" w:w="4939"/>
            <w:vAlign w:val="top"/>
          </w:tcPr>
          <w:p>
            <w:r>
              <w:t>Doctrine, accepted-contract compatibility and non-negotiables</w:t>
            </w:r>
          </w:p>
        </w:tc>
      </w:tr>
      <w:tr>
        <w:tc>
          <w:tcPr>
            <w:tcW w:type="dxa" w:w="4939"/>
            <w:vAlign w:val="top"/>
          </w:tcPr>
          <w:p>
            <w:r>
              <w:t>02</w:t>
            </w:r>
          </w:p>
        </w:tc>
        <w:tc>
          <w:tcPr>
            <w:tcW w:type="dxa" w:w="4939"/>
            <w:vAlign w:val="top"/>
          </w:tcPr>
          <w:p>
            <w:r>
              <w:t>Nigerian legal, regulatory and evidence governance</w:t>
            </w:r>
          </w:p>
        </w:tc>
      </w:tr>
      <w:tr>
        <w:tc>
          <w:tcPr>
            <w:tcW w:type="dxa" w:w="4939"/>
            <w:vAlign w:val="top"/>
          </w:tcPr>
          <w:p>
            <w:r>
              <w:t>03</w:t>
            </w:r>
          </w:p>
        </w:tc>
        <w:tc>
          <w:tcPr>
            <w:tcW w:type="dxa" w:w="4939"/>
            <w:vAlign w:val="top"/>
          </w:tcPr>
          <w:p>
            <w:r>
              <w:t>Domain model, states, invariants and event scoping</w:t>
            </w:r>
          </w:p>
        </w:tc>
      </w:tr>
      <w:tr>
        <w:tc>
          <w:tcPr>
            <w:tcW w:type="dxa" w:w="4939"/>
            <w:vAlign w:val="top"/>
          </w:tcPr>
          <w:p>
            <w:r>
              <w:t>04</w:t>
            </w:r>
          </w:p>
        </w:tc>
        <w:tc>
          <w:tcPr>
            <w:tcW w:type="dxa" w:w="4939"/>
            <w:vAlign w:val="top"/>
          </w:tcPr>
          <w:p>
            <w:r>
              <w:t>Insurance coverage, applicability and gap engine</w:t>
            </w:r>
          </w:p>
        </w:tc>
      </w:tr>
      <w:tr>
        <w:tc>
          <w:tcPr>
            <w:tcW w:type="dxa" w:w="4939"/>
            <w:vAlign w:val="top"/>
          </w:tcPr>
          <w:p>
            <w:r>
              <w:t>05</w:t>
            </w:r>
          </w:p>
        </w:tc>
        <w:tc>
          <w:tcPr>
            <w:tcW w:type="dxa" w:w="4939"/>
            <w:vAlign w:val="top"/>
          </w:tcPr>
          <w:p>
            <w:r>
              <w:t>Contractual safeguards and legal-review workflow</w:t>
            </w:r>
          </w:p>
        </w:tc>
      </w:tr>
      <w:tr>
        <w:tc>
          <w:tcPr>
            <w:tcW w:type="dxa" w:w="4939"/>
            <w:vAlign w:val="top"/>
          </w:tcPr>
          <w:p>
            <w:r>
              <w:t>06</w:t>
            </w:r>
          </w:p>
        </w:tc>
        <w:tc>
          <w:tcPr>
            <w:tcW w:type="dxa" w:w="4939"/>
            <w:vAlign w:val="top"/>
          </w:tcPr>
          <w:p>
            <w:r>
              <w:t>Vendor risk intelligence and evidence</w:t>
            </w:r>
          </w:p>
        </w:tc>
      </w:tr>
      <w:tr>
        <w:tc>
          <w:tcPr>
            <w:tcW w:type="dxa" w:w="4939"/>
            <w:vAlign w:val="top"/>
          </w:tcPr>
          <w:p>
            <w:r>
              <w:t>07</w:t>
            </w:r>
          </w:p>
        </w:tc>
        <w:tc>
          <w:tcPr>
            <w:tcW w:type="dxa" w:w="4939"/>
            <w:vAlign w:val="top"/>
          </w:tcPr>
          <w:p>
            <w:r>
              <w:t>Continuity plans, check-ins, incidents and fallback activation</w:t>
            </w:r>
          </w:p>
        </w:tc>
      </w:tr>
      <w:tr>
        <w:tc>
          <w:tcPr>
            <w:tcW w:type="dxa" w:w="4939"/>
            <w:vAlign w:val="top"/>
          </w:tcPr>
          <w:p>
            <w:r>
              <w:t>08</w:t>
            </w:r>
          </w:p>
        </w:tc>
        <w:tc>
          <w:tcPr>
            <w:tcW w:type="dxa" w:w="4939"/>
            <w:vAlign w:val="top"/>
          </w:tcPr>
          <w:p>
            <w:r>
              <w:t>Risk budget, reserves and financial boundaries</w:t>
            </w:r>
          </w:p>
        </w:tc>
      </w:tr>
      <w:tr>
        <w:tc>
          <w:tcPr>
            <w:tcW w:type="dxa" w:w="4939"/>
            <w:vAlign w:val="top"/>
          </w:tcPr>
          <w:p>
            <w:r>
              <w:t>09</w:t>
            </w:r>
          </w:p>
        </w:tc>
        <w:tc>
          <w:tcPr>
            <w:tcW w:type="dxa" w:w="4939"/>
            <w:vAlign w:val="top"/>
          </w:tcPr>
          <w:p>
            <w:r>
              <w:t>Permissions, privacy, document security and audit</w:t>
            </w:r>
          </w:p>
        </w:tc>
      </w:tr>
      <w:tr>
        <w:tc>
          <w:tcPr>
            <w:tcW w:type="dxa" w:w="4939"/>
            <w:vAlign w:val="top"/>
          </w:tcPr>
          <w:p>
            <w:r>
              <w:t>10</w:t>
            </w:r>
          </w:p>
        </w:tc>
        <w:tc>
          <w:tcPr>
            <w:tcW w:type="dxa" w:w="4939"/>
            <w:vAlign w:val="top"/>
          </w:tcPr>
          <w:p>
            <w:r>
              <w:t>Command Atelier UX and client assurance dossier</w:t>
            </w:r>
          </w:p>
        </w:tc>
      </w:tr>
      <w:tr>
        <w:tc>
          <w:tcPr>
            <w:tcW w:type="dxa" w:w="4939"/>
            <w:vAlign w:val="top"/>
          </w:tcPr>
          <w:p>
            <w:r>
              <w:t>11</w:t>
            </w:r>
          </w:p>
        </w:tc>
        <w:tc>
          <w:tcPr>
            <w:tcW w:type="dxa" w:w="4939"/>
            <w:vAlign w:val="top"/>
          </w:tcPr>
          <w:p>
            <w:r>
              <w:t>AI safety, explainability and executable evaluation</w:t>
            </w:r>
          </w:p>
        </w:tc>
      </w:tr>
      <w:tr>
        <w:tc>
          <w:tcPr>
            <w:tcW w:type="dxa" w:w="4939"/>
            <w:vAlign w:val="top"/>
          </w:tcPr>
          <w:p>
            <w:r>
              <w:t>12</w:t>
            </w:r>
          </w:p>
        </w:tc>
        <w:tc>
          <w:tcPr>
            <w:tcW w:type="dxa" w:w="4939"/>
            <w:vAlign w:val="top"/>
          </w:tcPr>
          <w:p>
            <w:r>
              <w:t>Notifications, providers and integration boundaries</w:t>
            </w:r>
          </w:p>
        </w:tc>
      </w:tr>
      <w:tr>
        <w:tc>
          <w:tcPr>
            <w:tcW w:type="dxa" w:w="4939"/>
            <w:vAlign w:val="top"/>
          </w:tcPr>
          <w:p>
            <w:r>
              <w:t>13</w:t>
            </w:r>
          </w:p>
        </w:tc>
        <w:tc>
          <w:tcPr>
            <w:tcW w:type="dxa" w:w="4939"/>
            <w:vAlign w:val="top"/>
          </w:tcPr>
          <w:p>
            <w:r>
              <w:t>Migration, deployment, production configuration and recovery</w:t>
            </w:r>
          </w:p>
        </w:tc>
      </w:tr>
      <w:tr>
        <w:tc>
          <w:tcPr>
            <w:tcW w:type="dxa" w:w="4939"/>
            <w:vAlign w:val="top"/>
          </w:tcPr>
          <w:p>
            <w:r>
              <w:t>14A–14D</w:t>
            </w:r>
          </w:p>
        </w:tc>
        <w:tc>
          <w:tcPr>
            <w:tcW w:type="dxa" w:w="4939"/>
            <w:vAlign w:val="top"/>
          </w:tcPr>
          <w:p>
            <w:r>
              <w:t>Detailed Cursor implementation units</w:t>
            </w:r>
          </w:p>
        </w:tc>
      </w:tr>
      <w:tr>
        <w:tc>
          <w:tcPr>
            <w:tcW w:type="dxa" w:w="4939"/>
            <w:vAlign w:val="top"/>
          </w:tcPr>
          <w:p>
            <w:r>
              <w:t>15</w:t>
            </w:r>
          </w:p>
        </w:tc>
        <w:tc>
          <w:tcPr>
            <w:tcW w:type="dxa" w:w="4939"/>
            <w:vAlign w:val="top"/>
          </w:tcPr>
          <w:p>
            <w:r>
              <w:t>Independent Claude verification and acceptance model</w:t>
            </w:r>
          </w:p>
        </w:tc>
      </w:tr>
    </w:tbl>
    <w:p>
      <w:pPr>
        <w:pStyle w:val="Heading1"/>
      </w:pPr>
      <w:r>
        <w:t>Authority order</w:t>
      </w:r>
    </w:p>
    <w:p>
      <w:pPr>
        <w:pStyle w:val="ListNumber"/>
      </w:pPr>
      <w:r>
        <w:t>Accepted slice contracts and current control records.</w:t>
      </w:r>
    </w:p>
    <w:p>
      <w:pPr>
        <w:pStyle w:val="ListNumber"/>
      </w:pPr>
      <w:r>
        <w:t>CEO-ratified EOS-S05B documents 01–13 and 15.</w:t>
      </w:r>
    </w:p>
    <w:p>
      <w:pPr>
        <w:pStyle w:val="ListNumber"/>
      </w:pPr>
      <w:r>
        <w:t>Detailed implementation instructions 14A–14D.</w:t>
      </w:r>
    </w:p>
    <w:p>
      <w:pPr>
        <w:pStyle w:val="ListNumber"/>
      </w:pPr>
      <w:r>
        <w:t>Existing code only where compatible.</w:t>
      </w:r>
    </w:p>
    <w:p>
      <w:pPr>
        <w:pStyle w:val="ListNumber"/>
      </w:pPr>
      <w:r>
        <w:t>Historic assumptions and supplied market examples as non-authoritative discovery material.</w:t>
      </w:r>
    </w:p>
    <w:p>
      <w:pPr>
        <w:pStyle w:val="Heading1"/>
      </w:pPr>
      <w:r>
        <w:t>Required ratification statement</w:t>
      </w:r>
    </w:p>
    <w:p>
      <w:r>
        <w:rPr>
          <w:rFonts w:ascii="Aptos Mono" w:hAnsi="Aptos Mono"/>
          <w:color w:val="554630"/>
          <w:sz w:val="18"/>
        </w:rPr>
        <w:t>I RATIFY EOS-S05B DOCUMENTS 00–15 AS THE CONTROLLING REQUIREMENTS CORPUS. THIS DOES NOT AUTHORISE IMPLEMENTATION. CHATGPT MAY PREPARE THE SEPARATE MD-PR-S054 IMPLEMENTATION AUTHORITY PROMPT.</w:t>
      </w:r>
    </w:p>
    <w:p>
      <w:pPr>
        <w:pStyle w:val="Heading1"/>
      </w:pPr>
      <w:r>
        <w:t>Supersession</w:t>
      </w:r>
    </w:p>
    <w:p>
      <w:r>
        <w:t>This pack supersedes any earlier informal EOS-S05B outline. It does not supersede EOS-S05A, EOS-S05, deployment policy, document authority, execution compatibility, technical-debt records or any accepted contract.</w:t>
      </w:r>
    </w:p>
    <w:p>
      <w:r>
        <w:br w:type="page"/>
      </w:r>
    </w:p>
    <w:p>
      <w:pPr>
        <w:pStyle w:val="Title"/>
      </w:pPr>
      <w:r>
        <w:t>EOS-S05B Ratification Doctrine and Accepted Contract Compatibility</w:t>
      </w:r>
    </w:p>
    <w:p>
      <w:r>
        <w:rPr>
          <w:b/>
        </w:rPr>
        <w:t>Status:</w:t>
      </w:r>
      <w:r>
        <w:t xml:space="preserve"> CEO review draft</w:t>
      </w:r>
    </w:p>
    <w:p>
      <w:pPr>
        <w:pStyle w:val="Heading1"/>
      </w:pPr>
      <w:r>
        <w:t>Mission</w:t>
      </w:r>
    </w:p>
    <w:p>
      <w:r>
        <w:t>Build one organisation-wide and event-scoped protection system that makes exposure, evidence, accountability and continuity visible without creating a second event, vendor, budget, payment, communication or authority ledger.</w:t>
      </w:r>
    </w:p>
    <w:p>
      <w:pPr>
        <w:pStyle w:val="Heading1"/>
      </w:pPr>
      <w:r>
        <w:t>Binding principles</w:t>
      </w:r>
    </w:p>
    <w:p>
      <w:pPr>
        <w:pStyle w:val="ListBullet"/>
      </w:pPr>
      <w:r>
        <w:t>Event OS remains operational truth.</w:t>
      </w:r>
    </w:p>
    <w:p>
      <w:pPr>
        <w:pStyle w:val="ListBullet"/>
      </w:pPr>
      <w:r>
        <w:t>Organisation policy applicability is evaluated, versioned and snapshotted for an event; source policies are not copied into event truth.</w:t>
      </w:r>
    </w:p>
    <w:p>
      <w:pPr>
        <w:pStyle w:val="ListBullet"/>
      </w:pPr>
      <w:r>
        <w:t>An event protection is never visible outside its organisation and event.</w:t>
      </w:r>
    </w:p>
    <w:p>
      <w:pPr>
        <w:pStyle w:val="ListBullet"/>
      </w:pPr>
      <w:r>
        <w:t>Coverage, compliance, readiness, payment status and operational continuity are distinct products.</w:t>
      </w:r>
    </w:p>
    <w:p>
      <w:pPr>
        <w:pStyle w:val="ListBullet"/>
      </w:pPr>
      <w:r>
        <w:t>A certificate is evidence, not proof that every claimed circumstance is covered.</w:t>
      </w:r>
    </w:p>
    <w:p>
      <w:pPr>
        <w:pStyle w:val="ListBullet"/>
      </w:pPr>
      <w:r>
        <w:t>A policy marked active is not automatically applicable to a loss.</w:t>
      </w:r>
    </w:p>
    <w:p>
      <w:pPr>
        <w:pStyle w:val="ListBullet"/>
      </w:pPr>
      <w:r>
        <w:t>Contract wording is a governed draft until legal approval; the system never describes an unenforceable penalty as enforceable.</w:t>
      </w:r>
    </w:p>
    <w:p>
      <w:pPr>
        <w:pStyle w:val="ListBullet"/>
      </w:pPr>
      <w:r>
        <w:t>A fallback recommendation is not vendor engagement, booking, payment or reserve deployment.</w:t>
      </w:r>
    </w:p>
    <w:p>
      <w:pPr>
        <w:pStyle w:val="ListBullet"/>
      </w:pPr>
      <w:r>
        <w:t>An emergency reserve is a Budget Intelligence allocation, not cash, authority or a payment instrument.</w:t>
      </w:r>
    </w:p>
    <w:p>
      <w:pPr>
        <w:pStyle w:val="ListBullet"/>
      </w:pPr>
      <w:r>
        <w:t>AI may extract, compare, flag and recommend. It may not approve policies, clauses, vendors, fallbacks, claims, money movements or governing facts.</w:t>
      </w:r>
    </w:p>
    <w:p>
      <w:pPr>
        <w:pStyle w:val="Heading1"/>
      </w:pPr>
      <w:r>
        <w:t>Accepted-contract integration</w:t>
      </w:r>
    </w:p>
    <w:tbl>
      <w:tblPr>
        <w:tblStyle w:val="TableGrid"/>
        <w:tblW w:type="auto" w:w="0"/>
        <w:jc w:val="center"/>
        <w:tblLook w:firstColumn="1" w:firstRow="1" w:lastColumn="0" w:lastRow="0" w:noHBand="0" w:noVBand="1" w:val="04A0"/>
      </w:tblPr>
      <w:tblGrid>
        <w:gridCol w:w="4939"/>
        <w:gridCol w:w="4939"/>
      </w:tblGrid>
      <w:tr>
        <w:tc>
          <w:tcPr>
            <w:tcW w:type="dxa" w:w="4939"/>
            <w:shd w:fill="11100F"/>
          </w:tcPr>
          <w:p>
            <w:r>
              <w:rPr>
                <w:b/>
                <w:color w:val="F5F0E8"/>
              </w:rPr>
              <w:t>Accepted truth</w:t>
            </w:r>
          </w:p>
        </w:tc>
        <w:tc>
          <w:tcPr>
            <w:tcW w:type="dxa" w:w="4939"/>
            <w:shd w:fill="11100F"/>
          </w:tcPr>
          <w:p>
            <w:r>
              <w:rPr>
                <w:b/>
                <w:color w:val="F5F0E8"/>
              </w:rPr>
              <w:t>EOS-S05B obligation</w:t>
            </w:r>
          </w:p>
        </w:tc>
      </w:tr>
      <w:tr>
        <w:tc>
          <w:tcPr>
            <w:tcW w:type="dxa" w:w="4939"/>
            <w:vAlign w:val="top"/>
          </w:tcPr>
          <w:p>
            <w:r>
              <w:t>guestId is a person</w:t>
            </w:r>
          </w:p>
        </w:tc>
        <w:tc>
          <w:tcPr>
            <w:tcW w:type="dxa" w:w="4939"/>
            <w:vAlign w:val="top"/>
          </w:tcPr>
          <w:p>
            <w:r>
              <w:t>No risk entity may substitute vendor, household or invitation identity for a person.</w:t>
            </w:r>
          </w:p>
        </w:tc>
      </w:tr>
      <w:tr>
        <w:tc>
          <w:tcPr>
            <w:tcW w:type="dxa" w:w="4939"/>
            <w:vAlign w:val="top"/>
          </w:tcPr>
          <w:p>
            <w:r>
              <w:t>Event scope enforced</w:t>
            </w:r>
          </w:p>
        </w:tc>
        <w:tc>
          <w:tcPr>
            <w:tcW w:type="dxa" w:w="4939"/>
            <w:vAlign w:val="top"/>
          </w:tcPr>
          <w:p>
            <w:r>
              <w:t>Every event record carries organisation and event scope; organisation records use explicit applicability.</w:t>
            </w:r>
          </w:p>
        </w:tc>
      </w:tr>
      <w:tr>
        <w:tc>
          <w:tcPr>
            <w:tcW w:type="dxa" w:w="4939"/>
            <w:vAlign w:val="top"/>
          </w:tcPr>
          <w:p>
            <w:r>
              <w:t>S03 quantity authority</w:t>
            </w:r>
          </w:p>
        </w:tc>
        <w:tc>
          <w:tcPr>
            <w:tcW w:type="dxa" w:w="4939"/>
            <w:vAlign w:val="top"/>
          </w:tcPr>
          <w:p>
            <w:r>
              <w:t>Risk calculations consume governed quantities and never replace RSVP or entitlement truth.</w:t>
            </w:r>
          </w:p>
        </w:tc>
      </w:tr>
      <w:tr>
        <w:tc>
          <w:tcPr>
            <w:tcW w:type="dxa" w:w="4939"/>
            <w:vAlign w:val="top"/>
          </w:tcPr>
          <w:p>
            <w:r>
              <w:t>Programme phases canonical</w:t>
            </w:r>
          </w:p>
        </w:tc>
        <w:tc>
          <w:tcPr>
            <w:tcW w:type="dxa" w:w="4939"/>
            <w:vAlign w:val="top"/>
          </w:tcPr>
          <w:p>
            <w:r>
              <w:t>Exposure is phase-aware and never naively sums phase populations.</w:t>
            </w:r>
          </w:p>
        </w:tc>
      </w:tr>
      <w:tr>
        <w:tc>
          <w:tcPr>
            <w:tcW w:type="dxa" w:w="4939"/>
            <w:vAlign w:val="top"/>
          </w:tcPr>
          <w:p>
            <w:r>
              <w:t>S05 spatial truth</w:t>
            </w:r>
          </w:p>
        </w:tc>
        <w:tc>
          <w:tcPr>
            <w:tcW w:type="dxa" w:w="4939"/>
            <w:vAlign w:val="top"/>
          </w:tcPr>
          <w:p>
            <w:r>
              <w:t>Venue zones, restricted areas, assets and layouts are referenced permission-safely; no parallel geometry.</w:t>
            </w:r>
          </w:p>
        </w:tc>
      </w:tr>
      <w:tr>
        <w:tc>
          <w:tcPr>
            <w:tcW w:type="dxa" w:w="4939"/>
            <w:vAlign w:val="top"/>
          </w:tcPr>
          <w:p>
            <w:r>
              <w:t>S05A Budget Intelligence</w:t>
            </w:r>
          </w:p>
        </w:tc>
        <w:tc>
          <w:tcPr>
            <w:tcW w:type="dxa" w:w="4939"/>
            <w:vAlign w:val="top"/>
          </w:tcPr>
          <w:p>
            <w:r>
              <w:t>Risk allowances and reserves are immutable scenario drivers with trace; no parallel budget ledger.</w:t>
            </w:r>
          </w:p>
        </w:tc>
      </w:tr>
      <w:tr>
        <w:tc>
          <w:tcPr>
            <w:tcW w:type="dxa" w:w="4939"/>
            <w:vAlign w:val="top"/>
          </w:tcPr>
          <w:p>
            <w:r>
              <w:t>Communications governed</w:t>
            </w:r>
          </w:p>
        </w:tc>
        <w:tc>
          <w:tcPr>
            <w:tcW w:type="dxa" w:w="4939"/>
            <w:vAlign w:val="top"/>
          </w:tcPr>
          <w:p>
            <w:r>
              <w:t>Reminder drafts enter the communications outbox; no silent Brevo/Twilio dispatch.</w:t>
            </w:r>
          </w:p>
        </w:tc>
      </w:tr>
      <w:tr>
        <w:tc>
          <w:tcPr>
            <w:tcW w:type="dxa" w:w="4939"/>
            <w:vAlign w:val="top"/>
          </w:tcPr>
          <w:p>
            <w:r>
              <w:t>Maker/checker</w:t>
            </w:r>
          </w:p>
        </w:tc>
        <w:tc>
          <w:tcPr>
            <w:tcW w:type="dxa" w:w="4939"/>
            <w:vAlign w:val="top"/>
          </w:tcPr>
          <w:p>
            <w:r>
              <w:t>Consequential decisions require distinct authorised people, server enforced.</w:t>
            </w:r>
          </w:p>
        </w:tc>
      </w:tr>
      <w:tr>
        <w:tc>
          <w:tcPr>
            <w:tcW w:type="dxa" w:w="4939"/>
            <w:vAlign w:val="top"/>
          </w:tcPr>
          <w:p>
            <w:r>
              <w:t>Concurrency/idempotency</w:t>
            </w:r>
          </w:p>
        </w:tc>
        <w:tc>
          <w:tcPr>
            <w:tcW w:type="dxa" w:w="4939"/>
            <w:vAlign w:val="top"/>
          </w:tcPr>
          <w:p>
            <w:r>
              <w:t>Durable commands require expected versions and stable idempotency keys.</w:t>
            </w:r>
          </w:p>
        </w:tc>
      </w:tr>
      <w:tr>
        <w:tc>
          <w:tcPr>
            <w:tcW w:type="dxa" w:w="4939"/>
            <w:vAlign w:val="top"/>
          </w:tcPr>
          <w:p>
            <w:r>
              <w:t>Append-only audit</w:t>
            </w:r>
          </w:p>
        </w:tc>
        <w:tc>
          <w:tcPr>
            <w:tcW w:type="dxa" w:w="4939"/>
            <w:vAlign w:val="top"/>
          </w:tcPr>
          <w:p>
            <w:r>
              <w:t>Every decision, denial and external effect is correlated and immutable.</w:t>
            </w:r>
          </w:p>
        </w:tc>
      </w:tr>
      <w:tr>
        <w:tc>
          <w:tcPr>
            <w:tcW w:type="dxa" w:w="4939"/>
            <w:vAlign w:val="top"/>
          </w:tcPr>
          <w:p>
            <w:r>
              <w:t>Editions immutable</w:t>
            </w:r>
          </w:p>
        </w:tc>
        <w:tc>
          <w:tcPr>
            <w:tcW w:type="dxa" w:w="4939"/>
            <w:vAlign w:val="top"/>
          </w:tcPr>
          <w:p>
            <w:r>
              <w:t>Approved policy/clause/dossier editions supersede through lineage.</w:t>
            </w:r>
          </w:p>
        </w:tc>
      </w:tr>
      <w:tr>
        <w:tc>
          <w:tcPr>
            <w:tcW w:type="dxa" w:w="4939"/>
            <w:vAlign w:val="top"/>
          </w:tcPr>
          <w:p>
            <w:r>
              <w:t>No trait inference</w:t>
            </w:r>
          </w:p>
        </w:tc>
        <w:tc>
          <w:tcPr>
            <w:tcW w:type="dxa" w:w="4939"/>
            <w:vAlign w:val="top"/>
          </w:tcPr>
          <w:p>
            <w:r>
              <w:t>Risk scoring cannot infer protected or culturally sensitive traits.</w:t>
            </w:r>
          </w:p>
        </w:tc>
      </w:tr>
    </w:tbl>
    <w:p>
      <w:pPr>
        <w:pStyle w:val="Heading1"/>
      </w:pPr>
      <w:r>
        <w:t>Pushback on supplied assumptions</w:t>
      </w:r>
    </w:p>
    <w:p>
      <w:r>
        <w:t>The following are catalogue examples, not defaults:</w:t>
      </w:r>
    </w:p>
    <w:p>
      <w:pPr>
        <w:pStyle w:val="ListBullet"/>
      </w:pPr>
      <w:r>
        <w:t xml:space="preserve">“5% emergency reserve”; </w:t>
      </w:r>
    </w:p>
    <w:p>
      <w:pPr>
        <w:pStyle w:val="ListBullet"/>
      </w:pPr>
      <w:r>
        <w:t xml:space="preserve">“20–40% retainer”; </w:t>
      </w:r>
    </w:p>
    <w:p>
      <w:pPr>
        <w:pStyle w:val="ListBullet"/>
      </w:pPr>
      <w:r>
        <w:t xml:space="preserve">“150–200% liquidated damages”; </w:t>
      </w:r>
    </w:p>
    <w:p>
      <w:pPr>
        <w:pStyle w:val="ListBullet"/>
      </w:pPr>
      <w:r>
        <w:t>specimen premiums or coverage limits;</w:t>
      </w:r>
    </w:p>
    <w:p>
      <w:pPr>
        <w:pStyle w:val="ListBullet"/>
      </w:pPr>
      <w:r>
        <w:t>named-venue insurance requirements;</w:t>
      </w:r>
    </w:p>
    <w:p>
      <w:pPr>
        <w:pStyle w:val="ListBullet"/>
      </w:pPr>
      <w:r>
        <w:t>fixed 72/24/6 hour check-ins.</w:t>
      </w:r>
    </w:p>
    <w:p>
      <w:r>
        <w:t>Each becomes a versioned policy rule with jurisdiction, event type, criticality, evidence, effective dates, review status and authorised approver. The UI may recommend a range only when its provenance and status are visible.</w:t>
      </w:r>
    </w:p>
    <w:p>
      <w:pPr>
        <w:pStyle w:val="Heading1"/>
      </w:pPr>
      <w:r>
        <w:t>Non-goals</w:t>
      </w:r>
    </w:p>
    <w:p>
      <w:r>
        <w:t>No insurer portal, binding quote, underwriting, legal advice, claim settlement, contract signature, payment, vendor booking, live reminder dispatch, emergency-service dispatch or public client access is authorised in this slice.</w:t>
      </w:r>
    </w:p>
    <w:p>
      <w:r>
        <w:br w:type="page"/>
      </w:r>
    </w:p>
    <w:p>
      <w:pPr>
        <w:pStyle w:val="Title"/>
      </w:pPr>
      <w:r>
        <w:t>EOS-S05B Regulatory Insurance and Legal Evidence Model</w:t>
      </w:r>
    </w:p>
    <w:p>
      <w:r>
        <w:rPr>
          <w:b/>
        </w:rPr>
        <w:t>Status:</w:t>
      </w:r>
      <w:r>
        <w:t xml:space="preserve"> CEO review draft</w:t>
      </w:r>
    </w:p>
    <w:p>
      <w:pPr>
        <w:pStyle w:val="Heading1"/>
      </w:pPr>
      <w:r>
        <w:t>Evidence doctrine</w:t>
      </w:r>
    </w:p>
    <w:p>
      <w:r>
        <w:t>Legal and insurance propositions are time-bound evidence. Store the proposition separately from the source and separately from the Maison Doclar decision that relies on it.</w:t>
      </w:r>
    </w:p>
    <w:p>
      <w:pPr>
        <w:ind w:left="288"/>
      </w:pPr>
      <w:r>
        <w:rPr>
          <w:rFonts w:ascii="Aptos Mono" w:hAnsi="Aptos Mono"/>
          <w:color w:val="11100F"/>
          <w:sz w:val="16"/>
        </w:rPr>
        <w:t>type AuthorityStatus = "DISCOVERY" | "COUNSEL_REVIEWED" | "APPROVED" | "SUPERSEDED" | "WITHDRAWN";</w:t>
        <w:br/>
        <w:t>type SourceAuthority = "LEGISLATION" | "REGULATOR" | "VENUE" | "INSURER" | "BROKER" | "COUNSEL" | "CLIENT" | "INTERNAL_POLICY";</w:t>
        <w:br/>
        <w:br/>
        <w:t>interface RiskRuleEdition {</w:t>
        <w:br/>
        <w:t xml:space="preserve">  id: UUID;</w:t>
        <w:br/>
        <w:t xml:space="preserve">  organisationId: UUID;</w:t>
        <w:br/>
        <w:t xml:space="preserve">  ruleKey: string;</w:t>
        <w:br/>
        <w:t xml:space="preserve">  jurisdiction: "NG" | "NG-LA" | string;</w:t>
        <w:br/>
        <w:t xml:space="preserve">  proposition: string;</w:t>
        <w:br/>
        <w:t xml:space="preserve">  sourceEditionIds: UUID[];</w:t>
        <w:br/>
        <w:t xml:space="preserve">  effectiveFrom?: ISODate;</w:t>
        <w:br/>
        <w:t xml:space="preserve">  effectiveTo?: ISODate;</w:t>
        <w:br/>
        <w:t xml:space="preserve">  lastVerifiedAt: ISODateTime;</w:t>
        <w:br/>
        <w:t xml:space="preserve">  nextReviewAt: ISODateTime;</w:t>
        <w:br/>
        <w:t xml:space="preserve">  status: AuthorityStatus;</w:t>
        <w:br/>
        <w:t xml:space="preserve">  approvedByPersonId?: UUID;</w:t>
        <w:br/>
        <w:t xml:space="preserve">  approvedAt?: ISODateTime;</w:t>
        <w:br/>
        <w:t xml:space="preserve">  contentHash: Sha256;</w:t>
        <w:br/>
        <w:t xml:space="preserve">  supersedesEditionId?: UUID;</w:t>
        <w:br/>
        <w:t>}</w:t>
      </w:r>
    </w:p>
    <w:p>
      <w:pPr>
        <w:pStyle w:val="Heading1"/>
      </w:pPr>
      <w:r>
        <w:t>Seeded source register</w:t>
      </w:r>
    </w:p>
    <w:p>
      <w:r>
        <w:t>The initial catalogue may reference, but must not silently paraphrase as timeless law:</w:t>
      </w:r>
    </w:p>
    <w:p>
      <w:pPr>
        <w:pStyle w:val="ListBullet"/>
      </w:pPr>
      <w:r>
        <w:t>Employees’ Compensation Act 2010 and NSITF official guidance for workplace injury compensation.</w:t>
      </w:r>
    </w:p>
    <w:p>
      <w:pPr>
        <w:pStyle w:val="ListBullet"/>
      </w:pPr>
      <w:r>
        <w:t>Pension Reform Act 2014 and current PenCom guidance for group-life duties and applicability.</w:t>
      </w:r>
    </w:p>
    <w:p>
      <w:pPr>
        <w:pStyle w:val="ListBullet"/>
      </w:pPr>
      <w:r>
        <w:t>Nigerian Insurance Industry Reform Act 2025 and current NAICOM guidance for the contemporary insurance framework.</w:t>
      </w:r>
    </w:p>
    <w:p>
      <w:pPr>
        <w:pStyle w:val="ListBullet"/>
      </w:pPr>
      <w:r>
        <w:t>Nigeria Data Protection Act 2023 and NDPC guidance for personal data, incident and vendor-contact handling.</w:t>
      </w:r>
    </w:p>
    <w:p>
      <w:pPr>
        <w:pStyle w:val="ListBullet"/>
      </w:pPr>
      <w:r>
        <w:t>Venue-issued requirements supplied as signed or otherwise attributable venue evidence.</w:t>
      </w:r>
    </w:p>
    <w:p>
      <w:r>
        <w:t>Initial official-source anchors for the governed source register are the [NSITF publications](https://nsitf.gov.ng/publications/), [NSITF compensation guidance](https://nsitf.gov.ng/compensation/), [PenCom Pension Reform Act 2014 publication](https://www.pencom.gov.ng/wp-content/uploads/2018/01/PRA_2014.pdf), [NAICOM](https://naicom.gov.ng/) and [Nigeria Data Protection Commission](https://ndpc.gov.ng/). Cursor must not scrape these at runtime or represent availability of a URL as legal verification. A designated reviewer must capture the authoritative edition, relevant locator and current applicability before approval.</w:t>
      </w:r>
    </w:p>
    <w:p>
      <w:r>
        <w:t>Every source entry records URI/document key, publisher, title, publication/effective date when known, retrieval date, file hash, page/section locator, quotation excerpt within copyright limits, and a human summary. An inaccessible or stale source cannot silently become an approved rule.</w:t>
      </w:r>
    </w:p>
    <w:p>
      <w:pPr>
        <w:pStyle w:val="Heading1"/>
      </w:pPr>
      <w:r>
        <w:t>Legal review gates</w:t>
      </w:r>
    </w:p>
    <w:p>
      <w:pPr>
        <w:pStyle w:val="ListBullet"/>
      </w:pPr>
      <w:r>
        <w:rPr>
          <w:rFonts w:ascii="Aptos Mono" w:hAnsi="Aptos Mono"/>
          <w:color w:val="554630"/>
          <w:sz w:val="18"/>
        </w:rPr>
        <w:t>DISCOVERY</w:t>
      </w:r>
      <w:r>
        <w:t xml:space="preserve"> rules can generate questions and gap warnings but cannot be called mandatory.</w:t>
      </w:r>
    </w:p>
    <w:p>
      <w:pPr>
        <w:pStyle w:val="ListBullet"/>
      </w:pPr>
      <w:r>
        <w:rPr>
          <w:rFonts w:ascii="Aptos Mono" w:hAnsi="Aptos Mono"/>
          <w:color w:val="554630"/>
          <w:sz w:val="18"/>
        </w:rPr>
        <w:t>COUNSEL_REVIEWED</w:t>
      </w:r>
      <w:r>
        <w:t xml:space="preserve"> rules show counsel identity, review date, jurisdiction and limitations.</w:t>
      </w:r>
    </w:p>
    <w:p>
      <w:pPr>
        <w:pStyle w:val="ListBullet"/>
      </w:pPr>
      <w:r>
        <w:rPr>
          <w:rFonts w:ascii="Aptos Mono" w:hAnsi="Aptos Mono"/>
          <w:color w:val="554630"/>
          <w:sz w:val="18"/>
        </w:rPr>
        <w:t>APPROVED</w:t>
      </w:r>
      <w:r>
        <w:t xml:space="preserve"> rules can participate in compliance readiness.</w:t>
      </w:r>
    </w:p>
    <w:p>
      <w:pPr>
        <w:pStyle w:val="ListBullet"/>
      </w:pPr>
      <w:r>
        <w:t>Expired, superseded or withdrawn rules fail closed and identify the replacement or required review.</w:t>
      </w:r>
    </w:p>
    <w:p>
      <w:pPr>
        <w:pStyle w:val="ListBullet"/>
      </w:pPr>
      <w:r>
        <w:t>Material clause templates require maker/checker legal approval.</w:t>
      </w:r>
    </w:p>
    <w:p>
      <w:pPr>
        <w:pStyle w:val="ListBullet"/>
      </w:pPr>
      <w:r>
        <w:t>The system displays “legal review required” rather than “legally enforceable” unless an approved review supports that assertion.</w:t>
      </w:r>
    </w:p>
    <w:p>
      <w:pPr>
        <w:pStyle w:val="Heading1"/>
      </w:pPr>
      <w:r>
        <w:t>Applicability</w:t>
      </w:r>
    </w:p>
    <w:p>
      <w:r>
        <w:t xml:space="preserve">Applicability is a deterministic, traceable decision tree over explicit facts: organisation, jurisdiction, workforce relationship, venue, event dates, asset ownership/rental, vendor category, contract role and selected risk profile. Unknown inputs produce </w:t>
      </w:r>
      <w:r>
        <w:rPr>
          <w:rFonts w:ascii="Aptos Mono" w:hAnsi="Aptos Mono"/>
          <w:color w:val="554630"/>
          <w:sz w:val="18"/>
        </w:rPr>
        <w:t>INDETERMINATE</w:t>
      </w:r>
      <w:r>
        <w:t>, never an inferred answer.</w:t>
      </w:r>
    </w:p>
    <w:p>
      <w:pPr>
        <w:pStyle w:val="Heading1"/>
      </w:pPr>
      <w:r>
        <w:t>Source refresh</w:t>
      </w:r>
    </w:p>
    <w:p>
      <w:r>
        <w:t>Source monitoring may create a proposed superseding edition. It cannot rewrite an approved edition or automatically change an event snapshot. A human reviews the change impact and explicitly adopts or rejects it.</w:t>
      </w:r>
    </w:p>
    <w:p>
      <w:pPr>
        <w:pStyle w:val="Heading1"/>
      </w:pPr>
      <w:r>
        <w:t>Required warnings</w:t>
      </w:r>
    </w:p>
    <w:p>
      <w:r>
        <w:t>The product is a decision-support and evidence system, not an insurer, broker or law firm. Client dossiers must distinguish Maison Doclar operational assurance from insurer coverage confirmation and legal advice.</w:t>
      </w:r>
    </w:p>
    <w:p>
      <w:r>
        <w:br w:type="page"/>
      </w:r>
    </w:p>
    <w:p>
      <w:pPr>
        <w:pStyle w:val="Title"/>
      </w:pPr>
      <w:r>
        <w:t>EOS-S05B Product Domain Data and State Specification</w:t>
      </w:r>
    </w:p>
    <w:p>
      <w:r>
        <w:rPr>
          <w:b/>
        </w:rPr>
        <w:t>Status:</w:t>
      </w:r>
      <w:r>
        <w:t xml:space="preserve"> CEO review draft</w:t>
      </w:r>
    </w:p>
    <w:p>
      <w:pPr>
        <w:pStyle w:val="Heading1"/>
      </w:pPr>
      <w:r>
        <w:t>Aggregate boundaries</w:t>
      </w:r>
    </w:p>
    <w:p>
      <w:pPr>
        <w:pStyle w:val="ListNumber"/>
      </w:pPr>
      <w:r>
        <w:t>Protection Catalogue — organisation policies, rule editions and clause templates.</w:t>
      </w:r>
    </w:p>
    <w:p>
      <w:pPr>
        <w:pStyle w:val="ListNumber"/>
      </w:pPr>
      <w:r>
        <w:t>Event Protection File — event applicability snapshots, gaps and readiness.</w:t>
      </w:r>
    </w:p>
    <w:p>
      <w:pPr>
        <w:pStyle w:val="ListNumber"/>
      </w:pPr>
      <w:r>
        <w:t>Vendor Risk File — vendor evidence, assessments and event assignments.</w:t>
      </w:r>
    </w:p>
    <w:p>
      <w:pPr>
        <w:pStyle w:val="ListNumber"/>
      </w:pPr>
      <w:r>
        <w:t>Continuity Plan — critical functions, fallback candidates, checkpoints and activations.</w:t>
      </w:r>
    </w:p>
    <w:p>
      <w:pPr>
        <w:pStyle w:val="ListNumber"/>
      </w:pPr>
      <w:r>
        <w:t>Incident File — immutable facts, impacts, decisions, actions and recovery.</w:t>
      </w:r>
    </w:p>
    <w:p>
      <w:pPr>
        <w:pStyle w:val="ListNumber"/>
      </w:pPr>
      <w:r>
        <w:t>Risk Budget View — projection into accepted Budget Intelligence scenarios.</w:t>
      </w:r>
    </w:p>
    <w:p>
      <w:pPr>
        <w:pStyle w:val="ListNumber"/>
      </w:pPr>
      <w:r>
        <w:t>Assurance Dossier — permission-safe, immutable client/venue export edition.</w:t>
      </w:r>
    </w:p>
    <w:p>
      <w:pPr>
        <w:pStyle w:val="Heading1"/>
      </w:pPr>
      <w:r>
        <w:t>Core entities</w:t>
      </w:r>
    </w:p>
    <w:p>
      <w:pPr>
        <w:ind w:left="288"/>
      </w:pPr>
      <w:r>
        <w:rPr>
          <w:rFonts w:ascii="Aptos Mono" w:hAnsi="Aptos Mono"/>
          <w:color w:val="11100F"/>
          <w:sz w:val="16"/>
        </w:rPr>
        <w:t>type RecordScope = { kind: "ORGANISATION"; organisationId: UUID }</w:t>
        <w:br/>
        <w:t xml:space="preserve"> | { kind: "EVENT"; organisationId: UUID; eventId: UUID };</w:t>
        <w:br/>
        <w:br/>
        <w:t>interface InsurancePolicy {</w:t>
        <w:br/>
        <w:t xml:space="preserve">  id: UUID; scope: RecordScope; policyType: PolicyType; insurerPartyId: UUID;</w:t>
        <w:br/>
        <w:t xml:space="preserve">  policyNumberCiphertext: EncryptedString; currency: Currency;</w:t>
        <w:br/>
        <w:t xml:space="preserve">  period: DateRange; limits: CoverageLimit[]; deductibles: Deductible[];</w:t>
        <w:br/>
        <w:t xml:space="preserve">  exclusions: EvidenceRef[]; insuredParties: PartyRef[]; assetInventoryRefs: UUID[];</w:t>
        <w:br/>
        <w:t xml:space="preserve">  documentEditionId: UUID; verification: VerificationState; version: number;</w:t>
        <w:br/>
        <w:t>}</w:t>
        <w:br/>
        <w:br/>
        <w:t>interface ContractualClause {</w:t>
        <w:br/>
        <w:t xml:space="preserve">  id: UUID; scope: RecordScope; clauseType: ClauseType; templateEditionId?: UUID;</w:t>
        <w:br/>
        <w:t xml:space="preserve">  contractId: UUID; vendorId?: UUID; commercialTerms: StructuredTerm[];</w:t>
        <w:br/>
        <w:t xml:space="preserve">  legalReview: LegalReviewState; execution: ExecutionState; version: number;</w:t>
        <w:br/>
        <w:t>}</w:t>
        <w:br/>
        <w:br/>
        <w:t>interface VendorRiskProfile {</w:t>
        <w:br/>
        <w:t xml:space="preserve">  id: UUID; organisationId: UUID; vendorId: UUID; evidenceIds: UUID[];</w:t>
        <w:br/>
        <w:t xml:space="preserve">  indicators: RiskIndicator[]; assessmentEditionId: UUID; manualDecision?: DecisionRef;</w:t>
        <w:br/>
        <w:t>}</w:t>
        <w:br/>
        <w:br/>
        <w:t>interface EventRiskBudget {</w:t>
        <w:br/>
        <w:t xml:space="preserve">  id: UUID; organisationId: UUID; eventId: UUID; budgetScenarioEditionId: UUID;</w:t>
        <w:br/>
        <w:t xml:space="preserve">  exposureLines: ExposureLine[]; reserveDriver?: BudgetDriverRef; version: number;</w:t>
        <w:br/>
        <w:t>}</w:t>
      </w:r>
    </w:p>
    <w:p>
      <w:pPr>
        <w:pStyle w:val="Heading1"/>
      </w:pPr>
      <w:r>
        <w:t>State machines</w:t>
      </w:r>
    </w:p>
    <w:tbl>
      <w:tblPr>
        <w:tblStyle w:val="TableGrid"/>
        <w:tblW w:type="auto" w:w="0"/>
        <w:jc w:val="center"/>
        <w:tblLook w:firstColumn="1" w:firstRow="1" w:lastColumn="0" w:lastRow="0" w:noHBand="0" w:noVBand="1" w:val="04A0"/>
      </w:tblPr>
      <w:tblGrid>
        <w:gridCol w:w="4939"/>
        <w:gridCol w:w="4939"/>
      </w:tblGrid>
      <w:tr>
        <w:tc>
          <w:tcPr>
            <w:tcW w:type="dxa" w:w="4939"/>
            <w:shd w:fill="11100F"/>
          </w:tcPr>
          <w:p>
            <w:r>
              <w:rPr>
                <w:b/>
                <w:color w:val="F5F0E8"/>
              </w:rPr>
              <w:t>Aggregate</w:t>
            </w:r>
          </w:p>
        </w:tc>
        <w:tc>
          <w:tcPr>
            <w:tcW w:type="dxa" w:w="4939"/>
            <w:shd w:fill="11100F"/>
          </w:tcPr>
          <w:p>
            <w:r>
              <w:rPr>
                <w:b/>
                <w:color w:val="F5F0E8"/>
              </w:rPr>
              <w:t>States</w:t>
            </w:r>
          </w:p>
        </w:tc>
      </w:tr>
      <w:tr>
        <w:tc>
          <w:tcPr>
            <w:tcW w:type="dxa" w:w="4939"/>
            <w:vAlign w:val="top"/>
          </w:tcPr>
          <w:p>
            <w:r>
              <w:t>Policy evidence</w:t>
            </w:r>
          </w:p>
        </w:tc>
        <w:tc>
          <w:tcPr>
            <w:tcW w:type="dxa" w:w="4939"/>
            <w:vAlign w:val="top"/>
          </w:tcPr>
          <w:p>
            <w:r>
              <w:t>DRAFT → SUBMITTED → VERIFIED or REJECTED → EXPIRED/SUPERSEDED</w:t>
            </w:r>
          </w:p>
        </w:tc>
      </w:tr>
      <w:tr>
        <w:tc>
          <w:tcPr>
            <w:tcW w:type="dxa" w:w="4939"/>
            <w:vAlign w:val="top"/>
          </w:tcPr>
          <w:p>
            <w:r>
              <w:t>Applicability</w:t>
            </w:r>
          </w:p>
        </w:tc>
        <w:tc>
          <w:tcPr>
            <w:tcW w:type="dxa" w:w="4939"/>
            <w:vAlign w:val="top"/>
          </w:tcPr>
          <w:p>
            <w:r>
              <w:t>NOT_EVALUATED → INDETERMINATE/APPLIES/DOES_NOT_APPLY → SUPERSEDED</w:t>
            </w:r>
          </w:p>
        </w:tc>
      </w:tr>
      <w:tr>
        <w:tc>
          <w:tcPr>
            <w:tcW w:type="dxa" w:w="4939"/>
            <w:vAlign w:val="top"/>
          </w:tcPr>
          <w:p>
            <w:r>
              <w:t>Protection gap</w:t>
            </w:r>
          </w:p>
        </w:tc>
        <w:tc>
          <w:tcPr>
            <w:tcW w:type="dxa" w:w="4939"/>
            <w:vAlign w:val="top"/>
          </w:tcPr>
          <w:p>
            <w:r>
              <w:t>OPEN → MITIGATION_PROPOSED → ACCEPTED_RISK/RESOLVED → REOPENED</w:t>
            </w:r>
          </w:p>
        </w:tc>
      </w:tr>
      <w:tr>
        <w:tc>
          <w:tcPr>
            <w:tcW w:type="dxa" w:w="4939"/>
            <w:vAlign w:val="top"/>
          </w:tcPr>
          <w:p>
            <w:r>
              <w:t>Clause</w:t>
            </w:r>
          </w:p>
        </w:tc>
        <w:tc>
          <w:tcPr>
            <w:tcW w:type="dxa" w:w="4939"/>
            <w:vAlign w:val="top"/>
          </w:tcPr>
          <w:p>
            <w:r>
              <w:t>DRAFT → LEGAL_REVIEW → APPROVED → ISSUED → EXECUTED → SUPERSEDED</w:t>
            </w:r>
          </w:p>
        </w:tc>
      </w:tr>
      <w:tr>
        <w:tc>
          <w:tcPr>
            <w:tcW w:type="dxa" w:w="4939"/>
            <w:vAlign w:val="top"/>
          </w:tcPr>
          <w:p>
            <w:r>
              <w:t>Vendor assessment</w:t>
            </w:r>
          </w:p>
        </w:tc>
        <w:tc>
          <w:tcPr>
            <w:tcW w:type="dxa" w:w="4939"/>
            <w:vAlign w:val="top"/>
          </w:tcPr>
          <w:p>
            <w:r>
              <w:t>INCOMPLETE → REVIEW_READY → APPROVED/RESTRICTED/DECLINED → EXPIRED</w:t>
            </w:r>
          </w:p>
        </w:tc>
      </w:tr>
      <w:tr>
        <w:tc>
          <w:tcPr>
            <w:tcW w:type="dxa" w:w="4939"/>
            <w:vAlign w:val="top"/>
          </w:tcPr>
          <w:p>
            <w:r>
              <w:t>Check-in</w:t>
            </w:r>
          </w:p>
        </w:tc>
        <w:tc>
          <w:tcPr>
            <w:tcW w:type="dxa" w:w="4939"/>
            <w:vAlign w:val="top"/>
          </w:tcPr>
          <w:p>
            <w:r>
              <w:t>SCHEDULED → DUE → CONFIRMED/AT_RISK/MISSED → ESCALATED/CLOSED</w:t>
            </w:r>
          </w:p>
        </w:tc>
      </w:tr>
      <w:tr>
        <w:tc>
          <w:tcPr>
            <w:tcW w:type="dxa" w:w="4939"/>
            <w:vAlign w:val="top"/>
          </w:tcPr>
          <w:p>
            <w:r>
              <w:t>Fallback activation</w:t>
            </w:r>
          </w:p>
        </w:tc>
        <w:tc>
          <w:tcPr>
            <w:tcW w:type="dxa" w:w="4939"/>
            <w:vAlign w:val="top"/>
          </w:tcPr>
          <w:p>
            <w:r>
              <w:t>PROPOSED → AUTHORISED → INITIATED → CONFIRMED/FAILED/CANCELLED</w:t>
            </w:r>
          </w:p>
        </w:tc>
      </w:tr>
      <w:tr>
        <w:tc>
          <w:tcPr>
            <w:tcW w:type="dxa" w:w="4939"/>
            <w:vAlign w:val="top"/>
          </w:tcPr>
          <w:p>
            <w:r>
              <w:t>Incident</w:t>
            </w:r>
          </w:p>
        </w:tc>
        <w:tc>
          <w:tcPr>
            <w:tcW w:type="dxa" w:w="4939"/>
            <w:vAlign w:val="top"/>
          </w:tcPr>
          <w:p>
            <w:r>
              <w:t>OPEN → STABILISED → RECOVERY → CLOSED → POST_INCIDENT_REVIEWED</w:t>
            </w:r>
          </w:p>
        </w:tc>
      </w:tr>
      <w:tr>
        <w:tc>
          <w:tcPr>
            <w:tcW w:type="dxa" w:w="4939"/>
            <w:vAlign w:val="top"/>
          </w:tcPr>
          <w:p>
            <w:r>
              <w:t>Dossier</w:t>
            </w:r>
          </w:p>
        </w:tc>
        <w:tc>
          <w:tcPr>
            <w:tcW w:type="dxa" w:w="4939"/>
            <w:vAlign w:val="top"/>
          </w:tcPr>
          <w:p>
            <w:r>
              <w:t>DRAFT → SUBMITTED → APPROVED → PUBLISHED/WITHDRAWN/SUPERSEDED</w:t>
            </w:r>
          </w:p>
        </w:tc>
      </w:tr>
    </w:tbl>
    <w:p>
      <w:pPr>
        <w:pStyle w:val="Heading1"/>
      </w:pPr>
      <w:r>
        <w:t>Durable command envelope</w:t>
      </w:r>
    </w:p>
    <w:p>
      <w:r>
        <w:t xml:space="preserve">Every mutation includes actor assignment, organisation/event scope, expected version, idempotency key, reason where consequential, correlation ID and timestamp. Server authority is reloaded at execution. Replayed commands return </w:t>
      </w:r>
      <w:r>
        <w:rPr>
          <w:rFonts w:ascii="Aptos Mono" w:hAnsi="Aptos Mono"/>
          <w:color w:val="554630"/>
          <w:sz w:val="18"/>
        </w:rPr>
        <w:t>REPLAYED/didDataChange:false</w:t>
      </w:r>
      <w:r>
        <w:t xml:space="preserve">; failures return </w:t>
      </w:r>
      <w:r>
        <w:rPr>
          <w:rFonts w:ascii="Aptos Mono" w:hAnsi="Aptos Mono"/>
          <w:color w:val="554630"/>
          <w:sz w:val="18"/>
        </w:rPr>
        <w:t>NOT_APPLIED/didDataChange:false</w:t>
      </w:r>
      <w:r>
        <w:t>.</w:t>
      </w:r>
    </w:p>
    <w:p>
      <w:pPr>
        <w:pStyle w:val="Heading1"/>
      </w:pPr>
      <w:r>
        <w:t>Invariants</w:t>
      </w:r>
    </w:p>
    <w:p>
      <w:pPr>
        <w:pStyle w:val="ListBullet"/>
      </w:pPr>
      <w:r>
        <w:t>No event policy or vendor record can be fetched by another event unless it is an explicitly organisation-scoped source projected through applicability.</w:t>
      </w:r>
    </w:p>
    <w:p>
      <w:pPr>
        <w:pStyle w:val="ListBullet"/>
      </w:pPr>
      <w:r>
        <w:t>No deleted evidence; corrections supersede.</w:t>
      </w:r>
    </w:p>
    <w:p>
      <w:pPr>
        <w:pStyle w:val="ListBullet"/>
      </w:pPr>
      <w:r>
        <w:t>No silent status derivation from document filename or upload completion.</w:t>
      </w:r>
    </w:p>
    <w:p>
      <w:pPr>
        <w:pStyle w:val="ListBullet"/>
      </w:pPr>
      <w:r>
        <w:t>No gap is resolved by a recommendation alone.</w:t>
      </w:r>
    </w:p>
    <w:p>
      <w:pPr>
        <w:pStyle w:val="ListBullet"/>
      </w:pPr>
      <w:r>
        <w:t>No incident closes while critical actions remain open without an authorised residual-risk decision.</w:t>
      </w:r>
    </w:p>
    <w:p>
      <w:pPr>
        <w:pStyle w:val="ListBullet"/>
      </w:pPr>
      <w:r>
        <w:t>No dossier publication while included data is stale, unapproved or permission-incompatible.</w:t>
      </w:r>
    </w:p>
    <w:p>
      <w:r>
        <w:br w:type="page"/>
      </w:r>
    </w:p>
    <w:p>
      <w:pPr>
        <w:pStyle w:val="Title"/>
      </w:pPr>
      <w:r>
        <w:t>EOS-S05B Insurance Coverage and Gap Engine</w:t>
      </w:r>
    </w:p>
    <w:p>
      <w:r>
        <w:rPr>
          <w:b/>
        </w:rPr>
        <w:t>Status:</w:t>
      </w:r>
      <w:r>
        <w:t xml:space="preserve"> CEO review draft</w:t>
      </w:r>
    </w:p>
    <w:p>
      <w:pPr>
        <w:pStyle w:val="Heading1"/>
      </w:pPr>
      <w:r>
        <w:t>Outcome</w:t>
      </w:r>
    </w:p>
    <w:p>
      <w:r>
        <w:t>The engine produces an explainable event protection matrix. It never claims that a loss will be paid.</w:t>
      </w:r>
    </w:p>
    <w:p>
      <w:pPr>
        <w:pStyle w:val="Heading1"/>
      </w:pPr>
      <w:r>
        <w:t>Policy catalogue</w:t>
      </w:r>
    </w:p>
    <w:p>
      <w:r>
        <w:t>Support extensible types including employee compensation, group life, public liability, professional indemnity, equipment all-risk/inland transit, fire/special perils/burglary, event cancellation/postponement and contingent business interruption/extra expense. Types are catalogue keys, not hard-coded legal conclusions.</w:t>
      </w:r>
    </w:p>
    <w:p>
      <w:pPr>
        <w:pStyle w:val="Heading1"/>
      </w:pPr>
      <w:r>
        <w:t>Applicability snapshot</w:t>
      </w:r>
    </w:p>
    <w:p>
      <w:r>
        <w:t>At a governed event milestone, resolve:</w:t>
      </w:r>
    </w:p>
    <w:p>
      <w:pPr>
        <w:ind w:left="288"/>
      </w:pPr>
      <w:r>
        <w:rPr>
          <w:rFonts w:ascii="Aptos Mono" w:hAnsi="Aptos Mono"/>
          <w:color w:val="11100F"/>
          <w:sz w:val="16"/>
        </w:rPr>
        <w:t>interface CoverageApplicabilitySnapshot {</w:t>
        <w:br/>
        <w:t xml:space="preserve">  eventId: UUID; evaluatedAt: ISODateTime; ruleEditionIds: UUID[];</w:t>
        <w:br/>
        <w:t xml:space="preserve">  factEditionIds: UUID[]; policyEditionIds: UUID[];</w:t>
        <w:br/>
        <w:t xml:space="preserve">  requirements: CoverageRequirementResult[];</w:t>
        <w:br/>
        <w:t xml:space="preserve">  overall: "READY" | "GAPS" | "INDETERMINATE" | "STALE";</w:t>
        <w:br/>
        <w:t xml:space="preserve">  contentHash: Sha256;</w:t>
        <w:br/>
        <w:t>}</w:t>
      </w:r>
    </w:p>
    <w:p>
      <w:r>
        <w:t>Each requirement result contains required/optional/unknown status, source, applicable limit basis, policy match, date overlap, named-insured/party alignment, venue evidence, exclusions requiring review, missing facts and a readable trace.</w:t>
      </w:r>
    </w:p>
    <w:p>
      <w:pPr>
        <w:pStyle w:val="Heading1"/>
      </w:pPr>
      <w:r>
        <w:t>Gap taxonomy</w:t>
      </w:r>
    </w:p>
    <w:p>
      <w:pPr>
        <w:pStyle w:val="ListBullet"/>
      </w:pPr>
      <w:r>
        <w:t>missing policy or certificate;</w:t>
      </w:r>
    </w:p>
    <w:p>
      <w:pPr>
        <w:pStyle w:val="ListBullet"/>
      </w:pPr>
      <w:r>
        <w:t>expired/expiring before event close-out;</w:t>
      </w:r>
    </w:p>
    <w:p>
      <w:pPr>
        <w:pStyle w:val="ListBullet"/>
      </w:pPr>
      <w:r>
        <w:t>insufficient or indeterminate limit;</w:t>
      </w:r>
    </w:p>
    <w:p>
      <w:pPr>
        <w:pStyle w:val="ListBullet"/>
      </w:pPr>
      <w:r>
        <w:t>event/venue/activity not evidenced;</w:t>
      </w:r>
    </w:p>
    <w:p>
      <w:pPr>
        <w:pStyle w:val="ListBullet"/>
      </w:pPr>
      <w:r>
        <w:t>party/name mismatch;</w:t>
      </w:r>
    </w:p>
    <w:p>
      <w:pPr>
        <w:pStyle w:val="ListBullet"/>
      </w:pPr>
      <w:r>
        <w:t>asset or transit scope mismatch;</w:t>
      </w:r>
    </w:p>
    <w:p>
      <w:pPr>
        <w:pStyle w:val="ListBullet"/>
      </w:pPr>
      <w:r>
        <w:t>exclusion/restriction needing broker or counsel review;</w:t>
      </w:r>
    </w:p>
    <w:p>
      <w:pPr>
        <w:pStyle w:val="ListBullet"/>
      </w:pPr>
      <w:r>
        <w:t>unverified document;</w:t>
      </w:r>
    </w:p>
    <w:p>
      <w:pPr>
        <w:pStyle w:val="ListBullet"/>
      </w:pPr>
      <w:r>
        <w:t>rule or source stale;</w:t>
      </w:r>
    </w:p>
    <w:p>
      <w:pPr>
        <w:pStyle w:val="ListBullet"/>
      </w:pPr>
      <w:r>
        <w:t>evidence inaccessible;</w:t>
      </w:r>
    </w:p>
    <w:p>
      <w:pPr>
        <w:pStyle w:val="ListBullet"/>
      </w:pPr>
      <w:r>
        <w:t>duplicate/conflicting certificate.</w:t>
      </w:r>
    </w:p>
    <w:p>
      <w:pPr>
        <w:pStyle w:val="Heading1"/>
      </w:pPr>
      <w:r>
        <w:t>Readiness rules</w:t>
      </w:r>
    </w:p>
    <w:p>
      <w:r>
        <w:rPr>
          <w:rFonts w:ascii="Aptos Mono" w:hAnsi="Aptos Mono"/>
          <w:color w:val="554630"/>
          <w:sz w:val="18"/>
        </w:rPr>
        <w:t>READY</w:t>
      </w:r>
      <w:r>
        <w:t xml:space="preserve"> requires every mandatory approved rule to resolve with current verified evidence or an authorised residual-risk decision. </w:t>
      </w:r>
      <w:r>
        <w:rPr>
          <w:rFonts w:ascii="Aptos Mono" w:hAnsi="Aptos Mono"/>
          <w:color w:val="554630"/>
          <w:sz w:val="18"/>
        </w:rPr>
        <w:t>INDETERMINATE</w:t>
      </w:r>
      <w:r>
        <w:t xml:space="preserve"> is blocking at protected milestones. A waiver/accepted risk needs named authority, reason, compensating controls, expiry and maker/checker.</w:t>
      </w:r>
    </w:p>
    <w:p>
      <w:pPr>
        <w:pStyle w:val="Heading1"/>
      </w:pPr>
      <w:r>
        <w:t>Document ingestion</w:t>
      </w:r>
    </w:p>
    <w:p>
      <w:r>
        <w:t>Uploads use private object storage, MIME/signature inspection, size limits, safe filenames, hash deduplication, malware status vocabulary (</w:t>
      </w:r>
      <w:r>
        <w:rPr>
          <w:rFonts w:ascii="Aptos Mono" w:hAnsi="Aptos Mono"/>
          <w:color w:val="554630"/>
          <w:sz w:val="18"/>
        </w:rPr>
        <w:t>NOT_SCANNED</w:t>
      </w:r>
      <w:r>
        <w:t xml:space="preserve">, </w:t>
      </w:r>
      <w:r>
        <w:rPr>
          <w:rFonts w:ascii="Aptos Mono" w:hAnsi="Aptos Mono"/>
          <w:color w:val="554630"/>
          <w:sz w:val="18"/>
        </w:rPr>
        <w:t>SCAN_PENDING</w:t>
      </w:r>
      <w:r>
        <w:t xml:space="preserve">, </w:t>
      </w:r>
      <w:r>
        <w:rPr>
          <w:rFonts w:ascii="Aptos Mono" w:hAnsi="Aptos Mono"/>
          <w:color w:val="554630"/>
          <w:sz w:val="18"/>
        </w:rPr>
        <w:t>CLEAN</w:t>
      </w:r>
      <w:r>
        <w:t xml:space="preserve">, </w:t>
      </w:r>
      <w:r>
        <w:rPr>
          <w:rFonts w:ascii="Aptos Mono" w:hAnsi="Aptos Mono"/>
          <w:color w:val="554630"/>
          <w:sz w:val="18"/>
        </w:rPr>
        <w:t>QUARANTINED</w:t>
      </w:r>
      <w:r>
        <w:t xml:space="preserve">, </w:t>
      </w:r>
      <w:r>
        <w:rPr>
          <w:rFonts w:ascii="Aptos Mono" w:hAnsi="Aptos Mono"/>
          <w:color w:val="554630"/>
          <w:sz w:val="18"/>
        </w:rPr>
        <w:t>SCAN_FAILED</w:t>
      </w:r>
      <w:r>
        <w:t>) and permission-safe retrieval. In-process content safety is not represented as general antivirus.</w:t>
      </w:r>
    </w:p>
    <w:p>
      <w:r>
        <w:t>OCR/extraction creates proposals with page/region citations and confidence. Human verification is required for policy number, dates, limits, insured parties, endorsements and exclusions. Values never become governing solely because OCR found them.</w:t>
      </w:r>
    </w:p>
    <w:p>
      <w:pPr>
        <w:pStyle w:val="Heading1"/>
      </w:pPr>
      <w:r>
        <w:t>Milestone hooks</w:t>
      </w:r>
    </w:p>
    <w:p>
      <w:r>
        <w:t>Provide configurable evidence gates at planning, contracting, 72h, 24h, 6h and event-live milestones. These names are initial templates; events may adopt different checkpoints through approved policy editions.</w:t>
      </w:r>
    </w:p>
    <w:p>
      <w:r>
        <w:br w:type="page"/>
      </w:r>
    </w:p>
    <w:p>
      <w:pPr>
        <w:pStyle w:val="Title"/>
      </w:pPr>
      <w:r>
        <w:t>EOS-S05B Contractual Protection and Legal Review Specification</w:t>
      </w:r>
    </w:p>
    <w:p>
      <w:r>
        <w:rPr>
          <w:b/>
        </w:rPr>
        <w:t>Status:</w:t>
      </w:r>
      <w:r>
        <w:t xml:space="preserve"> CEO review draft</w:t>
      </w:r>
    </w:p>
    <w:p>
      <w:pPr>
        <w:pStyle w:val="Heading1"/>
      </w:pPr>
      <w:r>
        <w:t>Clause families</w:t>
      </w:r>
    </w:p>
    <w:p>
      <w:r>
        <w:t>Performance security, retention, liquidated damages, indemnity, insurance obligations, cancellation, force majeure, step-in/replacement, subcontractor evidence, data protection, confidentiality, intellectual property, service levels, notification, audit rights and termination.</w:t>
      </w:r>
    </w:p>
    <w:p>
      <w:pPr>
        <w:pStyle w:val="Heading1"/>
      </w:pPr>
      <w:r>
        <w:t>Clause studio</w:t>
      </w:r>
    </w:p>
    <w:p>
      <w:r>
        <w:t>Clause creation starts from an approved template edition or an explicit blank draft. Variables are typed and labelled. Generated wording includes source template, jurisdiction, assumptions and required reviewers. AI suggestions are visibly proposed text, never approved text.</w:t>
      </w:r>
    </w:p>
    <w:p>
      <w:pPr>
        <w:ind w:left="288"/>
      </w:pPr>
      <w:r>
        <w:rPr>
          <w:rFonts w:ascii="Aptos Mono" w:hAnsi="Aptos Mono"/>
          <w:color w:val="11100F"/>
          <w:sz w:val="16"/>
        </w:rPr>
        <w:t>interface ClauseEdition {</w:t>
        <w:br/>
        <w:t xml:space="preserve">  id: UUID; clauseId: UUID; jurisdiction: string; language: string;</w:t>
        <w:br/>
        <w:t xml:space="preserve">  body: string; variables: ClauseVariableValue[]; sourceTemplateEditionId?: UUID;</w:t>
        <w:br/>
        <w:t xml:space="preserve">  legalReviewStatus: "NOT_REVIEWED" | "CHANGES_REQUESTED" | "APPROVED";</w:t>
        <w:br/>
        <w:t xml:space="preserve">  commercialApprovalStatus: "PENDING" | "APPROVED" | "REJECTED";</w:t>
        <w:br/>
        <w:t xml:space="preserve">  contentHash: Sha256; supersedesEditionId?: UUID;</w:t>
        <w:br/>
        <w:t>}</w:t>
      </w:r>
    </w:p>
    <w:p>
      <w:pPr>
        <w:pStyle w:val="Heading1"/>
      </w:pPr>
      <w:r>
        <w:t>Financial safeguards</w:t>
      </w:r>
    </w:p>
    <w:p>
      <w:r>
        <w:t>Percentages and multipliers are inputs with provenance, currency basis, cap/floor, event criticality and authorised rationale. The platform must not label a clause a “penalty” or promise enforceability. It should surface proportionality, causation, cap and double-recovery questions for counsel.</w:t>
      </w:r>
    </w:p>
    <w:p>
      <w:r>
        <w:t>Retention is a contract/payment-plan condition, not money withheld by this slice. Payment workflows may later consume an approved milestone projection; EOS-S05B does not initiate or release funds.</w:t>
      </w:r>
    </w:p>
    <w:p>
      <w:pPr>
        <w:pStyle w:val="Heading1"/>
      </w:pPr>
      <w:r>
        <w:t>Contract readiness</w:t>
      </w:r>
    </w:p>
    <w:p>
      <w:r>
        <w:t>A vendor assignment cannot be marked protection-ready when mandatory clauses are absent, unapproved, unsigned where signature is required, expired, contradicted by amendments, or not linked to the current vendor/event engagement.</w:t>
      </w:r>
    </w:p>
    <w:p>
      <w:pPr>
        <w:pStyle w:val="Heading1"/>
      </w:pPr>
      <w:r>
        <w:t>Change control</w:t>
      </w:r>
    </w:p>
    <w:p>
      <w:r>
        <w:t>Every amendment creates a new edition and recalculates event protection impact. The old edition remains retrievable. Material weakening triggers a maker/checker decision and an event-risk alert.</w:t>
      </w:r>
    </w:p>
    <w:p>
      <w:r>
        <w:br w:type="page"/>
      </w:r>
    </w:p>
    <w:p>
      <w:pPr>
        <w:pStyle w:val="Title"/>
      </w:pPr>
      <w:r>
        <w:t>EOS-S05B Vendor Risk and Evidence Intelligence</w:t>
      </w:r>
    </w:p>
    <w:p>
      <w:r>
        <w:rPr>
          <w:b/>
        </w:rPr>
        <w:t>Status:</w:t>
      </w:r>
      <w:r>
        <w:t xml:space="preserve"> CEO review draft</w:t>
      </w:r>
    </w:p>
    <w:p>
      <w:pPr>
        <w:pStyle w:val="Heading1"/>
      </w:pPr>
      <w:r>
        <w:t>Vendor identity</w:t>
      </w:r>
    </w:p>
    <w:p>
      <w:r>
        <w:t>Reuse the canonical vendor/party record and event assignment. Do not create another vendor master. Risk profiles are organisation-scoped; event assessments are event-scoped projections.</w:t>
      </w:r>
    </w:p>
    <w:p>
      <w:pPr>
        <w:pStyle w:val="Heading1"/>
      </w:pPr>
      <w:r>
        <w:t>Evidence categories</w:t>
      </w:r>
    </w:p>
    <w:p>
      <w:r>
        <w:t>Insurance certificate, incorporation/tax evidence where authorised, licences, venue accreditation, references, capability evidence, asset evidence, subcontractor evidence, contract status, check-in history, incidents, recovery performance and approved internal observations.</w:t>
      </w:r>
    </w:p>
    <w:p>
      <w:pPr>
        <w:pStyle w:val="Heading1"/>
      </w:pPr>
      <w:r>
        <w:t>Explainable indicators</w:t>
      </w:r>
    </w:p>
    <w:p>
      <w:r>
        <w:t>Indicators are facts with evidence, recency and direction, for example:</w:t>
      </w:r>
    </w:p>
    <w:p>
      <w:pPr>
        <w:pStyle w:val="ListBullet"/>
      </w:pPr>
      <w:r>
        <w:t>required evidence missing or expiring;</w:t>
      </w:r>
    </w:p>
    <w:p>
      <w:pPr>
        <w:pStyle w:val="ListBullet"/>
      </w:pPr>
      <w:r>
        <w:t>late/missed checkpoint rate;</w:t>
      </w:r>
    </w:p>
    <w:p>
      <w:pPr>
        <w:pStyle w:val="ListBullet"/>
      </w:pPr>
      <w:r>
        <w:t>confirmed service failures by severity and recency;</w:t>
      </w:r>
    </w:p>
    <w:p>
      <w:pPr>
        <w:pStyle w:val="ListBullet"/>
      </w:pPr>
      <w:r>
        <w:t>fallback activation frequency and recovery time;</w:t>
      </w:r>
    </w:p>
    <w:p>
      <w:pPr>
        <w:pStyle w:val="ListBullet"/>
      </w:pPr>
      <w:r>
        <w:t>material contract exceptions;</w:t>
      </w:r>
    </w:p>
    <w:p>
      <w:pPr>
        <w:pStyle w:val="ListBullet"/>
      </w:pPr>
      <w:r>
        <w:t>concentration/dependency risk;</w:t>
      </w:r>
    </w:p>
    <w:p>
      <w:pPr>
        <w:pStyle w:val="ListBullet"/>
      </w:pPr>
      <w:r>
        <w:t>capacity mismatch against governed event requirements;</w:t>
      </w:r>
    </w:p>
    <w:p>
      <w:pPr>
        <w:pStyle w:val="ListBullet"/>
      </w:pPr>
      <w:r>
        <w:t>unresolved incident actions.</w:t>
      </w:r>
    </w:p>
    <w:p>
      <w:r>
        <w:t>Do not use neighbourhood, ethnicity, religion, gender, disability, nationality or inferred proxies. Do not scrape or import rumours. A score cannot be the sole basis for rejection.</w:t>
      </w:r>
    </w:p>
    <w:p>
      <w:pPr>
        <w:pStyle w:val="Heading1"/>
      </w:pPr>
      <w:r>
        <w:t>Assessment model</w:t>
      </w:r>
    </w:p>
    <w:p>
      <w:pPr>
        <w:ind w:left="288"/>
      </w:pPr>
      <w:r>
        <w:rPr>
          <w:rFonts w:ascii="Aptos Mono" w:hAnsi="Aptos Mono"/>
          <w:color w:val="11100F"/>
          <w:sz w:val="16"/>
        </w:rPr>
        <w:t>interface VendorRiskAssessmentEdition {</w:t>
        <w:br/>
        <w:t xml:space="preserve">  id: UUID; vendorId: UUID; eventId?: UUID; evidenceCutoff: ISODateTime;</w:t>
        <w:br/>
        <w:t xml:space="preserve">  indicators: { key: string; status: "POSITIVE"|"NEUTRAL"|"CONCERN"|"UNKNOWN"; evidenceIds: UUID[]; explanation: string }[];</w:t>
        <w:br/>
        <w:t xml:space="preserve">  band: "LOWER" | "MODERATE" | "HEIGHTENED" | "CRITICAL" | "INDETERMINATE";</w:t>
        <w:br/>
        <w:t xml:space="preserve">  recommendedControls: ProposedControl[];</w:t>
        <w:br/>
        <w:t xml:space="preserve">  humanDecision?: "APPROVED" | "RESTRICTED" | "DECLINED";</w:t>
        <w:br/>
        <w:t xml:space="preserve">  contentHash: Sha256;</w:t>
        <w:br/>
        <w:t>}</w:t>
      </w:r>
    </w:p>
    <w:p>
      <w:r>
        <w:t>The band is deterministic from an approved model edition. The UI shows contributing indicators and unknowns. Manual decisions require reason and cannot rewrite the computed assessment.</w:t>
      </w:r>
    </w:p>
    <w:p>
      <w:pPr>
        <w:pStyle w:val="Heading1"/>
      </w:pPr>
      <w:r>
        <w:t>Tiered roster</w:t>
      </w:r>
    </w:p>
    <w:p>
      <w:r>
        <w:t>Primary, alternate and standby are event assignments, not rankings of intrinsic worth. Standby status records capability, availability window, evidence readiness, commercial status and contact protocol. Being “standby” does not mean booked.</w:t>
      </w:r>
    </w:p>
    <w:p>
      <w:r>
        <w:br w:type="page"/>
      </w:r>
    </w:p>
    <w:p>
      <w:pPr>
        <w:pStyle w:val="Title"/>
      </w:pPr>
      <w:r>
        <w:t>EOS-S05B Event Continuity Fallback and Incident Command</w:t>
      </w:r>
    </w:p>
    <w:p>
      <w:r>
        <w:rPr>
          <w:b/>
        </w:rPr>
        <w:t>Status:</w:t>
      </w:r>
      <w:r>
        <w:t xml:space="preserve"> CEO review draft</w:t>
      </w:r>
    </w:p>
    <w:p>
      <w:pPr>
        <w:pStyle w:val="Heading1"/>
      </w:pPr>
      <w:r>
        <w:t>Continuity plan</w:t>
      </w:r>
    </w:p>
    <w:p>
      <w:r>
        <w:t>Map each critical service—power, catering, AV, security and any event-specific category—to maximum tolerable interruption, lead time, dependencies, primary assignment, standby candidates, decision authority, communication plan and reserve impact.</w:t>
      </w:r>
    </w:p>
    <w:p>
      <w:pPr>
        <w:pStyle w:val="Heading1"/>
      </w:pPr>
      <w:r>
        <w:t>Checkpoints</w:t>
      </w:r>
    </w:p>
    <w:p>
      <w:r>
        <w:t>72h/24h/6h are default templates, not universal law. Each checkpoint has due time, owner, required evidence, status, escalation SLA and idempotent reminder intent. A check-in response is immutable evidence with correction lineage.</w:t>
      </w:r>
    </w:p>
    <w:p>
      <w:pPr>
        <w:pStyle w:val="Heading1"/>
      </w:pPr>
      <w:r>
        <w:t>Fallback activation state</w:t>
      </w:r>
    </w:p>
    <w:p>
      <w:pPr>
        <w:ind w:left="288"/>
      </w:pPr>
      <w:r>
        <w:rPr>
          <w:rFonts w:ascii="Aptos Mono" w:hAnsi="Aptos Mono"/>
          <w:color w:val="11100F"/>
          <w:sz w:val="16"/>
        </w:rPr>
        <w:t>stateDiagram-v2</w:t>
        <w:br/>
        <w:t xml:space="preserve">  [*] --&gt; Proposed</w:t>
        <w:br/>
        <w:t xml:space="preserve">  Proposed --&gt; Authorised</w:t>
        <w:br/>
        <w:t xml:space="preserve">  Proposed --&gt; Cancelled</w:t>
        <w:br/>
        <w:t xml:space="preserve">  Authorised --&gt; Initiated</w:t>
        <w:br/>
        <w:t xml:space="preserve">  Initiated --&gt; Confirmed</w:t>
        <w:br/>
        <w:t xml:space="preserve">  Initiated --&gt; Failed</w:t>
        <w:br/>
        <w:t xml:space="preserve">  Confirmed --&gt; Closed</w:t>
      </w:r>
    </w:p>
    <w:p>
      <w:r>
        <w:t>The “one-click” experience is a decision workspace, not autonomous execution. One authorised action may create a bounded activation plan and approved internal tasks. It may not contact or book the standby, spend reserve, cancel a primary vendor or make a payment without the relevant separate authority.</w:t>
      </w:r>
    </w:p>
    <w:p>
      <w:pPr>
        <w:pStyle w:val="Heading1"/>
      </w:pPr>
      <w:r>
        <w:t>Trigger sources</w:t>
      </w:r>
    </w:p>
    <w:p>
      <w:r>
        <w:t xml:space="preserve">Manual report, missed checkpoint, verified vendor message, incident, venue instruction or monitored system signal. Every trigger records confidence and evidence. AI may recommend escalation; it cannot set </w:t>
      </w:r>
      <w:r>
        <w:rPr>
          <w:rFonts w:ascii="Aptos Mono" w:hAnsi="Aptos Mono"/>
          <w:color w:val="554630"/>
          <w:sz w:val="18"/>
        </w:rPr>
        <w:t>AUTHORISED</w:t>
      </w:r>
      <w:r>
        <w:t>.</w:t>
      </w:r>
    </w:p>
    <w:p>
      <w:pPr>
        <w:pStyle w:val="Heading1"/>
      </w:pPr>
      <w:r>
        <w:t>Incident command</w:t>
      </w:r>
    </w:p>
    <w:p>
      <w:r>
        <w:t>Incident records separate observed facts, reported claims, hypotheses, decisions and actions. Include severity, affected functions, people-safety flag, event phase, spatial references, vendor assignments, financial exposure, notifications, evidence custody and timeline.</w:t>
      </w:r>
    </w:p>
    <w:p>
      <w:r>
        <w:t>Immediate life-safety copy must direct staff to established emergency procedures and human emergency services; the platform must not imply it dispatched help.</w:t>
      </w:r>
    </w:p>
    <w:p>
      <w:pPr>
        <w:pStyle w:val="Heading1"/>
      </w:pPr>
      <w:r>
        <w:t>Learning loop</w:t>
      </w:r>
    </w:p>
    <w:p>
      <w:r>
        <w:t>Post-incident review proposes updates to vendor indicators, continuity templates and risk rules. Nothing retroactively rewrites the incident or automatically changes a vendor approval.</w:t>
      </w:r>
    </w:p>
    <w:p>
      <w:r>
        <w:br w:type="page"/>
      </w:r>
    </w:p>
    <w:p>
      <w:pPr>
        <w:pStyle w:val="Title"/>
      </w:pPr>
      <w:r>
        <w:t>EOS-S05B Risk Budget Reserve and Financial Boundaries</w:t>
      </w:r>
    </w:p>
    <w:p>
      <w:r>
        <w:rPr>
          <w:b/>
        </w:rPr>
        <w:t>Status:</w:t>
      </w:r>
      <w:r>
        <w:t xml:space="preserve"> CEO review draft</w:t>
      </w:r>
    </w:p>
    <w:p>
      <w:pPr>
        <w:pStyle w:val="Heading1"/>
      </w:pPr>
      <w:r>
        <w:t>Integration doctrine</w:t>
      </w:r>
    </w:p>
    <w:p>
      <w:r>
        <w:t>Risk finance is a projection into the accepted EOS-S05A Budget Intelligence Engine. It must not create a second event budget.</w:t>
      </w:r>
    </w:p>
    <w:p>
      <w:pPr>
        <w:pStyle w:val="Heading1"/>
      </w:pPr>
      <w:r>
        <w:t>Driver model</w:t>
      </w:r>
    </w:p>
    <w:p>
      <w:pPr>
        <w:ind w:left="288"/>
      </w:pPr>
      <w:r>
        <w:rPr>
          <w:rFonts w:ascii="Aptos Mono" w:hAnsi="Aptos Mono"/>
          <w:color w:val="11100F"/>
          <w:sz w:val="16"/>
        </w:rPr>
        <w:t>type RiskBudgetDriver =</w:t>
        <w:br/>
        <w:t xml:space="preserve"> | { kind: "INSURANCE_PREMIUM_ASSUMPTION"; money: Money; evidenceIds: UUID[] }</w:t>
        <w:br/>
        <w:t xml:space="preserve"> | { kind: "DEDUCTIBLE_EXPOSURE"; money: Money; policyEditionId: UUID }</w:t>
        <w:br/>
        <w:t xml:space="preserve"> | { kind: "CONTRACT_RETENTION"; basisPoints: number; contractEditionId: UUID }</w:t>
        <w:br/>
        <w:t xml:space="preserve"> | { kind: "CONTINUITY_RESERVE"; basis: "FIXED"|"BUDGET_PERCENTAGE"|"EXPOSURE_MODEL"; value: number; reason: string }</w:t>
        <w:br/>
        <w:t xml:space="preserve"> | { kind: "FALLBACK_REPLACEMENT_EXPOSURE"; money: Money; vendorAssignmentId: UUID }</w:t>
        <w:br/>
        <w:t xml:space="preserve"> | { kind: "UNQUANTIFIED_EXPOSURE"; reason: string; evidenceIds: UUID[] };</w:t>
      </w:r>
    </w:p>
    <w:p>
      <w:r>
        <w:t>All money uses integer minor units and explicit currency. Percentages use basis points. A suggested 5% reserve is a scenario assumption with provenance, never a default presented as truth.</w:t>
      </w:r>
    </w:p>
    <w:p>
      <w:pPr>
        <w:pStyle w:val="Heading1"/>
      </w:pPr>
      <w:r>
        <w:t>Scenario behaviour</w:t>
      </w:r>
    </w:p>
    <w:p>
      <w:pPr>
        <w:pStyle w:val="ListBullet"/>
      </w:pPr>
      <w:r>
        <w:t>Governing Budget truth remains the current approved/published budget scenario.</w:t>
      </w:r>
    </w:p>
    <w:p>
      <w:pPr>
        <w:pStyle w:val="ListBullet"/>
      </w:pPr>
      <w:r>
        <w:t>Risk modelling creates immutable successor scenarios.</w:t>
      </w:r>
    </w:p>
    <w:p>
      <w:pPr>
        <w:pStyle w:val="ListBullet"/>
      </w:pPr>
      <w:r>
        <w:t>Unknown amounts remain unknown; no invented premium or replacement price.</w:t>
      </w:r>
    </w:p>
    <w:p>
      <w:pPr>
        <w:pStyle w:val="ListBullet"/>
      </w:pPr>
      <w:r>
        <w:t>Quotes expire and stale inputs block “current” labelling.</w:t>
      </w:r>
    </w:p>
    <w:p>
      <w:pPr>
        <w:pStyle w:val="ListBullet"/>
      </w:pPr>
      <w:r>
        <w:t>Every result provides input snapshot, formula/model edition, trace, variance and source evidence.</w:t>
      </w:r>
    </w:p>
    <w:p>
      <w:pPr>
        <w:pStyle w:val="ListBullet"/>
      </w:pPr>
      <w:r>
        <w:t>Contingency, reserve allocation, commitment, invoice, payment and actual spend remain distinct.</w:t>
      </w:r>
    </w:p>
    <w:p>
      <w:pPr>
        <w:pStyle w:val="Heading1"/>
      </w:pPr>
      <w:r>
        <w:t>Reserve deployment</w:t>
      </w:r>
    </w:p>
    <w:p>
      <w:r>
        <w:t>EOS-S05B can request and authorise an internal reserve allocation decision. Actual engagement and financial movement remain downstream protected actions. UI language: “Authorise fallback plan” and “Request reserve allocation”; never “Deploy funds” unless a future payment slice supplies that authority.</w:t>
      </w:r>
    </w:p>
    <w:p>
      <w:pPr>
        <w:pStyle w:val="Heading1"/>
      </w:pPr>
      <w:r>
        <w:t>Client presentation</w:t>
      </w:r>
    </w:p>
    <w:p>
      <w:r>
        <w:t>Client views show approved high-level protection allocations and implications without exposing vendor negotiations, internal risk bands, legal advice, deductibles or staff-only contingency tactics unless explicitly approved for disclosure.</w:t>
      </w:r>
    </w:p>
    <w:p>
      <w:r>
        <w:br w:type="page"/>
      </w:r>
    </w:p>
    <w:p>
      <w:pPr>
        <w:pStyle w:val="Title"/>
      </w:pPr>
      <w:r>
        <w:t>EOS-S05B Permissions Privacy Audit and Document Security</w:t>
      </w:r>
    </w:p>
    <w:p>
      <w:r>
        <w:rPr>
          <w:b/>
        </w:rPr>
        <w:t>Status:</w:t>
      </w:r>
      <w:r>
        <w:t xml:space="preserve"> CEO review draft</w:t>
      </w:r>
    </w:p>
    <w:p>
      <w:pPr>
        <w:pStyle w:val="Heading1"/>
      </w:pPr>
      <w:r>
        <w:t>Capability permissions</w:t>
      </w:r>
    </w:p>
    <w:p>
      <w:r>
        <w:t xml:space="preserve">Minimum permissions: </w:t>
      </w:r>
      <w:r>
        <w:rPr>
          <w:rFonts w:ascii="Aptos Mono" w:hAnsi="Aptos Mono"/>
          <w:color w:val="554630"/>
          <w:sz w:val="18"/>
        </w:rPr>
        <w:t>risk.catalogue.view/manage</w:t>
      </w:r>
      <w:r>
        <w:t xml:space="preserve">, </w:t>
      </w:r>
      <w:r>
        <w:rPr>
          <w:rFonts w:ascii="Aptos Mono" w:hAnsi="Aptos Mono"/>
          <w:color w:val="554630"/>
          <w:sz w:val="18"/>
        </w:rPr>
        <w:t>risk.rule.review/approve</w:t>
      </w:r>
      <w:r>
        <w:t xml:space="preserve">, </w:t>
      </w:r>
      <w:r>
        <w:rPr>
          <w:rFonts w:ascii="Aptos Mono" w:hAnsi="Aptos Mono"/>
          <w:color w:val="554630"/>
          <w:sz w:val="18"/>
        </w:rPr>
        <w:t>risk.policy.view/manage/verify</w:t>
      </w:r>
      <w:r>
        <w:t xml:space="preserve">, </w:t>
      </w:r>
      <w:r>
        <w:rPr>
          <w:rFonts w:ascii="Aptos Mono" w:hAnsi="Aptos Mono"/>
          <w:color w:val="554630"/>
          <w:sz w:val="18"/>
        </w:rPr>
        <w:t>risk.event.view/manage/decide</w:t>
      </w:r>
      <w:r>
        <w:t xml:space="preserve">, </w:t>
      </w:r>
      <w:r>
        <w:rPr>
          <w:rFonts w:ascii="Aptos Mono" w:hAnsi="Aptos Mono"/>
          <w:color w:val="554630"/>
          <w:sz w:val="18"/>
        </w:rPr>
        <w:t>risk.vendor.view/assess/decide</w:t>
      </w:r>
      <w:r>
        <w:t xml:space="preserve">, </w:t>
      </w:r>
      <w:r>
        <w:rPr>
          <w:rFonts w:ascii="Aptos Mono" w:hAnsi="Aptos Mono"/>
          <w:color w:val="554630"/>
          <w:sz w:val="18"/>
        </w:rPr>
        <w:t>risk.clause.view/draft/legalReview/commercialApprove</w:t>
      </w:r>
      <w:r>
        <w:t xml:space="preserve">, </w:t>
      </w:r>
      <w:r>
        <w:rPr>
          <w:rFonts w:ascii="Aptos Mono" w:hAnsi="Aptos Mono"/>
          <w:color w:val="554630"/>
          <w:sz w:val="18"/>
        </w:rPr>
        <w:t>risk.continuity.view/manage/authorise</w:t>
      </w:r>
      <w:r>
        <w:t xml:space="preserve">, </w:t>
      </w:r>
      <w:r>
        <w:rPr>
          <w:rFonts w:ascii="Aptos Mono" w:hAnsi="Aptos Mono"/>
          <w:color w:val="554630"/>
          <w:sz w:val="18"/>
        </w:rPr>
        <w:t>risk.incident.view/report/command/close</w:t>
      </w:r>
      <w:r>
        <w:t xml:space="preserve">, </w:t>
      </w:r>
      <w:r>
        <w:rPr>
          <w:rFonts w:ascii="Aptos Mono" w:hAnsi="Aptos Mono"/>
          <w:color w:val="554630"/>
          <w:sz w:val="18"/>
        </w:rPr>
        <w:t>risk.reserve.request/authorise</w:t>
      </w:r>
      <w:r>
        <w:t xml:space="preserve">, </w:t>
      </w:r>
      <w:r>
        <w:rPr>
          <w:rFonts w:ascii="Aptos Mono" w:hAnsi="Aptos Mono"/>
          <w:color w:val="554630"/>
          <w:sz w:val="18"/>
        </w:rPr>
        <w:t>risk.dossier.view/approve/publish</w:t>
      </w:r>
      <w:r>
        <w:t xml:space="preserve">, </w:t>
      </w:r>
      <w:r>
        <w:rPr>
          <w:rFonts w:ascii="Aptos Mono" w:hAnsi="Aptos Mono"/>
          <w:color w:val="554630"/>
          <w:sz w:val="18"/>
        </w:rPr>
        <w:t>risk.export</w:t>
      </w:r>
      <w:r>
        <w:t xml:space="preserve">, </w:t>
      </w:r>
      <w:r>
        <w:rPr>
          <w:rFonts w:ascii="Aptos Mono" w:hAnsi="Aptos Mono"/>
          <w:color w:val="554630"/>
          <w:sz w:val="18"/>
        </w:rPr>
        <w:t>risk.audit.view</w:t>
      </w:r>
      <w:r>
        <w:t>.</w:t>
      </w:r>
    </w:p>
    <w:p>
      <w:r>
        <w:t>System Administrator has configuration authority only. It gains no implicit business, legal, spatial or financial authority. CEO organisation-wide visibility is permission-governed and does not bypass event/client confidentiality.</w:t>
      </w:r>
    </w:p>
    <w:p>
      <w:pPr>
        <w:pStyle w:val="Heading1"/>
      </w:pPr>
      <w:r>
        <w:t>Maker/checker matrix</w:t>
      </w:r>
    </w:p>
    <w:p>
      <w:r>
        <w:t>Distinct people are required for policy verification, material residual-risk acceptance, clause approval, vendor restriction/decline, fallback authorisation, reserve authorisation, incident closure with residual actions, and dossier publication. The maker cannot decide their own edition.</w:t>
      </w:r>
    </w:p>
    <w:p>
      <w:pPr>
        <w:pStyle w:val="Heading1"/>
      </w:pPr>
      <w:r>
        <w:t>Document protection</w:t>
      </w:r>
    </w:p>
    <w:p>
      <w:pPr>
        <w:pStyle w:val="ListBullet"/>
      </w:pPr>
      <w:r>
        <w:t xml:space="preserve">Private object store; authenticated proxy; </w:t>
      </w:r>
      <w:r>
        <w:rPr>
          <w:rFonts w:ascii="Aptos Mono" w:hAnsi="Aptos Mono"/>
          <w:color w:val="554630"/>
          <w:sz w:val="18"/>
        </w:rPr>
        <w:t>Cache-Control: private, no-store</w:t>
      </w:r>
      <w:r>
        <w:t>.</w:t>
      </w:r>
    </w:p>
    <w:p>
      <w:pPr>
        <w:pStyle w:val="ListBullet"/>
      </w:pPr>
      <w:r>
        <w:t>Object keys and storage identifiers never enter normal projections.</w:t>
      </w:r>
    </w:p>
    <w:p>
      <w:pPr>
        <w:pStyle w:val="ListBullet"/>
      </w:pPr>
      <w:r>
        <w:t>Projection-specific exports cannot be reused by a less-privileged assignment.</w:t>
      </w:r>
    </w:p>
    <w:p>
      <w:pPr>
        <w:pStyle w:val="ListBullet"/>
      </w:pPr>
      <w:r>
        <w:t>Access is checked at retrieval time, not just link generation.</w:t>
      </w:r>
    </w:p>
    <w:p>
      <w:pPr>
        <w:pStyle w:val="ListBullet"/>
      </w:pPr>
      <w:r>
        <w:t>Sensitive claim, medical, personnel, bank and legal-advice fields are separately classified.</w:t>
      </w:r>
    </w:p>
    <w:p>
      <w:pPr>
        <w:pStyle w:val="ListBullet"/>
      </w:pPr>
      <w:r>
        <w:t>Downloads use safe content disposition and inert previews.</w:t>
      </w:r>
    </w:p>
    <w:p>
      <w:pPr>
        <w:pStyle w:val="Heading1"/>
      </w:pPr>
      <w:r>
        <w:t>Audit</w:t>
      </w:r>
    </w:p>
    <w:p>
      <w:r>
        <w:t>Append-only audit names the human actor in usable, permission-safe form—not UUID-only oversight. Record action, subject, scope, decision, reason, before/after edition IDs, correlation, idempotency application, external-effect status and denied attempts.</w:t>
      </w:r>
    </w:p>
    <w:p>
      <w:pPr>
        <w:pStyle w:val="Heading1"/>
      </w:pPr>
      <w:r>
        <w:t>Retention and subject rights</w:t>
      </w:r>
    </w:p>
    <w:p>
      <w:r>
        <w:t>Retention classes are explicit by record type and legal hold. Deletion requests produce a governed workflow; they never destroy audit or contractual records without authorised basis. Exports redact personal and privileged material by projection policy.</w:t>
      </w:r>
    </w:p>
    <w:p>
      <w:r>
        <w:br w:type="page"/>
      </w:r>
    </w:p>
    <w:p>
      <w:pPr>
        <w:pStyle w:val="Title"/>
      </w:pPr>
      <w:r>
        <w:t>EOS-S05B Command Atelier UX and Client Assurance</w:t>
      </w:r>
    </w:p>
    <w:p>
      <w:r>
        <w:rPr>
          <w:b/>
        </w:rPr>
        <w:t>Status:</w:t>
      </w:r>
      <w:r>
        <w:t xml:space="preserve"> CEO review draft</w:t>
      </w:r>
    </w:p>
    <w:p>
      <w:pPr>
        <w:pStyle w:val="Heading1"/>
      </w:pPr>
      <w:r>
        <w:t>Information architecture</w:t>
      </w:r>
    </w:p>
    <w:p>
      <w:r>
        <w:t xml:space="preserve">Add </w:t>
      </w:r>
      <w:r>
        <w:rPr>
          <w:rFonts w:ascii="Aptos Mono" w:hAnsi="Aptos Mono"/>
          <w:color w:val="554630"/>
          <w:sz w:val="18"/>
        </w:rPr>
        <w:t>Protection</w:t>
      </w:r>
      <w:r>
        <w:t xml:space="preserve"> to Event Command with five purposeful views:</w:t>
      </w:r>
    </w:p>
    <w:p>
      <w:pPr>
        <w:pStyle w:val="ListNumber"/>
      </w:pPr>
      <w:r>
        <w:t>Overview — readiness, critical exposures, decisions due and next milestone.</w:t>
      </w:r>
    </w:p>
    <w:p>
      <w:pPr>
        <w:pStyle w:val="ListNumber"/>
      </w:pPr>
      <w:r>
        <w:t>Coverage — requirement-to-policy matrix and evidence gaps.</w:t>
      </w:r>
    </w:p>
    <w:p>
      <w:pPr>
        <w:pStyle w:val="ListNumber"/>
      </w:pPr>
      <w:r>
        <w:t>Vendors — critical-service roster, evidence and check-ins.</w:t>
      </w:r>
    </w:p>
    <w:p>
      <w:pPr>
        <w:pStyle w:val="ListNumber"/>
      </w:pPr>
      <w:r>
        <w:t>Continuity — plans, triggers, activations and incidents.</w:t>
      </w:r>
    </w:p>
    <w:p>
      <w:pPr>
        <w:pStyle w:val="ListNumber"/>
      </w:pPr>
      <w:r>
        <w:t>Dossier — governed client/venue assurance edition.</w:t>
      </w:r>
    </w:p>
    <w:p>
      <w:r>
        <w:t>Organisation-level Protection Command is separate: policy catalogue, rule library, clause templates, portfolio renewals and aggregated trends.</w:t>
      </w:r>
    </w:p>
    <w:p>
      <w:pPr>
        <w:pStyle w:val="Heading1"/>
      </w:pPr>
      <w:r>
        <w:t>CEO no-blind-spots view</w:t>
      </w:r>
    </w:p>
    <w:p>
      <w:r>
        <w:t>Show: protection readiness by event; expired/expiring evidence; high-consequence unknowns; decisions waiting; concentration risks; untested fallbacks; open incidents; reserve exposure; dossier currency; and what changed since last review. Every count links to the underlying records. Never use a reassuring score without explaining its composition.</w:t>
      </w:r>
    </w:p>
    <w:p>
      <w:pPr>
        <w:pStyle w:val="Heading1"/>
      </w:pPr>
      <w:r>
        <w:t>Human hierarchy</w:t>
      </w:r>
    </w:p>
    <w:p>
      <w:r>
        <w:t>Lead with consequence and next action. Use progressive disclosure: headline, why it matters, evidence, decision history, technical metadata. Avoid card soup, raw JSON and UUID-first interfaces. Dates show timezone and relative urgency. Money shows currency and basis. Unknown is a designed state.</w:t>
      </w:r>
    </w:p>
    <w:p>
      <w:pPr>
        <w:pStyle w:val="Heading1"/>
      </w:pPr>
      <w:r>
        <w:t>Client assurance dossier</w:t>
      </w:r>
    </w:p>
    <w:p>
      <w:r>
        <w:t>The private client Atelier provides a calm, commissioned summary: protection plan scope, current readiness, approved contingency principles, client decisions required and dated provenance. It must not promise “zero uncovered losses,” guaranteed continuity or insurer payment. Publishing never dispatches it.</w:t>
      </w:r>
    </w:p>
    <w:p>
      <w:pPr>
        <w:pStyle w:val="Heading1"/>
      </w:pPr>
      <w:r>
        <w:t>Command Atelier standards</w:t>
      </w:r>
    </w:p>
    <w:p>
      <w:r>
        <w:t xml:space="preserve">Onyx </w:t>
      </w:r>
      <w:r>
        <w:rPr>
          <w:rFonts w:ascii="Aptos Mono" w:hAnsi="Aptos Mono"/>
          <w:color w:val="554630"/>
          <w:sz w:val="18"/>
        </w:rPr>
        <w:t>#11100F</w:t>
      </w:r>
      <w:r>
        <w:t xml:space="preserve">, ivory </w:t>
      </w:r>
      <w:r>
        <w:rPr>
          <w:rFonts w:ascii="Aptos Mono" w:hAnsi="Aptos Mono"/>
          <w:color w:val="554630"/>
          <w:sz w:val="18"/>
        </w:rPr>
        <w:t>#F5F0E8</w:t>
      </w:r>
      <w:r>
        <w:t xml:space="preserve">, decorative champagne </w:t>
      </w:r>
      <w:r>
        <w:rPr>
          <w:rFonts w:ascii="Aptos Mono" w:hAnsi="Aptos Mono"/>
          <w:color w:val="554630"/>
          <w:sz w:val="18"/>
        </w:rPr>
        <w:t>#B89A62</w:t>
      </w:r>
      <w:r>
        <w:t xml:space="preserve">, functional accent </w:t>
      </w:r>
      <w:r>
        <w:rPr>
          <w:rFonts w:ascii="Aptos Mono" w:hAnsi="Aptos Mono"/>
          <w:color w:val="554630"/>
          <w:sz w:val="18"/>
        </w:rPr>
        <w:t>#8B6E38</w:t>
      </w:r>
      <w:r>
        <w:t>; editorial hierarchy; tactile controls; visible focus; pointer on enabled clicks; not-allowed on disabled; text cursor in inputs; reduced motion; no horizontal document scroll at 360px; labelled mobile cards; tablet/desktop/200% zoom; no generic risk-dashboard traffic-light theatre.</w:t>
      </w:r>
    </w:p>
    <w:p>
      <w:pPr>
        <w:pStyle w:val="Heading1"/>
      </w:pPr>
      <w:r>
        <w:t>Failure truth</w:t>
      </w:r>
    </w:p>
    <w:p>
      <w:r>
        <w:t>Errors remain action-scoped. Rejected values are not shown as saved. Success receipts state whether data changed. Focus moves to the new result heading once and does not refocus historical results on reload.</w:t>
      </w:r>
    </w:p>
    <w:p>
      <w:r>
        <w:br w:type="page"/>
      </w:r>
    </w:p>
    <w:p>
      <w:pPr>
        <w:pStyle w:val="Title"/>
      </w:pPr>
      <w:r>
        <w:t>EOS-S05B AI Safety Scoring and Evaluation</w:t>
      </w:r>
    </w:p>
    <w:p>
      <w:r>
        <w:rPr>
          <w:b/>
        </w:rPr>
        <w:t>Status:</w:t>
      </w:r>
      <w:r>
        <w:t xml:space="preserve"> CEO review draft</w:t>
      </w:r>
    </w:p>
    <w:p>
      <w:pPr>
        <w:pStyle w:val="Heading1"/>
      </w:pPr>
      <w:r>
        <w:t>Permitted AI roles</w:t>
      </w:r>
    </w:p>
    <w:p>
      <w:r>
        <w:t>Document classification, cited field proposals, contradiction detection, renewal summaries, gap explanations, continuity options, incident chronology draft and executive briefing draft.</w:t>
      </w:r>
    </w:p>
    <w:p>
      <w:pPr>
        <w:pStyle w:val="Heading1"/>
      </w:pPr>
      <w:r>
        <w:t>Prohibited AI roles</w:t>
      </w:r>
    </w:p>
    <w:p>
      <w:r>
        <w:t>No legal conclusion, coverage guarantee, policy verification, protected-trait inference, vendor approval/rejection, contract approval, residual-risk acceptance, fallback authorisation, reserve authority, claim submission, external message, booking or payment.</w:t>
      </w:r>
    </w:p>
    <w:p>
      <w:pPr>
        <w:pStyle w:val="Heading1"/>
      </w:pPr>
      <w:r>
        <w:t>Risk intelligence</w:t>
      </w:r>
    </w:p>
    <w:p>
      <w:r>
        <w:t>Use a deterministic model edition for computed bands. AI can narrate the already-computed factors but cannot secretly alter weights. Display unknowns, counter-evidence, recency and materiality. Staff can override only through an explicit, audited decision that preserves the computed result.</w:t>
      </w:r>
    </w:p>
    <w:p>
      <w:pPr>
        <w:pStyle w:val="Heading1"/>
      </w:pPr>
      <w:r>
        <w:t>Prompt-injection and file safety</w:t>
      </w:r>
    </w:p>
    <w:p>
      <w:r>
        <w:t>Uploaded text is untrusted content. Provider prompts delimit it as data. Tool use is allowlisted. URLs, instructions, hidden markup and macros found in documents are inert. Output is schema-validated, escaped and citation-bound.</w:t>
      </w:r>
    </w:p>
    <w:p>
      <w:pPr>
        <w:pStyle w:val="Heading1"/>
      </w:pPr>
      <w:r>
        <w:t>Executable evaluation</w:t>
      </w:r>
    </w:p>
    <w:p>
      <w:r>
        <w:t xml:space="preserve">Create </w:t>
      </w:r>
      <w:r>
        <w:rPr>
          <w:rFonts w:ascii="Aptos Mono" w:hAnsi="Aptos Mono"/>
          <w:color w:val="554630"/>
          <w:sz w:val="18"/>
        </w:rPr>
        <w:t>s05b-eval-v1</w:t>
      </w:r>
      <w:r>
        <w:t xml:space="preserve"> with real production functions, isolated synthetic snapshots and persisted per-case results. Minimum families:</w:t>
      </w:r>
    </w:p>
    <w:p>
      <w:pPr>
        <w:pStyle w:val="ListBullet"/>
      </w:pPr>
      <w:r>
        <w:t>organisation/event/cross-organisation isolation;</w:t>
      </w:r>
    </w:p>
    <w:p>
      <w:pPr>
        <w:pStyle w:val="ListBullet"/>
      </w:pPr>
      <w:r>
        <w:t>policy applicability and unknown inputs;</w:t>
      </w:r>
    </w:p>
    <w:p>
      <w:pPr>
        <w:pStyle w:val="ListBullet"/>
      </w:pPr>
      <w:r>
        <w:t>expiry and stale legal rule;</w:t>
      </w:r>
    </w:p>
    <w:p>
      <w:pPr>
        <w:pStyle w:val="ListBullet"/>
      </w:pPr>
      <w:r>
        <w:t>conflicting certificates;</w:t>
      </w:r>
    </w:p>
    <w:p>
      <w:pPr>
        <w:pStyle w:val="ListBullet"/>
      </w:pPr>
      <w:r>
        <w:t>OCR fabrication negative control;</w:t>
      </w:r>
    </w:p>
    <w:p>
      <w:pPr>
        <w:pStyle w:val="ListBullet"/>
      </w:pPr>
      <w:r>
        <w:t>venue-rule evidence and supersession;</w:t>
      </w:r>
    </w:p>
    <w:p>
      <w:pPr>
        <w:pStyle w:val="ListBullet"/>
      </w:pPr>
      <w:r>
        <w:t>residual-risk maker/checker;</w:t>
      </w:r>
    </w:p>
    <w:p>
      <w:pPr>
        <w:pStyle w:val="ListBullet"/>
      </w:pPr>
      <w:r>
        <w:t>clause legal-review gate;</w:t>
      </w:r>
    </w:p>
    <w:p>
      <w:pPr>
        <w:pStyle w:val="ListBullet"/>
      </w:pPr>
      <w:r>
        <w:t>vendor indicator explainability and trait negative control;</w:t>
      </w:r>
    </w:p>
    <w:p>
      <w:pPr>
        <w:pStyle w:val="ListBullet"/>
      </w:pPr>
      <w:r>
        <w:t>missed check-in and escalation without dispatch;</w:t>
      </w:r>
    </w:p>
    <w:p>
      <w:pPr>
        <w:pStyle w:val="ListBullet"/>
      </w:pPr>
      <w:r>
        <w:t>fallback proposal without booking/payment;</w:t>
      </w:r>
    </w:p>
    <w:p>
      <w:pPr>
        <w:pStyle w:val="ListBullet"/>
      </w:pPr>
      <w:r>
        <w:t>reserve scenario trace and no invented prices;</w:t>
      </w:r>
    </w:p>
    <w:p>
      <w:pPr>
        <w:pStyle w:val="ListBullet"/>
      </w:pPr>
      <w:r>
        <w:t>incident chronology truth;</w:t>
      </w:r>
    </w:p>
    <w:p>
      <w:pPr>
        <w:pStyle w:val="ListBullet"/>
      </w:pPr>
      <w:r>
        <w:t>restricted document projection/export;</w:t>
      </w:r>
    </w:p>
    <w:p>
      <w:pPr>
        <w:pStyle w:val="ListBullet"/>
      </w:pPr>
      <w:r>
        <w:t>dossier immutability and no dispatch;</w:t>
      </w:r>
    </w:p>
    <w:p>
      <w:pPr>
        <w:pStyle w:val="ListBullet"/>
      </w:pPr>
      <w:r>
        <w:t>prompt injection and malicious markup;</w:t>
      </w:r>
    </w:p>
    <w:p>
      <w:pPr>
        <w:pStyle w:val="ListBullet"/>
      </w:pPr>
      <w:r>
        <w:t>concurrency, idempotency and false-success;</w:t>
      </w:r>
    </w:p>
    <w:p>
      <w:pPr>
        <w:pStyle w:val="ListBullet"/>
      </w:pPr>
      <w:r>
        <w:t>Unicode/Yorùbá integrity;</w:t>
      </w:r>
    </w:p>
    <w:p>
      <w:pPr>
        <w:pStyle w:val="ListBullet"/>
      </w:pPr>
      <w:r>
        <w:t>accessibility and responsive semantics.</w:t>
      </w:r>
    </w:p>
    <w:p>
      <w:r>
        <w:t xml:space="preserve">Negative adapters must prove the harness detects unsafe behaviour. Cases may not supply their own pass booleans. Corpus/version changes make prior passes </w:t>
      </w:r>
      <w:r>
        <w:rPr>
          <w:rFonts w:ascii="Aptos Mono" w:hAnsi="Aptos Mono"/>
          <w:color w:val="554630"/>
          <w:sz w:val="18"/>
        </w:rPr>
        <w:t>STALE</w:t>
      </w:r>
      <w:r>
        <w:t xml:space="preserve">; missing case rows are </w:t>
      </w:r>
      <w:r>
        <w:rPr>
          <w:rFonts w:ascii="Aptos Mono" w:hAnsi="Aptos Mono"/>
          <w:color w:val="554630"/>
          <w:sz w:val="18"/>
        </w:rPr>
        <w:t>INCOMPATIBLE</w:t>
      </w:r>
      <w:r>
        <w:t xml:space="preserve">; no run is </w:t>
      </w:r>
      <w:r>
        <w:rPr>
          <w:rFonts w:ascii="Aptos Mono" w:hAnsi="Aptos Mono"/>
          <w:color w:val="554630"/>
          <w:sz w:val="18"/>
        </w:rPr>
        <w:t>UNRUN</w:t>
      </w:r>
      <w:r>
        <w:t>; all block release.</w:t>
      </w:r>
    </w:p>
    <w:p>
      <w:r>
        <w:br w:type="page"/>
      </w:r>
    </w:p>
    <w:p>
      <w:pPr>
        <w:pStyle w:val="Title"/>
      </w:pPr>
      <w:r>
        <w:t>EOS-S05B Integration Notifications and Provider Boundaries</w:t>
      </w:r>
    </w:p>
    <w:p>
      <w:r>
        <w:rPr>
          <w:b/>
        </w:rPr>
        <w:t>Status:</w:t>
      </w:r>
      <w:r>
        <w:t xml:space="preserve"> CEO review draft</w:t>
      </w:r>
    </w:p>
    <w:p>
      <w:pPr>
        <w:pStyle w:val="Heading1"/>
      </w:pPr>
      <w:r>
        <w:t>Provider-neutral ports</w:t>
      </w:r>
    </w:p>
    <w:p>
      <w:r>
        <w:t>Define ports for private document storage, malware scanning, OCR/extraction, source monitoring, communications outbox and optional insurer/broker data exchange. Domain code depends on ports, not Cloudflare, Brevo, Twilio or a named AI vendor.</w:t>
      </w:r>
    </w:p>
    <w:p>
      <w:pPr>
        <w:pStyle w:val="Heading1"/>
      </w:pPr>
      <w:r>
        <w:t>Communications</w:t>
      </w:r>
    </w:p>
    <w:p>
      <w:r>
        <w:t>Risk workflows create governed communication intents only. Each intent carries recipient identity, purpose, channel preference, template edition, variables, event scope, evidence, earliest send time and approval state. Existing communications authority decides dispatch. No reminder is sent merely because a checkpoint becomes due.</w:t>
      </w:r>
    </w:p>
    <w:p>
      <w:pPr>
        <w:pStyle w:val="Heading1"/>
      </w:pPr>
      <w:r>
        <w:t>Outbound effects</w:t>
      </w:r>
    </w:p>
    <w:p>
      <w:r>
        <w:t xml:space="preserve">Use an outbox with stable effect keys, attempt receipts, provider correlation, retry classification and honest states: </w:t>
      </w:r>
      <w:r>
        <w:rPr>
          <w:rFonts w:ascii="Aptos Mono" w:hAnsi="Aptos Mono"/>
          <w:color w:val="554630"/>
          <w:sz w:val="18"/>
        </w:rPr>
        <w:t>NOT_REQUESTED</w:t>
      </w:r>
      <w:r>
        <w:t xml:space="preserve">, </w:t>
      </w:r>
      <w:r>
        <w:rPr>
          <w:rFonts w:ascii="Aptos Mono" w:hAnsi="Aptos Mono"/>
          <w:color w:val="554630"/>
          <w:sz w:val="18"/>
        </w:rPr>
        <w:t>PENDING_APPROVAL</w:t>
      </w:r>
      <w:r>
        <w:t xml:space="preserve">, </w:t>
      </w:r>
      <w:r>
        <w:rPr>
          <w:rFonts w:ascii="Aptos Mono" w:hAnsi="Aptos Mono"/>
          <w:color w:val="554630"/>
          <w:sz w:val="18"/>
        </w:rPr>
        <w:t>QUEUED</w:t>
      </w:r>
      <w:r>
        <w:t xml:space="preserve">, </w:t>
      </w:r>
      <w:r>
        <w:rPr>
          <w:rFonts w:ascii="Aptos Mono" w:hAnsi="Aptos Mono"/>
          <w:color w:val="554630"/>
          <w:sz w:val="18"/>
        </w:rPr>
        <w:t>SENT</w:t>
      </w:r>
      <w:r>
        <w:t xml:space="preserve">, </w:t>
      </w:r>
      <w:r>
        <w:rPr>
          <w:rFonts w:ascii="Aptos Mono" w:hAnsi="Aptos Mono"/>
          <w:color w:val="554630"/>
          <w:sz w:val="18"/>
        </w:rPr>
        <w:t>DELIVERED</w:t>
      </w:r>
      <w:r>
        <w:t xml:space="preserve">, </w:t>
      </w:r>
      <w:r>
        <w:rPr>
          <w:rFonts w:ascii="Aptos Mono" w:hAnsi="Aptos Mono"/>
          <w:color w:val="554630"/>
          <w:sz w:val="18"/>
        </w:rPr>
        <w:t>FAILED</w:t>
      </w:r>
      <w:r>
        <w:t xml:space="preserve">, </w:t>
      </w:r>
      <w:r>
        <w:rPr>
          <w:rFonts w:ascii="Aptos Mono" w:hAnsi="Aptos Mono"/>
          <w:color w:val="554630"/>
          <w:sz w:val="18"/>
        </w:rPr>
        <w:t>CANCELLED</w:t>
      </w:r>
      <w:r>
        <w:t>. A queued provider call is not delivered.</w:t>
      </w:r>
    </w:p>
    <w:p>
      <w:pPr>
        <w:pStyle w:val="Heading1"/>
      </w:pPr>
      <w:r>
        <w:t>Configuration readiness</w:t>
      </w:r>
    </w:p>
    <w:p>
      <w:r>
        <w:t xml:space="preserve">Each adapter reports </w:t>
      </w:r>
      <w:r>
        <w:rPr>
          <w:rFonts w:ascii="Aptos Mono" w:hAnsi="Aptos Mono"/>
          <w:color w:val="554630"/>
          <w:sz w:val="18"/>
        </w:rPr>
        <w:t>INACTIVE</w:t>
      </w:r>
      <w:r>
        <w:t xml:space="preserve">, </w:t>
      </w:r>
      <w:r>
        <w:rPr>
          <w:rFonts w:ascii="Aptos Mono" w:hAnsi="Aptos Mono"/>
          <w:color w:val="554630"/>
          <w:sz w:val="18"/>
        </w:rPr>
        <w:t>MISCONFIGURED</w:t>
      </w:r>
      <w:r>
        <w:t xml:space="preserve">, </w:t>
      </w:r>
      <w:r>
        <w:rPr>
          <w:rFonts w:ascii="Aptos Mono" w:hAnsi="Aptos Mono"/>
          <w:color w:val="554630"/>
          <w:sz w:val="18"/>
        </w:rPr>
        <w:t>READY</w:t>
      </w:r>
      <w:r>
        <w:t xml:space="preserve"> or </w:t>
      </w:r>
      <w:r>
        <w:rPr>
          <w:rFonts w:ascii="Aptos Mono" w:hAnsi="Aptos Mono"/>
          <w:color w:val="554630"/>
          <w:sz w:val="18"/>
        </w:rPr>
        <w:t>DEGRADED</w:t>
      </w:r>
      <w:r>
        <w:t>. Health must not claim ready from a compile-time flag when runtime binding is absent. Secrets stay in Railway variables and never enter prompts, logs, screenshots or evidence.</w:t>
      </w:r>
    </w:p>
    <w:p>
      <w:pPr>
        <w:pStyle w:val="Heading1"/>
      </w:pPr>
      <w:r>
        <w:t>Initial slice posture</w:t>
      </w:r>
    </w:p>
    <w:p>
      <w:r>
        <w:t>Document store may be activated if already governed. Malware scanning, OCR, source monitoring, communications and external insurance integrations default inactive. Fixture adapters support synthetic verification and are unmistakably non-production.</w:t>
      </w:r>
    </w:p>
    <w:p>
      <w:r>
        <w:br w:type="page"/>
      </w:r>
    </w:p>
    <w:p>
      <w:pPr>
        <w:pStyle w:val="Title"/>
      </w:pPr>
      <w:r>
        <w:t>EOS-S05B Migration Deployment and Production Configuration</w:t>
      </w:r>
    </w:p>
    <w:p>
      <w:r>
        <w:rPr>
          <w:b/>
        </w:rPr>
        <w:t>Status:</w:t>
      </w:r>
      <w:r>
        <w:t xml:space="preserve"> CEO review draft</w:t>
      </w:r>
    </w:p>
    <w:p>
      <w:pPr>
        <w:pStyle w:val="Heading1"/>
      </w:pPr>
      <w:r>
        <w:t>Persistence</w:t>
      </w:r>
    </w:p>
    <w:p>
      <w:r>
        <w:t>Add replay-safe forward-only migrations. Store documents in private object storage and metadata/editions/decisions in Postgres. Do not serialize the new domain as a single opaque JSON blob where durable querying, constraints or concurrency are required.</w:t>
      </w:r>
    </w:p>
    <w:p>
      <w:pPr>
        <w:pStyle w:val="Heading1"/>
      </w:pPr>
      <w:r>
        <w:t>Migration rules</w:t>
      </w:r>
    </w:p>
    <w:p>
      <w:pPr>
        <w:pStyle w:val="ListBullet"/>
      </w:pPr>
      <w:r>
        <w:t>Additive schema first; no destructive reset or down-migration.</w:t>
      </w:r>
    </w:p>
    <w:p>
      <w:pPr>
        <w:pStyle w:val="ListBullet"/>
      </w:pPr>
      <w:r>
        <w:t>Stable organisation/event foreign keys and database constraints.</w:t>
      </w:r>
    </w:p>
    <w:p>
      <w:pPr>
        <w:pStyle w:val="ListBullet"/>
      </w:pPr>
      <w:r>
        <w:t>Backfills derive only from authoritative existing data and write receipts.</w:t>
      </w:r>
    </w:p>
    <w:p>
      <w:pPr>
        <w:pStyle w:val="ListBullet"/>
      </w:pPr>
      <w:r>
        <w:t>Unknown legacy state remains unknown.</w:t>
      </w:r>
    </w:p>
    <w:p>
      <w:pPr>
        <w:pStyle w:val="ListBullet"/>
      </w:pPr>
      <w:r>
        <w:t>Migrations are idempotent and tested against empty, fixture and upgraded snapshots.</w:t>
      </w:r>
    </w:p>
    <w:p>
      <w:pPr>
        <w:pStyle w:val="Heading1"/>
      </w:pPr>
      <w:r>
        <w:t>Deployment policy</w:t>
      </w:r>
    </w:p>
    <w:p>
      <w:r>
        <w:t xml:space="preserve">Once separately authorised and complete: focused tests, full typecheck, shared-platform and Event OS tests, programme validation, Event OS build, </w:t>
      </w:r>
      <w:r>
        <w:rPr>
          <w:rFonts w:ascii="Aptos Mono" w:hAnsi="Aptos Mono"/>
          <w:color w:val="554630"/>
          <w:sz w:val="18"/>
        </w:rPr>
        <w:t>git diff --check</w:t>
      </w:r>
      <w:r>
        <w:t>, browser journeys, commit/push, GitHub parity, Event OS-only Railway deploy, deployed-SHA/readiness verification and live synthetic smoke. Control Tower deploys only if its executable code changes.</w:t>
      </w:r>
    </w:p>
    <w:p>
      <w:pPr>
        <w:pStyle w:val="Heading1"/>
      </w:pPr>
      <w:r>
        <w:t>Runtime variables</w:t>
      </w:r>
    </w:p>
    <w:p>
      <w:r>
        <w:t>Final implementation report must list exact names, service, secret status and purpose. Likely groups include private risk-document bucket binding, malware/OCR adapter selection and outbound integration enable flags. Do not ask George for non-secret values Cursor can set. Never activate external effects without separate authority.</w:t>
      </w:r>
    </w:p>
    <w:p>
      <w:pPr>
        <w:pStyle w:val="Heading1"/>
      </w:pPr>
      <w:r>
        <w:t>Recovery</w:t>
      </w:r>
    </w:p>
    <w:p>
      <w:r>
        <w:t>Application rollback must tolerate additive tables/columns. Forward recovery is preferred. Existing immutable evidence remains. Never delete Postgres data or bucket objects to make a test pass.</w:t>
      </w:r>
    </w:p>
    <w:p>
      <w:pPr>
        <w:pStyle w:val="Heading1"/>
      </w:pPr>
      <w:r>
        <w:t>Production gate</w:t>
      </w:r>
    </w:p>
    <w:p>
      <w:r>
        <w:rPr>
          <w:rFonts w:ascii="Aptos Mono" w:hAnsi="Aptos Mono"/>
          <w:color w:val="554630"/>
          <w:sz w:val="18"/>
        </w:rPr>
        <w:t>productionAuthorised:false</w:t>
      </w:r>
      <w:r>
        <w:t xml:space="preserve"> remains. Real vendors, policies, contracts, incidents and clients remain prohibited until separate onboarding, identity, retention, legal and provider controls are accepted.</w:t>
      </w:r>
    </w:p>
    <w:p>
      <w:r>
        <w:br w:type="page"/>
      </w:r>
    </w:p>
    <w:p>
      <w:pPr>
        <w:pStyle w:val="Title"/>
      </w:pPr>
      <w:r>
        <w:t>EOS-S05B Detailed Cursor Pack A Control and Foundations</w:t>
      </w:r>
    </w:p>
    <w:p>
      <w:r>
        <w:rPr>
          <w:b/>
        </w:rPr>
        <w:t>Status:</w:t>
      </w:r>
      <w:r>
        <w:t xml:space="preserve"> Ratification draft — becomes executable only inside a separately released MD-PR-S054 authority prompt</w:t>
      </w:r>
    </w:p>
    <w:p>
      <w:pPr>
        <w:pStyle w:val="Heading1"/>
      </w:pPr>
      <w:r>
        <w:t>Cursor operating contract</w:t>
      </w:r>
    </w:p>
    <w:p>
      <w:r>
        <w:t>Work continuously through all four volumes. Do not stop after individual units unless a stated stop condition occurs. Use focused commits at coherent boundaries, then one consolidated evidence report. Do not self-accept EOS-S05B.</w:t>
      </w:r>
    </w:p>
    <w:p>
      <w:r>
        <w:t xml:space="preserve">Required starting repository is </w:t>
      </w:r>
      <w:r>
        <w:rPr>
          <w:rFonts w:ascii="Aptos Mono" w:hAnsi="Aptos Mono"/>
          <w:color w:val="554630"/>
          <w:sz w:val="18"/>
        </w:rPr>
        <w:t>kglaw-Oluseyi/atelier-doclar</w:t>
      </w:r>
      <w:r>
        <w:t xml:space="preserve">, branch </w:t>
      </w:r>
      <w:r>
        <w:rPr>
          <w:rFonts w:ascii="Aptos Mono" w:hAnsi="Aptos Mono"/>
          <w:color w:val="554630"/>
          <w:sz w:val="18"/>
        </w:rPr>
        <w:t>main</w:t>
      </w:r>
      <w:r>
        <w:t xml:space="preserve">, baseline to be restated by the release prompt. Railway scope is </w:t>
      </w:r>
      <w:r>
        <w:rPr>
          <w:rFonts w:ascii="Aptos Mono" w:hAnsi="Aptos Mono"/>
          <w:color w:val="554630"/>
          <w:sz w:val="18"/>
        </w:rPr>
        <w:t>atelier-doclar / production / event-os</w:t>
      </w:r>
      <w:r>
        <w:t xml:space="preserve"> only. Verify a clean non-overlapping worktree. Preserve user changes. Never force-push, amend accepted commits, reset destructively or touch another service.</w:t>
      </w:r>
    </w:p>
    <w:p>
      <w:pPr>
        <w:pStyle w:val="Heading1"/>
      </w:pPr>
      <w:r>
        <w:t>Stop conditions</w:t>
      </w:r>
    </w:p>
    <w:p>
      <w:r>
        <w:t>Stop only for baseline mismatch, overlapping worktree, destructive migration, missing human-controlled secret, real-data risk, contradictory controlling requirements, or an external effect that requires new authority. Ordinary defects are fixed within the milestone and reported honestly.</w:t>
      </w:r>
    </w:p>
    <w:p>
      <w:pPr>
        <w:pStyle w:val="Heading1"/>
      </w:pPr>
      <w:r>
        <w:t>Unit RPC-01 Canonical inspection</w:t>
      </w:r>
    </w:p>
    <w:p>
      <w:r>
        <w:t>Read current state, S05/S05A acceptance, document authority, compatibility, successor register, deploy policy, technical debt, Event OS product manifest and existing party/vendor/budget/communications/spatial contracts. Produce an internal compatibility map before editing. Do not reopen accepted behaviour.</w:t>
      </w:r>
    </w:p>
    <w:p>
      <w:r>
        <w:rPr>
          <w:b/>
        </w:rPr>
        <w:t>Evidence:</w:t>
      </w:r>
      <w:r>
        <w:t xml:space="preserve"> exact files inspected; resolved extension points; no parallel ledgers.</w:t>
      </w:r>
    </w:p>
    <w:p>
      <w:pPr>
        <w:pStyle w:val="Heading1"/>
      </w:pPr>
      <w:r>
        <w:t>Unit RPC-02 Domain file architecture</w:t>
      </w:r>
    </w:p>
    <w:p>
      <w:r>
        <w:t>Create bounded shared-platform modules, adapting names only to repository convention:</w:t>
      </w:r>
    </w:p>
    <w:p>
      <w:pPr>
        <w:ind w:left="288"/>
      </w:pPr>
      <w:r>
        <w:rPr>
          <w:rFonts w:ascii="Aptos Mono" w:hAnsi="Aptos Mono"/>
          <w:color w:val="11100F"/>
          <w:sz w:val="16"/>
        </w:rPr>
        <w:t>risk-schemas.ts</w:t>
        <w:br/>
        <w:t>risk-policy-operations.ts</w:t>
        <w:br/>
        <w:t>risk-applicability.ts</w:t>
        <w:br/>
        <w:t>risk-gap-engine.ts</w:t>
        <w:br/>
        <w:t>risk-clause-operations.ts</w:t>
        <w:br/>
        <w:t>risk-vendor-assessment.ts</w:t>
        <w:br/>
        <w:t>risk-continuity.ts</w:t>
        <w:br/>
        <w:t>risk-incidents.ts</w:t>
        <w:br/>
        <w:t>risk-budget-projection.ts</w:t>
        <w:br/>
        <w:t>risk-disclosure.ts</w:t>
        <w:br/>
        <w:t>risk-projections.ts</w:t>
        <w:br/>
        <w:t>risk-evaluation-*.ts</w:t>
        <w:br/>
        <w:t>risk-migration.ts</w:t>
      </w:r>
    </w:p>
    <w:p>
      <w:r>
        <w:t>Event OS components must be similarly bounded; do not grow one giant workspace or actions file.</w:t>
      </w:r>
    </w:p>
    <w:p>
      <w:pPr>
        <w:pStyle w:val="Heading1"/>
      </w:pPr>
      <w:r>
        <w:t>Unit RPC-03 Shared primitives and schemas</w:t>
      </w:r>
    </w:p>
    <w:p>
      <w:r>
        <w:t>Implement strict Zod schemas and inferred TypeScript types for record scope, evidence references, verification, legal review, Money, DateRange, document classification, policy type, coverage limits, deductibles, risk indicators and command envelopes. Reject unknown keys at trust boundaries.</w:t>
      </w:r>
    </w:p>
    <w:p>
      <w:pPr>
        <w:ind w:left="288"/>
      </w:pPr>
      <w:r>
        <w:rPr>
          <w:rFonts w:ascii="Aptos Mono" w:hAnsi="Aptos Mono"/>
          <w:color w:val="11100F"/>
          <w:sz w:val="16"/>
        </w:rPr>
        <w:t>const RecordScopeSchema = z.discriminatedUnion("kind", [</w:t>
        <w:br/>
        <w:t xml:space="preserve">  z.object({kind:z.literal("ORGANISATION"), organisationId:Uuid}).strict(),</w:t>
        <w:br/>
        <w:t xml:space="preserve">  z.object({kind:z.literal("EVENT"), organisationId:Uuid, eventId:Uuid}).strict()</w:t>
        <w:br/>
        <w:t>]);</w:t>
        <w:br/>
        <w:br/>
        <w:t>const RiskCommandEnvelopeSchema = z.object({</w:t>
        <w:br/>
        <w:t xml:space="preserve">  organisationId: Uuid,</w:t>
        <w:br/>
        <w:t xml:space="preserve">  eventId: Uuid.optional(),</w:t>
        <w:br/>
        <w:t xml:space="preserve">  assignmentId: Uuid,</w:t>
        <w:br/>
        <w:t xml:space="preserve">  expectedVersion: z.number().int().nonnegative(),</w:t>
        <w:br/>
        <w:t xml:space="preserve">  idempotencyKey: z.string().min(12).max(200),</w:t>
        <w:br/>
        <w:t xml:space="preserve">  reason: z.string().trim().max(2000).optional()</w:t>
        <w:br/>
        <w:t>}).strict();</w:t>
      </w:r>
    </w:p>
    <w:p>
      <w:r>
        <w:t>Test invalid currencies, fractional minor units, negative limits, cross-scope IDs, invalid dates, oversized narratives and extra keys.</w:t>
      </w:r>
    </w:p>
    <w:p>
      <w:pPr>
        <w:pStyle w:val="Heading1"/>
      </w:pPr>
      <w:r>
        <w:t>Unit RPC-04 Permissions</w:t>
      </w:r>
    </w:p>
    <w:p>
      <w:r>
        <w:t>Add granular permissions from document 09 to the canonical permission catalogue and fixtures. System Administrator gets configuration only. CEO permissions remain explicit rather than a bypass. Client, Auditor, Planner, Event Director, risk/legal reviewer and system administrator projections must be separate.</w:t>
      </w:r>
    </w:p>
    <w:p>
      <w:r>
        <w:t>Test server denial for UI-hidden actions, cross-event and cross-organisation calls, unauthenticated routes and stale assignments.</w:t>
      </w:r>
    </w:p>
    <w:p>
      <w:pPr>
        <w:pStyle w:val="Heading1"/>
      </w:pPr>
      <w:r>
        <w:t>Unit RPC-05 Persistence and migration</w:t>
      </w:r>
    </w:p>
    <w:p>
      <w:r>
        <w:t>Design normalized Postgres persistence for editions, evidence, applicability snapshots, gaps, decisions, check-ins, activations, incidents and dossier editions. Use unique constraints for idempotency and one-current-edition invariants. Add replay-safe migration receipts. Memory and Postgres stores must obey the same contract.</w:t>
      </w:r>
    </w:p>
    <w:p>
      <w:r>
        <w:t>Test migration twice, legacy unknowns, equal timestamps, concurrency conflict and partial persistence failure. Never let a redirect throw replace a persist failure or vice versa.</w:t>
      </w:r>
    </w:p>
    <w:p>
      <w:pPr>
        <w:pStyle w:val="Heading1"/>
      </w:pPr>
      <w:r>
        <w:t>Unit RPC-06 Evidence and immutable documents</w:t>
      </w:r>
    </w:p>
    <w:p>
      <w:r>
        <w:t>Implement metadata creation, safe upload completion, edition supersession and retrieval. Completion occurs only after durable object put. Hash exact bytes. Store encryption-sensitive fields separately. Upload does not mean verified.</w:t>
      </w:r>
    </w:p>
    <w:p>
      <w:r>
        <w:t xml:space="preserve">Required states: </w:t>
      </w:r>
      <w:r>
        <w:rPr>
          <w:rFonts w:ascii="Aptos Mono" w:hAnsi="Aptos Mono"/>
          <w:color w:val="554630"/>
          <w:sz w:val="18"/>
        </w:rPr>
        <w:t>PENDING_UPLOAD</w:t>
      </w:r>
      <w:r>
        <w:t xml:space="preserve">, </w:t>
      </w:r>
      <w:r>
        <w:rPr>
          <w:rFonts w:ascii="Aptos Mono" w:hAnsi="Aptos Mono"/>
          <w:color w:val="554630"/>
          <w:sz w:val="18"/>
        </w:rPr>
        <w:t>UPLOADED</w:t>
      </w:r>
      <w:r>
        <w:t xml:space="preserve">, </w:t>
      </w:r>
      <w:r>
        <w:rPr>
          <w:rFonts w:ascii="Aptos Mono" w:hAnsi="Aptos Mono"/>
          <w:color w:val="554630"/>
          <w:sz w:val="18"/>
        </w:rPr>
        <w:t>SCAN_PENDING</w:t>
      </w:r>
      <w:r>
        <w:t xml:space="preserve">, </w:t>
      </w:r>
      <w:r>
        <w:rPr>
          <w:rFonts w:ascii="Aptos Mono" w:hAnsi="Aptos Mono"/>
          <w:color w:val="554630"/>
          <w:sz w:val="18"/>
        </w:rPr>
        <w:t>CLEAN</w:t>
      </w:r>
      <w:r>
        <w:t xml:space="preserve">, </w:t>
      </w:r>
      <w:r>
        <w:rPr>
          <w:rFonts w:ascii="Aptos Mono" w:hAnsi="Aptos Mono"/>
          <w:color w:val="554630"/>
          <w:sz w:val="18"/>
        </w:rPr>
        <w:t>QUARANTINED</w:t>
      </w:r>
      <w:r>
        <w:t xml:space="preserve">, </w:t>
      </w:r>
      <w:r>
        <w:rPr>
          <w:rFonts w:ascii="Aptos Mono" w:hAnsi="Aptos Mono"/>
          <w:color w:val="554630"/>
          <w:sz w:val="18"/>
        </w:rPr>
        <w:t>SCAN_FAILED</w:t>
      </w:r>
      <w:r>
        <w:t xml:space="preserve">, </w:t>
      </w:r>
      <w:r>
        <w:rPr>
          <w:rFonts w:ascii="Aptos Mono" w:hAnsi="Aptos Mono"/>
          <w:color w:val="554630"/>
          <w:sz w:val="18"/>
        </w:rPr>
        <w:t>VERIFIED</w:t>
      </w:r>
      <w:r>
        <w:t xml:space="preserve">, </w:t>
      </w:r>
      <w:r>
        <w:rPr>
          <w:rFonts w:ascii="Aptos Mono" w:hAnsi="Aptos Mono"/>
          <w:color w:val="554630"/>
          <w:sz w:val="18"/>
        </w:rPr>
        <w:t>REJECTED</w:t>
      </w:r>
      <w:r>
        <w:t xml:space="preserve">, </w:t>
      </w:r>
      <w:r>
        <w:rPr>
          <w:rFonts w:ascii="Aptos Mono" w:hAnsi="Aptos Mono"/>
          <w:color w:val="554630"/>
          <w:sz w:val="18"/>
        </w:rPr>
        <w:t>EXPIRED</w:t>
      </w:r>
      <w:r>
        <w:t xml:space="preserve">, </w:t>
      </w:r>
      <w:r>
        <w:rPr>
          <w:rFonts w:ascii="Aptos Mono" w:hAnsi="Aptos Mono"/>
          <w:color w:val="554630"/>
          <w:sz w:val="18"/>
        </w:rPr>
        <w:t>SUPERSEDED</w:t>
      </w:r>
      <w:r>
        <w:t xml:space="preserve"> with valid transition checks.</w:t>
      </w:r>
    </w:p>
    <w:p>
      <w:pPr>
        <w:pStyle w:val="Heading1"/>
      </w:pPr>
      <w:r>
        <w:t>Unit RPC-07 Central disclosure policy</w:t>
      </w:r>
    </w:p>
    <w:p>
      <w:r>
        <w:t>Implement one server policy for legal advice, personal data, policy identifiers, limits/deductibles, restricted incidents and internal vendor assessments. Apply it to workspaces, comparisons, audit, JSON routes and exports. Full projections must preserve domain identity; permission-safe projections may mask/omit but must not alter hashes used as domain content.</w:t>
      </w:r>
    </w:p>
    <w:p>
      <w:pPr>
        <w:pStyle w:val="Heading1"/>
      </w:pPr>
      <w:r>
        <w:t>Unit RPC-08 Audit and action results</w:t>
      </w:r>
    </w:p>
    <w:p>
      <w:r>
        <w:t xml:space="preserve">Every command returns </w:t>
      </w:r>
      <w:r>
        <w:rPr>
          <w:rFonts w:ascii="Aptos Mono" w:hAnsi="Aptos Mono"/>
          <w:color w:val="554630"/>
          <w:sz w:val="18"/>
        </w:rPr>
        <w:t>APPLIED</w:t>
      </w:r>
      <w:r>
        <w:t xml:space="preserve">, </w:t>
      </w:r>
      <w:r>
        <w:rPr>
          <w:rFonts w:ascii="Aptos Mono" w:hAnsi="Aptos Mono"/>
          <w:color w:val="554630"/>
          <w:sz w:val="18"/>
        </w:rPr>
        <w:t>REPLAYED</w:t>
      </w:r>
      <w:r>
        <w:t xml:space="preserve"> or </w:t>
      </w:r>
      <w:r>
        <w:rPr>
          <w:rFonts w:ascii="Aptos Mono" w:hAnsi="Aptos Mono"/>
          <w:color w:val="554630"/>
          <w:sz w:val="18"/>
        </w:rPr>
        <w:t>NOT_APPLIED</w:t>
      </w:r>
      <w:r>
        <w:t xml:space="preserve">, </w:t>
      </w:r>
      <w:r>
        <w:rPr>
          <w:rFonts w:ascii="Aptos Mono" w:hAnsi="Aptos Mono"/>
          <w:color w:val="554630"/>
          <w:sz w:val="18"/>
        </w:rPr>
        <w:t>didDataChange</w:t>
      </w:r>
      <w:r>
        <w:t>, subject/version, correlation, retry safety and readable detail. Audit denied actions and external effects. Project usable actor display names when permitted; do not make oversight UUID-only.</w:t>
      </w:r>
    </w:p>
    <w:p>
      <w:pPr>
        <w:pStyle w:val="Heading1"/>
      </w:pPr>
      <w:r>
        <w:t>Unit RPC-09 Organisation and event navigation</w:t>
      </w:r>
    </w:p>
    <w:p>
      <w:r>
        <w:t>Add organisation Protection Command and event Protection workspace without disrupting current navigation. At 360px use labelled sections/cards, not horizontally clipped tables. Establish page landmarks, breadcrumbs, skip target and predictable tabs.</w:t>
      </w:r>
    </w:p>
    <w:p>
      <w:pPr>
        <w:pStyle w:val="Heading1"/>
      </w:pPr>
      <w:r>
        <w:t>Unit RPC-10 Foundation gates</w:t>
      </w:r>
    </w:p>
    <w:p>
      <w:r>
        <w:t>Run focused schema/migration/permission/disclosure tests, typecheck and Event OS build. Commit foundation only when these pass. Continue to Pack B without waiting for human approval.</w:t>
      </w:r>
    </w:p>
    <w:p>
      <w:r>
        <w:br w:type="page"/>
      </w:r>
    </w:p>
    <w:p>
      <w:pPr>
        <w:pStyle w:val="Title"/>
      </w:pPr>
      <w:r>
        <w:t>EOS-S05B Detailed Cursor Pack B Insurance Contract and Vendor Intelligence</w:t>
      </w:r>
    </w:p>
    <w:p>
      <w:r>
        <w:rPr>
          <w:b/>
        </w:rPr>
        <w:t>Status:</w:t>
      </w:r>
      <w:r>
        <w:t xml:space="preserve"> Ratification draft — not independently executable</w:t>
      </w:r>
    </w:p>
    <w:p>
      <w:pPr>
        <w:pStyle w:val="Heading1"/>
      </w:pPr>
      <w:r>
        <w:t>Unit RPC-11 Rule and source library</w:t>
      </w:r>
    </w:p>
    <w:p>
      <w:r>
        <w:t>Build source editions and rule editions exactly as document 02. UI must show publisher, locator, jurisdiction, effective dates, last verified, review due, status and supersession. Creating a rule from a source produces a draft. Only a distinct authorised reviewer can approve.</w:t>
      </w:r>
    </w:p>
    <w:p>
      <w:r>
        <w:t xml:space="preserve">Do not ship supplied statutory/venue claims as unconditional defaults. Seed synthetic examples marked </w:t>
      </w:r>
      <w:r>
        <w:rPr>
          <w:rFonts w:ascii="Aptos Mono" w:hAnsi="Aptos Mono"/>
          <w:color w:val="554630"/>
          <w:sz w:val="18"/>
        </w:rPr>
        <w:t>DISCOVERY</w:t>
      </w:r>
      <w:r>
        <w:t xml:space="preserve"> unless an accepted source and reviewer exist.</w:t>
      </w:r>
    </w:p>
    <w:p>
      <w:pPr>
        <w:pStyle w:val="Heading1"/>
      </w:pPr>
      <w:r>
        <w:t>Unit RPC-12 Policy registry</w:t>
      </w:r>
    </w:p>
    <w:p>
      <w:r>
        <w:t>Build create/edit/supersede journeys for organisation and event policies. Fields: type, insurer party, encrypted number, insured parties, dates, limits by coverage, deductibles, territorial/activity scope, assets, endorsements/exclusions, source documents and verification.</w:t>
      </w:r>
    </w:p>
    <w:p>
      <w:r>
        <w:t>Frontend: progressive sections; concise summary; status banner; explicit unknowns; document preview/retrieval; change history. Never expose encrypted values in DOM/URL/logs.</w:t>
      </w:r>
    </w:p>
    <w:p>
      <w:pPr>
        <w:pStyle w:val="Heading1"/>
      </w:pPr>
      <w:r>
        <w:t>Unit RPC-13 Certificate verification</w:t>
      </w:r>
    </w:p>
    <w:p>
      <w:r>
        <w:t>Implement maker/checker verification. Reviewer confirms cited fields, discrepancies and document safety. Rejection preserves upload and reason. Expiry is derived at read/evaluation time and cannot be defeated by stale cached status.</w:t>
      </w:r>
    </w:p>
    <w:p>
      <w:r>
        <w:t>Tests: maker self-verify, forged filename, conflicting dates, duplicate bytes, inaccessible object, expired certificate and projection denial.</w:t>
      </w:r>
    </w:p>
    <w:p>
      <w:pPr>
        <w:pStyle w:val="Heading1"/>
      </w:pPr>
      <w:r>
        <w:t>Unit RPC-14 Applicability resolver</w:t>
      </w:r>
    </w:p>
    <w:p>
      <w:r>
        <w:t xml:space="preserve">Implement pure deterministic resolver. Inputs are explicit fact editions, approved rule editions and current policy editions. Output trace names every input and branch. Missing fact → </w:t>
      </w:r>
      <w:r>
        <w:rPr>
          <w:rFonts w:ascii="Aptos Mono" w:hAnsi="Aptos Mono"/>
          <w:color w:val="554630"/>
          <w:sz w:val="18"/>
        </w:rPr>
        <w:t>INDETERMINATE</w:t>
      </w:r>
      <w:r>
        <w:t xml:space="preserve">. A </w:t>
      </w:r>
      <w:r>
        <w:rPr>
          <w:rFonts w:ascii="Aptos Mono" w:hAnsi="Aptos Mono"/>
          <w:color w:val="554630"/>
          <w:sz w:val="18"/>
        </w:rPr>
        <w:t>DOES_NOT_APPLY</w:t>
      </w:r>
      <w:r>
        <w:t xml:space="preserve"> result needs the rule path, not absence of a policy.</w:t>
      </w:r>
    </w:p>
    <w:p>
      <w:pPr>
        <w:ind w:left="288"/>
      </w:pPr>
      <w:r>
        <w:rPr>
          <w:rFonts w:ascii="Aptos Mono" w:hAnsi="Aptos Mono"/>
          <w:color w:val="11100F"/>
          <w:sz w:val="16"/>
        </w:rPr>
        <w:t>type Applicability = {</w:t>
        <w:br/>
        <w:t xml:space="preserve">  requirementKey:string;</w:t>
        <w:br/>
        <w:t xml:space="preserve">  decision:"APPLIES"|"DOES_NOT_APPLY"|"INDETERMINATE"|"STALE";</w:t>
        <w:br/>
        <w:t xml:space="preserve">  factEditionIds:UUID[];</w:t>
        <w:br/>
        <w:t xml:space="preserve">  ruleEditionId:UUID;</w:t>
        <w:br/>
        <w:t xml:space="preserve">  trace:TraceStep[];</w:t>
        <w:br/>
        <w:t>};</w:t>
      </w:r>
    </w:p>
    <w:p>
      <w:pPr>
        <w:pStyle w:val="Heading1"/>
      </w:pPr>
      <w:r>
        <w:t>Unit RPC-15 Coverage matcher</w:t>
      </w:r>
    </w:p>
    <w:p>
      <w:r>
        <w:t>Match current verified policy editions against requirements without claiming claim acceptance. Compare period, parties, activity/venue, currency/limit basis, assets and exclusions. Preserve partial and unknown states.</w:t>
      </w:r>
    </w:p>
    <w:p>
      <w:pPr>
        <w:pStyle w:val="Heading1"/>
      </w:pPr>
      <w:r>
        <w:t>Unit RPC-16 Gap engine</w:t>
      </w:r>
    </w:p>
    <w:p>
      <w:r>
        <w:t>Create immutable applicability snapshots and gap findings using document 04 taxonomy. Gap identity is stable by event, snapshot hash, requirement and affected object set. Same-hash reevaluation recognises an active authorised residual-risk decision; changed inputs do not inherit it.</w:t>
      </w:r>
    </w:p>
    <w:p>
      <w:pPr>
        <w:pStyle w:val="Heading1"/>
      </w:pPr>
      <w:r>
        <w:t>Unit RPC-17 Residual risk decisions</w:t>
      </w:r>
    </w:p>
    <w:p>
      <w:r>
        <w:t>Decision choices: resolve with evidence, accept residual risk until expiry, add compensating control, reject applicability with cited basis, or keep unresolved. Maker/checker, reason, evidence, authority, expiry and immutable lineage required. Publication/readiness counts raw, overridden and unresolved separately.</w:t>
      </w:r>
    </w:p>
    <w:p>
      <w:pPr>
        <w:pStyle w:val="Heading1"/>
      </w:pPr>
      <w:r>
        <w:t>Unit RPC-18 Coverage UI</w:t>
      </w:r>
    </w:p>
    <w:p>
      <w:r>
        <w:t>Build requirement-to-protection matrix, but responsive mobile becomes labelled cards. Default view answers “what is missing and what must I do?” Filters cannot hide the aggregate readiness warning. Do not rely on red/amber/green alone.</w:t>
      </w:r>
    </w:p>
    <w:p>
      <w:pPr>
        <w:pStyle w:val="Heading1"/>
      </w:pPr>
      <w:r>
        <w:t>Unit RPC-19 Clause template library</w:t>
      </w:r>
    </w:p>
    <w:p>
      <w:r>
        <w:t>Implement immutable clause template editions with typed variables and jurisdiction. Draft, legal review, commercial approval and supersession are distinct. AI-proposed text is visually and structurally marked.</w:t>
      </w:r>
    </w:p>
    <w:p>
      <w:pPr>
        <w:pStyle w:val="Heading1"/>
      </w:pPr>
      <w:r>
        <w:t>Unit RPC-20 Contract clause studio</w:t>
      </w:r>
    </w:p>
    <w:p>
      <w:r>
        <w:t>Build vendor/event clause application. Show rendered wording, variables, source template, deviations, review trail and execution evidence. Sanitize/escape markup. Strict placeholder multiset validation prevents missing or injected terms.</w:t>
      </w:r>
    </w:p>
    <w:p>
      <w:pPr>
        <w:pStyle w:val="Heading1"/>
      </w:pPr>
      <w:r>
        <w:t>Unit RPC-21 Safeguard terms</w:t>
      </w:r>
    </w:p>
    <w:p>
      <w:r>
        <w:t>Model retention, performance security and liquidated-damages structures as contractual terms. Require basis, cap, currency, milestone and legal-review state. Never initiate payment or state enforceability. Create a permission-safe projection for Budget/Payment consumers.</w:t>
      </w:r>
    </w:p>
    <w:p>
      <w:pPr>
        <w:pStyle w:val="Heading1"/>
      </w:pPr>
      <w:r>
        <w:t>Unit RPC-22 Vendor risk evidence</w:t>
      </w:r>
    </w:p>
    <w:p>
      <w:r>
        <w:t>Attach risk evidence to canonical vendors. Evidence entries have source, observation date, event relevance, verification and expiry. Corrections supersede. Never treat free-text allegations as verified incidents.</w:t>
      </w:r>
    </w:p>
    <w:p>
      <w:pPr>
        <w:pStyle w:val="Heading1"/>
      </w:pPr>
      <w:r>
        <w:t>Unit RPC-23 Deterministic vendor assessment</w:t>
      </w:r>
    </w:p>
    <w:p>
      <w:r>
        <w:t>Implement approved model editions, factor calculation, unknown handling and trace. A band is not a decision. Manual approval/restriction/decline preserves computed band and requires evidence/reason/maker-checker. No protected attributes or proxies.</w:t>
      </w:r>
    </w:p>
    <w:p>
      <w:r>
        <w:t>Mutation tests must show that removing missing-evidence detection or allowing trait influence causes evaluation failure.</w:t>
      </w:r>
    </w:p>
    <w:p>
      <w:pPr>
        <w:pStyle w:val="Heading1"/>
      </w:pPr>
      <w:r>
        <w:t>Unit RPC-24 Tiered assignment roster</w:t>
      </w:r>
    </w:p>
    <w:p>
      <w:r>
        <w:t xml:space="preserve">Extend canonical event vendor assignments with role </w:t>
      </w:r>
      <w:r>
        <w:rPr>
          <w:rFonts w:ascii="Aptos Mono" w:hAnsi="Aptos Mono"/>
          <w:color w:val="554630"/>
          <w:sz w:val="18"/>
        </w:rPr>
        <w:t>PRIMARY|ALTERNATE|STANDBY</w:t>
      </w:r>
      <w:r>
        <w:t>, critical function, availability window, readiness and commercial status. Prevent an assignment from being labelled booked/confirmed without source authority. Standby never means engaged.</w:t>
      </w:r>
    </w:p>
    <w:p>
      <w:pPr>
        <w:pStyle w:val="Heading1"/>
      </w:pPr>
      <w:r>
        <w:t>Unit RPC-25 Insurance contract vendor journeys</w:t>
      </w:r>
    </w:p>
    <w:p>
      <w:r>
        <w:t>Playwright: CEO creates organisation policy draft; reviewer verifies; event lead evaluates applicability; unknown blocks readiness; evidence resolves; residual decision maker/checker; clause review; vendor assessment; Auditor read-only; System Administrator business denial; cross-event/API denial; 360/tablet/desktop/200%/keyboard.</w:t>
      </w:r>
    </w:p>
    <w:p>
      <w:r>
        <w:t>Run Pack B focused tests and commit coherently. Continue to Pack C.</w:t>
      </w:r>
    </w:p>
    <w:p>
      <w:r>
        <w:br w:type="page"/>
      </w:r>
    </w:p>
    <w:p>
      <w:pPr>
        <w:pStyle w:val="Title"/>
      </w:pPr>
      <w:r>
        <w:t>EOS-S05B Detailed Cursor Pack C Continuity Budget and Experience</w:t>
      </w:r>
    </w:p>
    <w:p>
      <w:r>
        <w:rPr>
          <w:b/>
        </w:rPr>
        <w:t>Status:</w:t>
      </w:r>
      <w:r>
        <w:t xml:space="preserve"> Ratification draft — not independently executable</w:t>
      </w:r>
    </w:p>
    <w:p>
      <w:pPr>
        <w:pStyle w:val="Heading1"/>
      </w:pPr>
      <w:r>
        <w:t>Unit RPC-26 Critical functions</w:t>
      </w:r>
    </w:p>
    <w:p>
      <w:r>
        <w:t>Model event-critical functions and dependencies. Link canonical venue/layout areas, assets and vendor assignments by ID; never copy their truth. Phase-aware requirements must avoid summing phase populations.</w:t>
      </w:r>
    </w:p>
    <w:p>
      <w:pPr>
        <w:pStyle w:val="Heading1"/>
      </w:pPr>
      <w:r>
        <w:t>Unit RPC-27 Continuity plan editions</w:t>
      </w:r>
    </w:p>
    <w:p>
      <w:r>
        <w:t>Implement immutable plan editions with recovery objective, maximum tolerable interruption, primary/standby assignments, prerequisites, evidence, decision roles, communication intents and reserve scenario refs. Submit/approve via maker/checker.</w:t>
      </w:r>
    </w:p>
    <w:p>
      <w:pPr>
        <w:pStyle w:val="Heading1"/>
      </w:pPr>
      <w:r>
        <w:t>Unit RPC-28 Checkpoint templates and schedules</w:t>
      </w:r>
    </w:p>
    <w:p>
      <w:r>
        <w:t>Model 72h/24h/6h as editable approved templates. Generate event checkpoint instances idempotently in the event timezone. DST/timezone formatting must be tested even though Lagos currently uses WAT. Schedule changes supersede outstanding instances truthfully.</w:t>
      </w:r>
    </w:p>
    <w:p>
      <w:pPr>
        <w:pStyle w:val="Heading1"/>
      </w:pPr>
      <w:r>
        <w:t>Unit RPC-29 Check-in evidence</w:t>
      </w:r>
    </w:p>
    <w:p>
      <w:r>
        <w:t>Record confirmed, at-risk or unavailable responses with source and actor. Missed is derived from durable due time and current time. Corrections add lineage. Do not let a reminder delivery receipt count as vendor confirmation.</w:t>
      </w:r>
    </w:p>
    <w:p>
      <w:pPr>
        <w:pStyle w:val="Heading1"/>
      </w:pPr>
      <w:r>
        <w:t>Unit RPC-30 Escalation intents</w:t>
      </w:r>
    </w:p>
    <w:p>
      <w:r>
        <w:t>Missed/high-risk checkpoints create internal escalation proposals and optional communication intents. They do not send. Deduplicate repeated evaluation. Show approval requirement, intended recipient/channel and provider status.</w:t>
      </w:r>
    </w:p>
    <w:p>
      <w:pPr>
        <w:pStyle w:val="Heading1"/>
      </w:pPr>
      <w:r>
        <w:t>Unit RPC-31 Fallback decision workspace</w:t>
      </w:r>
    </w:p>
    <w:p>
      <w:r>
        <w:t>One screen presents trigger evidence, impact, eligible alternatives, unmet prerequisites, contract implications, Budget variance, reserve need and proposed actions. “Authorise fallback plan” records an authorised plan only. Separate controls for any future booking/payment/dispatch remain unavailable in this slice.</w:t>
      </w:r>
    </w:p>
    <w:p>
      <w:pPr>
        <w:pStyle w:val="Heading1"/>
      </w:pPr>
      <w:r>
        <w:t>Unit RPC-32 Activation state machine</w:t>
      </w:r>
    </w:p>
    <w:p>
      <w:r>
        <w:t>Implement transitions in document 07 with expected-version/idempotency enforcement. Authoriser must differ from plan maker for consequential activation. Failure is visible. Cancellation never deletes history.</w:t>
      </w:r>
    </w:p>
    <w:p>
      <w:pPr>
        <w:pStyle w:val="Heading1"/>
      </w:pPr>
      <w:r>
        <w:t>Unit RPC-33 Incident command</w:t>
      </w:r>
    </w:p>
    <w:p>
      <w:r>
        <w:t>Build report, triage, timeline, facts/claims/hypotheses, impacts, decisions, action owners, attachments and closure. Life-safety flag presents human emergency protocol copy without false dispatch. Sensitive/personnel/legal fields use central disclosure.</w:t>
      </w:r>
    </w:p>
    <w:p>
      <w:pPr>
        <w:pStyle w:val="Heading1"/>
      </w:pPr>
      <w:r>
        <w:t>Unit RPC-34 Post-incident learning</w:t>
      </w:r>
    </w:p>
    <w:p>
      <w:r>
        <w:t>Create proposed model/rule/vendor-indicator changes linked to incident evidence. Adoption is a separate authorised edition. Incident facts remain immutable.</w:t>
      </w:r>
    </w:p>
    <w:p>
      <w:pPr>
        <w:pStyle w:val="Heading1"/>
      </w:pPr>
      <w:r>
        <w:t>Unit RPC-35 Risk Budget adapter</w:t>
      </w:r>
    </w:p>
    <w:p>
      <w:r>
        <w:t xml:space="preserve">Create a single adapter into accepted Budget Intelligence. Inputs follow document 08. Reuse Money, scenario editions, computation trace, idempotency and generated-time semantics. Never create </w:t>
      </w:r>
      <w:r>
        <w:rPr>
          <w:rFonts w:ascii="Aptos Mono" w:hAnsi="Aptos Mono"/>
          <w:color w:val="554630"/>
          <w:sz w:val="18"/>
        </w:rPr>
        <w:t>riskBudgetTotal</w:t>
      </w:r>
      <w:r>
        <w:t xml:space="preserve"> as a parallel governing ledger.</w:t>
      </w:r>
    </w:p>
    <w:p>
      <w:pPr>
        <w:pStyle w:val="Heading1"/>
      </w:pPr>
      <w:r>
        <w:t>Unit RPC-36 Exposure calculation</w:t>
      </w:r>
    </w:p>
    <w:p>
      <w:r>
        <w:t>Calculate insurance premium assumptions, deductible exposure, contractual retention, continuity reserve and fallback exposure through a closed AST/model edition. Unknown inputs remain unquantified. Tests must fail if an unevidenced price is invented.</w:t>
      </w:r>
    </w:p>
    <w:p>
      <w:pPr>
        <w:pStyle w:val="Heading1"/>
      </w:pPr>
      <w:r>
        <w:t>Unit RPC-37 Reserve scenario journey</w:t>
      </w:r>
    </w:p>
    <w:p>
      <w:r>
        <w:t>From a current approved Budget scenario, create a risk successor showing governing values, risk assumptions, variance, basis and sources. A 5% example is explicitly labelled a scenario assumption. Identical request replays same IDs/time; changed input creates immutable successor; stale version is not applied.</w:t>
      </w:r>
    </w:p>
    <w:p>
      <w:pPr>
        <w:pStyle w:val="Heading1"/>
      </w:pPr>
      <w:r>
        <w:t>Unit RPC-38 Executive Protection overview</w:t>
      </w:r>
    </w:p>
    <w:p>
      <w:r>
        <w:t>Build CEO no-blind-spots view from document 10. Each headline links to its evidence. Include last-change narrative and “why this is not ready”. Avoid generic cards; use a calm editorial hierarchy and a compact decision queue.</w:t>
      </w:r>
    </w:p>
    <w:p>
      <w:pPr>
        <w:pStyle w:val="Heading1"/>
      </w:pPr>
      <w:r>
        <w:t>Unit RPC-39 Event lead workspace</w:t>
      </w:r>
    </w:p>
    <w:p>
      <w:r>
        <w:t>Prioritise actions due, critical gaps, checkpoints, continuity and incidents. Hide organisation-wide sensitive policy details unless required. Provide contextual next steps rather than exposing domain-state jargon.</w:t>
      </w:r>
    </w:p>
    <w:p>
      <w:pPr>
        <w:pStyle w:val="Heading1"/>
      </w:pPr>
      <w:r>
        <w:t>Unit RPC-40 Client/venue dossier</w:t>
      </w:r>
    </w:p>
    <w:p>
      <w:r>
        <w:t>Assemble permission-safe dossier edition from explicit approved components. Validate freshness and projection compatibility. Maker submits; distinct checker approves; authorised publisher publishes. Publication creates no communication. PDF/PNG or PDF-only exports show status, full hash, edition/publication, generated time and limitations without truncation.</w:t>
      </w:r>
    </w:p>
    <w:p>
      <w:pPr>
        <w:pStyle w:val="Heading1"/>
      </w:pPr>
      <w:r>
        <w:t>Unit RPC-41 Dossier language</w:t>
      </w:r>
    </w:p>
    <w:p>
      <w:r>
        <w:t>Prohibit guarantees and “zero uncovered losses”. Use truthful terms: evidence reviewed as of date, current known gaps, contingency plan prepared, insurer/counsel confirmation required. Client can acknowledge or ask a question without editing staff truth.</w:t>
      </w:r>
    </w:p>
    <w:p>
      <w:pPr>
        <w:pStyle w:val="Heading1"/>
      </w:pPr>
      <w:r>
        <w:t>Unit RPC-42 Responsive and accessible interaction</w:t>
      </w:r>
    </w:p>
    <w:p>
      <w:r>
        <w:t xml:space="preserve">Test 360, 768, 1440 and 200% zoom; no document overflow; touch targets; visible keyboard focus; reduced motion; semantic headings/landmarks; labelled inputs/errors; tables-to-cards; pointer/not-allowed/text cursors. New action results focus once by correlation after verified focus, never </w:t>
      </w:r>
      <w:r>
        <w:rPr>
          <w:rFonts w:ascii="Aptos Mono" w:hAnsi="Aptos Mono"/>
          <w:color w:val="554630"/>
          <w:sz w:val="18"/>
        </w:rPr>
        <w:t>&lt;body&gt;</w:t>
      </w:r>
      <w:r>
        <w:t>.</w:t>
      </w:r>
    </w:p>
    <w:p>
      <w:pPr>
        <w:pStyle w:val="Heading1"/>
      </w:pPr>
      <w:r>
        <w:t>Unit RPC-43 Experience E2E</w:t>
      </w:r>
    </w:p>
    <w:p>
      <w:r>
        <w:t>CEO full journey; client dossier journey; focused Event Director/risk reviewer/Planner/Auditor/System Administrator deltas. Include discovery, evidence, decision and failure paths. Do not repeat identical journeys by role when permission/API tests cover the delta.</w:t>
      </w:r>
    </w:p>
    <w:p>
      <w:r>
        <w:t>Commit Pack C coherently and proceed to Pack D.</w:t>
      </w:r>
    </w:p>
    <w:p>
      <w:r>
        <w:br w:type="page"/>
      </w:r>
    </w:p>
    <w:p>
      <w:pPr>
        <w:pStyle w:val="Title"/>
      </w:pPr>
      <w:r>
        <w:t>EOS-S05B Detailed Cursor Pack D Assurance Deployment and Reporting</w:t>
      </w:r>
    </w:p>
    <w:p>
      <w:r>
        <w:rPr>
          <w:b/>
        </w:rPr>
        <w:t>Status:</w:t>
      </w:r>
      <w:r>
        <w:t xml:space="preserve"> Ratification draft — not independently executable</w:t>
      </w:r>
    </w:p>
    <w:p>
      <w:pPr>
        <w:pStyle w:val="Heading1"/>
      </w:pPr>
      <w:r>
        <w:t>Unit RPC-44 Provider ports</w:t>
      </w:r>
    </w:p>
    <w:p>
      <w:r>
        <w:t>Implement ports and fixture adapters for object store, scan, OCR, source monitoring and communications outbox. Production defaults inactive unless existing accepted infrastructure applies. Negative adapters live in tests and never production barrels.</w:t>
      </w:r>
    </w:p>
    <w:p>
      <w:pPr>
        <w:pStyle w:val="Heading1"/>
      </w:pPr>
      <w:r>
        <w:t>Unit RPC-45 Security tests</w:t>
      </w:r>
    </w:p>
    <w:p>
      <w:r>
        <w:t>Test IDOR, cross-org/event access, forged assignment, object-key leakage, privileged export reuse, unsafe MIME, oversized upload, path/script filenames, markup, prompt injection, stale signed/route access, mass assignment and server-only permissions.</w:t>
      </w:r>
    </w:p>
    <w:p>
      <w:pPr>
        <w:pStyle w:val="Heading1"/>
      </w:pPr>
      <w:r>
        <w:t>Unit RPC-46 Concurrency and idempotency</w:t>
      </w:r>
    </w:p>
    <w:p>
      <w:r>
        <w:t>Two-tab tests for policy edit, residual-risk decision, plan activation, incident update and dossier publication. Conflict disables only the affected action. F5 reconciles canonical state. Replay reports no change. One current publication and one applied effect per stable key.</w:t>
      </w:r>
    </w:p>
    <w:p>
      <w:pPr>
        <w:pStyle w:val="Heading1"/>
      </w:pPr>
      <w:r>
        <w:t>Unit RPC-47 Evaluation corpus</w:t>
      </w:r>
    </w:p>
    <w:p>
      <w:r>
        <w:t xml:space="preserve">Implement </w:t>
      </w:r>
      <w:r>
        <w:rPr>
          <w:rFonts w:ascii="Aptos Mono" w:hAnsi="Aptos Mono"/>
          <w:color w:val="554630"/>
          <w:sz w:val="18"/>
        </w:rPr>
        <w:t>s05b-eval-v1</w:t>
      </w:r>
      <w:r>
        <w:t xml:space="preserve"> as document 11 requires. Each case executes production functions against isolated synthetic stores and persists case observations. Never pass from case-authored booleans. Add mutation-sensitive negative adapters for fabricated coverage, invented price, trait scoring, authority escalation, cross-scope leakage, silent dispatch and false success.</w:t>
      </w:r>
    </w:p>
    <w:p>
      <w:pPr>
        <w:pStyle w:val="Heading1"/>
      </w:pPr>
      <w:r>
        <w:t>Unit RPC-48 Readiness</w:t>
      </w:r>
    </w:p>
    <w:p>
      <w:r>
        <w:t xml:space="preserve">Expose </w:t>
      </w:r>
      <w:r>
        <w:rPr>
          <w:rFonts w:ascii="Aptos Mono" w:hAnsi="Aptos Mono"/>
          <w:color w:val="554630"/>
          <w:sz w:val="18"/>
        </w:rPr>
        <w:t>s05bEvaluationStatus</w:t>
      </w:r>
      <w:r>
        <w:t>, blocked, corpus edition/hash/count, contract/model editions and release-ready. Truth table: no run UNRUN blocked; active RUNNING blocked; old corpus STALE blocked; missing case rows/version mismatch INCOMPATIBLE blocked; any failed/zero-tolerance ERROR/FAILED blocked; only complete current pass unblocks fixture readiness.</w:t>
      </w:r>
    </w:p>
    <w:p>
      <w:pPr>
        <w:pStyle w:val="Heading1"/>
      </w:pPr>
      <w:r>
        <w:t>Unit RPC-49 Full automated gates</w:t>
      </w:r>
    </w:p>
    <w:p>
      <w:r>
        <w:t>Run, in order:</w:t>
      </w:r>
    </w:p>
    <w:p>
      <w:pPr>
        <w:ind w:left="288"/>
      </w:pPr>
      <w:r>
        <w:rPr>
          <w:rFonts w:ascii="Aptos Mono" w:hAnsi="Aptos Mono"/>
          <w:color w:val="11100F"/>
          <w:sz w:val="16"/>
        </w:rPr>
        <w:t>focused risk tests</w:t>
        <w:br/>
        <w:t>pnpm typecheck</w:t>
        <w:br/>
        <w:t>pnpm --filter @maison-doclar/shared-platform test</w:t>
        <w:br/>
        <w:t>pnpm --filter @maison-doclar/event-os test</w:t>
        <w:br/>
        <w:t>pnpm programme:validate</w:t>
        <w:br/>
        <w:t>pnpm --filter @maison-doclar/event-os build</w:t>
        <w:br/>
        <w:t>git diff --check</w:t>
        <w:br/>
        <w:t>focused local Playwright</w:t>
        <w:br/>
        <w:t>whole material local journey</w:t>
      </w:r>
    </w:p>
    <w:p>
      <w:r>
        <w:t>Record every first-run failure, root cause, correction and rerun. A retry does not erase product evidence.</w:t>
      </w:r>
    </w:p>
    <w:p>
      <w:pPr>
        <w:pStyle w:val="Heading1"/>
      </w:pPr>
      <w:r>
        <w:t>Unit RPC-50 Control records</w:t>
      </w:r>
    </w:p>
    <w:p>
      <w:r>
        <w:t>Update only proportionate canonical records: implementation record, build ledger, current state, evidence index, successor register, compatibility/authority registers, roadmap/product manifest and technical debt when genuine. Do not mark accepted. Historic prompts remain historical.</w:t>
      </w:r>
    </w:p>
    <w:p>
      <w:pPr>
        <w:pStyle w:val="Heading1"/>
      </w:pPr>
      <w:r>
        <w:t>Unit RPC-51 GitHub parity</w:t>
      </w:r>
    </w:p>
    <w:p>
      <w:r>
        <w:t>Commit focused units with honest messages. Pull/reconcile non-destructively if required. Push normally. Prove local HEAD = origin/main = GitHub main. No force push or history rewrite.</w:t>
      </w:r>
    </w:p>
    <w:p>
      <w:pPr>
        <w:pStyle w:val="Heading1"/>
      </w:pPr>
      <w:r>
        <w:t>Unit RPC-52 Railway configuration</w:t>
      </w:r>
    </w:p>
    <w:p>
      <w:r>
        <w:t>List exact required variables before setting them: name, event-os service, secret/non-secret, purpose and owner. Use existing configured credentials normally. Stop for genuinely human-controlled secret values. Never print secrets.</w:t>
      </w:r>
    </w:p>
    <w:p>
      <w:pPr>
        <w:pStyle w:val="Heading1"/>
      </w:pPr>
      <w:r>
        <w:t>Unit RPC-53 Deployment</w:t>
      </w:r>
    </w:p>
    <w:p>
      <w:r>
        <w:t>Deploy Event OS only unless Control Tower executable code actually changed. Verify deployment SUCCESS and exact SHA, health/readiness, POSTGRES, migrations APPLIED, production false, adapter states and fail-closed S05B evaluation. Run current CEO fixture corpus if authorised by the implementation prompt, then confirm current PASS.</w:t>
      </w:r>
    </w:p>
    <w:p>
      <w:pPr>
        <w:pStyle w:val="Heading1"/>
      </w:pPr>
      <w:r>
        <w:t>Unit RPC-54 Live synthetic smoke</w:t>
      </w:r>
    </w:p>
    <w:p>
      <w:r>
        <w:t>Create uniquely labelled synthetic records only. Exercise policy evidence, applicability/gap, clause review, vendor assessment, continuity/checkpoint, fallback proposal/no external effect, risk Budget scenario, incident and dossier. Verify refresh persistence and one concurrency conflict. Do not use real venue/vendor/client data.</w:t>
      </w:r>
    </w:p>
    <w:p>
      <w:pPr>
        <w:pStyle w:val="Heading1"/>
      </w:pPr>
      <w:r>
        <w:t>Unit RPC-55 Evidence package</w:t>
      </w:r>
    </w:p>
    <w:p>
      <w:r>
        <w:t>Return one consolidated report containing:</w:t>
      </w:r>
    </w:p>
    <w:p>
      <w:pPr>
        <w:pStyle w:val="ListNumber"/>
      </w:pPr>
      <w:r>
        <w:t>starting/final/application/documentation SHAs;</w:t>
      </w:r>
    </w:p>
    <w:p>
      <w:pPr>
        <w:pStyle w:val="ListNumber"/>
      </w:pPr>
      <w:r>
        <w:t>commits and changed files;</w:t>
      </w:r>
    </w:p>
    <w:p>
      <w:pPr>
        <w:pStyle w:val="ListNumber"/>
      </w:pPr>
      <w:r>
        <w:t>architecture and migrations;</w:t>
      </w:r>
    </w:p>
    <w:p>
      <w:pPr>
        <w:pStyle w:val="ListNumber"/>
      </w:pPr>
      <w:r>
        <w:t>entity/state/invariant delivery;</w:t>
      </w:r>
    </w:p>
    <w:p>
      <w:pPr>
        <w:pStyle w:val="ListNumber"/>
      </w:pPr>
      <w:r>
        <w:t>permission/maker-checker matrix;</w:t>
      </w:r>
    </w:p>
    <w:p>
      <w:pPr>
        <w:pStyle w:val="ListNumber"/>
      </w:pPr>
      <w:r>
        <w:t>insurance/rule/gap evidence;</w:t>
      </w:r>
    </w:p>
    <w:p>
      <w:pPr>
        <w:pStyle w:val="ListNumber"/>
      </w:pPr>
      <w:r>
        <w:t>contract/vendor evidence;</w:t>
      </w:r>
    </w:p>
    <w:p>
      <w:pPr>
        <w:pStyle w:val="ListNumber"/>
      </w:pPr>
      <w:r>
        <w:t>continuity/incident evidence;</w:t>
      </w:r>
    </w:p>
    <w:p>
      <w:pPr>
        <w:pStyle w:val="ListNumber"/>
      </w:pPr>
      <w:r>
        <w:t>Budget integration and trace;</w:t>
      </w:r>
    </w:p>
    <w:p>
      <w:pPr>
        <w:pStyle w:val="ListNumber"/>
      </w:pPr>
      <w:r>
        <w:t>UX/accessibility evidence;</w:t>
      </w:r>
    </w:p>
    <w:p>
      <w:pPr>
        <w:pStyle w:val="ListNumber"/>
      </w:pPr>
      <w:r>
        <w:t>security/concurrency/idempotency;</w:t>
      </w:r>
    </w:p>
    <w:p>
      <w:pPr>
        <w:pStyle w:val="ListNumber"/>
      </w:pPr>
      <w:r>
        <w:t>evaluation corpus edition/hash/cases/negative controls;</w:t>
      </w:r>
    </w:p>
    <w:p>
      <w:pPr>
        <w:pStyle w:val="ListNumber"/>
      </w:pPr>
      <w:r>
        <w:t>all first-run failures;</w:t>
      </w:r>
    </w:p>
    <w:p>
      <w:pPr>
        <w:pStyle w:val="ListNumber"/>
      </w:pPr>
      <w:r>
        <w:t>full gates;</w:t>
      </w:r>
    </w:p>
    <w:p>
      <w:pPr>
        <w:pStyle w:val="ListNumber"/>
      </w:pPr>
      <w:r>
        <w:t>GitHub parity;</w:t>
      </w:r>
    </w:p>
    <w:p>
      <w:pPr>
        <w:pStyle w:val="ListNumber"/>
      </w:pPr>
      <w:r>
        <w:t>Railway deployment/readiness;</w:t>
      </w:r>
    </w:p>
    <w:p>
      <w:pPr>
        <w:pStyle w:val="ListNumber"/>
      </w:pPr>
      <w:r>
        <w:t>live smoke;</w:t>
      </w:r>
    </w:p>
    <w:p>
      <w:pPr>
        <w:pStyle w:val="ListNumber"/>
      </w:pPr>
      <w:r>
        <w:t>variables/adapters and external effects confirmed inactive;</w:t>
      </w:r>
    </w:p>
    <w:p>
      <w:pPr>
        <w:pStyle w:val="ListNumber"/>
      </w:pPr>
      <w:r>
        <w:t>genuine debt;</w:t>
      </w:r>
    </w:p>
    <w:p>
      <w:pPr>
        <w:pStyle w:val="ListNumber"/>
      </w:pPr>
      <w:r>
        <w:t>rollback/forward recovery;</w:t>
      </w:r>
    </w:p>
    <w:p>
      <w:pPr>
        <w:pStyle w:val="ListNumber"/>
      </w:pPr>
      <w:r>
        <w:t>explicit EOS-S05B not accepted and EOS-S06 not started.</w:t>
      </w:r>
    </w:p>
    <w:p>
      <w:pPr>
        <w:pStyle w:val="Heading1"/>
      </w:pPr>
      <w:r>
        <w:t>Completion stop</w:t>
      </w:r>
    </w:p>
    <w:p>
      <w:r>
        <w:t>Stop after the consolidated report for independent AI CTO review. Cursor must not write an acceptance record, increment catalogue count, start EOS-S06, enable production, activate external providers or ask Claude to accept.</w:t>
      </w:r>
    </w:p>
    <w:p>
      <w:r>
        <w:br w:type="page"/>
      </w:r>
    </w:p>
    <w:p>
      <w:pPr>
        <w:pStyle w:val="Title"/>
      </w:pPr>
      <w:r>
        <w:t>EOS-S05B Independent Claude Verification and Acceptance</w:t>
      </w:r>
    </w:p>
    <w:p>
      <w:r>
        <w:rPr>
          <w:b/>
        </w:rPr>
        <w:t>Status:</w:t>
      </w:r>
      <w:r>
        <w:t xml:space="preserve"> CEO review draft</w:t>
      </w:r>
    </w:p>
    <w:p>
      <w:pPr>
        <w:pStyle w:val="Heading1"/>
      </w:pPr>
      <w:r>
        <w:t>Timing</w:t>
      </w:r>
    </w:p>
    <w:p>
      <w:r>
        <w:t>Run Claude once after Cursor completes and deploys the whole substantial slice, not after every module. Use targeted remediation passes only for changed risks.</w:t>
      </w:r>
    </w:p>
    <w:p>
      <w:pPr>
        <w:pStyle w:val="Heading1"/>
      </w:pPr>
      <w:r>
        <w:t>Role strategy</w:t>
      </w:r>
    </w:p>
    <w:p>
      <w:pPr>
        <w:pStyle w:val="ListBullet"/>
      </w:pPr>
      <w:r>
        <w:t>CEO: full staff journey and no-blind-spots assessment.</w:t>
      </w:r>
    </w:p>
    <w:p>
      <w:pPr>
        <w:pStyle w:val="ListBullet"/>
      </w:pPr>
      <w:r>
        <w:t>Client: separate private session and dossier journey.</w:t>
      </w:r>
    </w:p>
    <w:p>
      <w:pPr>
        <w:pStyle w:val="ListBullet"/>
      </w:pPr>
      <w:r>
        <w:t>Event Director/risk reviewer/Planner/Auditor/System Administrator: focused permission and projection deltas only.</w:t>
      </w:r>
    </w:p>
    <w:p>
      <w:r>
        <w:t>CEO visibility does not prove least privilege, so role deltas remain necessary; it does avoid quadrupling the full journey.</w:t>
      </w:r>
    </w:p>
    <w:p>
      <w:pPr>
        <w:pStyle w:val="Heading1"/>
      </w:pPr>
      <w:r>
        <w:t>Deployment gate</w:t>
      </w:r>
    </w:p>
    <w:p>
      <w:r>
        <w:t>Claude first verifies exact application SHA, Railway project/service/URL, POSTGRES, migrations, production false, adapter readiness and S05B evaluation status. A mismatch blocks testing.</w:t>
      </w:r>
    </w:p>
    <w:p>
      <w:pPr>
        <w:pStyle w:val="Heading1"/>
      </w:pPr>
      <w:r>
        <w:t>Whole-slice journeys</w:t>
      </w:r>
    </w:p>
    <w:p>
      <w:pPr>
        <w:pStyle w:val="ListNumber"/>
      </w:pPr>
      <w:r>
        <w:t>Organisation policy/rule creation, independent review and supersession.</w:t>
      </w:r>
    </w:p>
    <w:p>
      <w:pPr>
        <w:pStyle w:val="ListNumber"/>
      </w:pPr>
      <w:r>
        <w:t>Event applicability with unknown fact, evidence resolution and gap trace.</w:t>
      </w:r>
    </w:p>
    <w:p>
      <w:pPr>
        <w:pStyle w:val="ListNumber"/>
      </w:pPr>
      <w:r>
        <w:t>Certificate expiry/conflict and safe document retrieval.</w:t>
      </w:r>
    </w:p>
    <w:p>
      <w:pPr>
        <w:pStyle w:val="ListNumber"/>
      </w:pPr>
      <w:r>
        <w:t>Residual risk maker/checker and same-input reevaluation lineage.</w:t>
      </w:r>
    </w:p>
    <w:p>
      <w:pPr>
        <w:pStyle w:val="ListNumber"/>
      </w:pPr>
      <w:r>
        <w:t>Clause legal/commercial review without enforceability claim or payment.</w:t>
      </w:r>
    </w:p>
    <w:p>
      <w:pPr>
        <w:pStyle w:val="ListNumber"/>
      </w:pPr>
      <w:r>
        <w:t>Vendor assessment factors, unknowns, manual decision and no sensitive inference.</w:t>
      </w:r>
    </w:p>
    <w:p>
      <w:pPr>
        <w:pStyle w:val="ListNumber"/>
      </w:pPr>
      <w:r>
        <w:t>Primary/standby readiness and missed checkpoint without automatic dispatch.</w:t>
      </w:r>
    </w:p>
    <w:p>
      <w:pPr>
        <w:pStyle w:val="ListNumber"/>
      </w:pPr>
      <w:r>
        <w:t>Fallback authorisation without booking, payment or reserve movement.</w:t>
      </w:r>
    </w:p>
    <w:p>
      <w:pPr>
        <w:pStyle w:val="ListNumber"/>
      </w:pPr>
      <w:r>
        <w:t>Incident chronology, sensitive projection and post-incident proposal.</w:t>
      </w:r>
    </w:p>
    <w:p>
      <w:pPr>
        <w:pStyle w:val="ListNumber"/>
      </w:pPr>
      <w:r>
        <w:t>Risk Budget successor with explicit scenario assumptions, trace, replay and governing Budget unchanged.</w:t>
      </w:r>
    </w:p>
    <w:p>
      <w:pPr>
        <w:pStyle w:val="ListNumber"/>
      </w:pPr>
      <w:r>
        <w:t>Client/venue dossier approval, publication, permission-safe download and no dispatch.</w:t>
      </w:r>
    </w:p>
    <w:p>
      <w:pPr>
        <w:pStyle w:val="ListNumber"/>
      </w:pPr>
      <w:r>
        <w:t>Cross-event/organisation, direct-route and System Administrator denials.</w:t>
      </w:r>
    </w:p>
    <w:p>
      <w:pPr>
        <w:pStyle w:val="ListNumber"/>
      </w:pPr>
      <w:r>
        <w:t>Two-tab conflict, refresh persistence, false-success and action-result focus.</w:t>
      </w:r>
    </w:p>
    <w:p>
      <w:pPr>
        <w:pStyle w:val="ListNumber"/>
      </w:pPr>
      <w:r>
        <w:t>Human UX: findability, labels, spacing, hierarchy, errors, responsive, keyboard, focus, zoom and cognitive load.</w:t>
      </w:r>
    </w:p>
    <w:p>
      <w:pPr>
        <w:pStyle w:val="Heading1"/>
      </w:pPr>
      <w:r>
        <w:t>Evidence standard</w:t>
      </w:r>
    </w:p>
    <w:p>
      <w:r>
        <w:t>Record first-run failures. Distinguish product defect, environment, test harness and browser-tool limitation. Inspect binary exports where authorised. Verify that denied UI actions are also denied directly. Confirm confidential fields cannot be recovered through alternate surfaces, attributes, cached exports or routes.</w:t>
      </w:r>
    </w:p>
    <w:p>
      <w:pPr>
        <w:pStyle w:val="Heading1"/>
      </w:pPr>
      <w:r>
        <w:t>UX reporting</w:t>
      </w:r>
    </w:p>
    <w:p>
      <w:r>
        <w:t>Claude should explain the human consequence and recommend the required interaction/technical correction precisely enough for ChatGPT to write a bounded Cursor prompt. It may name components, states, copy and acceptance tests; it should not invent code without repository inspection.</w:t>
      </w:r>
    </w:p>
    <w:p>
      <w:pPr>
        <w:pStyle w:val="Heading1"/>
      </w:pPr>
      <w:r>
        <w:t>Verdict</w:t>
      </w:r>
    </w:p>
    <w:p>
      <w:r>
        <w:t xml:space="preserve">Return </w:t>
      </w:r>
      <w:r>
        <w:rPr>
          <w:rFonts w:ascii="Aptos Mono" w:hAnsi="Aptos Mono"/>
          <w:color w:val="554630"/>
          <w:sz w:val="18"/>
        </w:rPr>
        <w:t>READY</w:t>
      </w:r>
      <w:r>
        <w:t xml:space="preserve">, </w:t>
      </w:r>
      <w:r>
        <w:rPr>
          <w:rFonts w:ascii="Aptos Mono" w:hAnsi="Aptos Mono"/>
          <w:color w:val="554630"/>
          <w:sz w:val="18"/>
        </w:rPr>
        <w:t>NOT READY</w:t>
      </w:r>
      <w:r>
        <w:t xml:space="preserve"> or </w:t>
      </w:r>
      <w:r>
        <w:rPr>
          <w:rFonts w:ascii="Aptos Mono" w:hAnsi="Aptos Mono"/>
          <w:color w:val="554630"/>
          <w:sz w:val="18"/>
        </w:rPr>
        <w:t>BLOCKED</w:t>
      </w:r>
      <w:r>
        <w:t xml:space="preserve">. Claude never accepts EOS-S05B. ChatGPT compares Claude evidence, Cursor report and sensitive code, then decides </w:t>
      </w:r>
      <w:r>
        <w:rPr>
          <w:rFonts w:ascii="Aptos Mono" w:hAnsi="Aptos Mono"/>
          <w:color w:val="554630"/>
          <w:sz w:val="18"/>
        </w:rPr>
        <w:t>ACCEPTED</w:t>
      </w:r>
      <w:r>
        <w:t xml:space="preserve">, </w:t>
      </w:r>
      <w:r>
        <w:rPr>
          <w:rFonts w:ascii="Aptos Mono" w:hAnsi="Aptos Mono"/>
          <w:color w:val="554630"/>
          <w:sz w:val="18"/>
        </w:rPr>
        <w:t>REMEDIATION REQUIRED</w:t>
      </w:r>
      <w:r>
        <w:t xml:space="preserve"> or </w:t>
      </w:r>
      <w:r>
        <w:rPr>
          <w:rFonts w:ascii="Aptos Mono" w:hAnsi="Aptos Mono"/>
          <w:color w:val="554630"/>
          <w:sz w:val="18"/>
        </w:rPr>
        <w:t>BLOCKED</w:t>
      </w:r>
      <w:r>
        <w:t>.</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E64"/>
        <w:sz w:val="16"/>
      </w:rPr>
      <w:t>Maison Doclar  |  EOS-S05B CEO review draft  |  Not implementation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11100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eorgia" w:hAnsi="Georgia"/>
      <w:b/>
      <w:bCs/>
      <w:color w:val="8B6E3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Georgia" w:hAnsi="Georgia"/>
      <w:b/>
      <w:bCs/>
      <w:color w:val="1110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1100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EOS S05B Risk Protection and Continuity Command</dc:title>
  <dc:subject>CEO ratification requirements and detailed Cursor implementation pack</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