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Arial" w:hAnsi="Arial"/>
          <w:b/>
          <w:color w:val="B79F85"/>
          <w:sz w:val="22"/>
        </w:rPr>
        <w:t>MAISON DOCLAR</w:t>
      </w:r>
    </w:p>
    <w:p>
      <w:pPr>
        <w:pStyle w:val="Title"/>
        <w:jc w:val="center"/>
      </w:pPr>
      <w:r>
        <w:t>EOS-S04C</w:t>
      </w:r>
    </w:p>
    <w:p>
      <w:pPr>
        <w:pStyle w:val="Subtitle"/>
        <w:jc w:val="center"/>
      </w:pPr>
      <w:r>
        <w:t>Aso-Ebi, Aso-Oke &amp; Event Merchandise Coordination</w:t>
      </w:r>
    </w:p>
    <w:p>
      <w:pPr>
        <w:spacing w:after="560"/>
        <w:jc w:val="center"/>
      </w:pPr>
      <w:r>
        <w:rPr>
          <w:rFonts w:ascii="Arial" w:hAnsi="Arial"/>
          <w:b/>
          <w:color w:val="67727A"/>
          <w:sz w:val="18"/>
        </w:rPr>
        <w:t>CONTROLLED CURSOR PROMPT PACK · VERSION 1.0</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2100"/>
        <w:gridCol w:w="7260"/>
      </w:tblGrid>
      <w:tr>
        <w:tc>
          <w:tcPr>
            <w:tcW w:type="dxa" w:w="2100"/>
            <w:vAlign w:val="center"/>
            <w:shd w:fill="E8EEF2"/>
          </w:tcPr>
          <w:p>
            <w:pPr>
              <w:spacing w:after="0"/>
            </w:pPr>
            <w:r>
              <w:rPr>
                <w:rFonts w:ascii="Arial" w:hAnsi="Arial"/>
                <w:b/>
                <w:color w:val="20262B"/>
                <w:sz w:val="17"/>
              </w:rPr>
              <w:t>Control</w:t>
            </w:r>
          </w:p>
        </w:tc>
        <w:tc>
          <w:tcPr>
            <w:tcW w:type="dxa" w:w="7260"/>
            <w:vAlign w:val="center"/>
            <w:shd w:fill="E8EEF2"/>
          </w:tcPr>
          <w:p>
            <w:pPr>
              <w:spacing w:after="0"/>
            </w:pPr>
            <w:r>
              <w:rPr>
                <w:rFonts w:ascii="Arial" w:hAnsi="Arial"/>
                <w:b/>
                <w:color w:val="20262B"/>
                <w:sz w:val="17"/>
              </w:rPr>
              <w:t>Value</w:t>
            </w:r>
          </w:p>
        </w:tc>
      </w:tr>
      <w:tr>
        <w:tc>
          <w:tcPr>
            <w:tcW w:type="dxa" w:w="2100"/>
            <w:vAlign w:val="center"/>
          </w:tcPr>
          <w:p>
            <w:pPr>
              <w:spacing w:after="0"/>
            </w:pPr>
            <w:r>
              <w:rPr>
                <w:rFonts w:ascii="Arial" w:hAnsi="Arial"/>
                <w:b w:val="0"/>
                <w:color w:val="20262B"/>
                <w:sz w:val="17"/>
              </w:rPr>
              <w:t>Execution model</w:t>
            </w:r>
          </w:p>
        </w:tc>
        <w:tc>
          <w:tcPr>
            <w:tcW w:type="dxa" w:w="7260"/>
            <w:vAlign w:val="center"/>
          </w:tcPr>
          <w:p>
            <w:pPr>
              <w:spacing w:after="0"/>
            </w:pPr>
            <w:r>
              <w:rPr>
                <w:rFonts w:ascii="Arial" w:hAnsi="Arial"/>
                <w:b w:val="0"/>
                <w:color w:val="20262B"/>
                <w:sz w:val="17"/>
              </w:rPr>
              <w:t>Continuous within this slice; meaningful STOP thresholds only</w:t>
            </w:r>
          </w:p>
        </w:tc>
      </w:tr>
      <w:tr>
        <w:tc>
          <w:tcPr>
            <w:tcW w:type="dxa" w:w="2100"/>
            <w:vAlign w:val="center"/>
          </w:tcPr>
          <w:p>
            <w:pPr>
              <w:spacing w:after="0"/>
            </w:pPr>
            <w:r>
              <w:rPr>
                <w:rFonts w:ascii="Arial" w:hAnsi="Arial"/>
                <w:b w:val="0"/>
                <w:color w:val="20262B"/>
                <w:sz w:val="17"/>
              </w:rPr>
              <w:t>Prompts</w:t>
            </w:r>
          </w:p>
        </w:tc>
        <w:tc>
          <w:tcPr>
            <w:tcW w:type="dxa" w:w="7260"/>
            <w:vAlign w:val="center"/>
          </w:tcPr>
          <w:p>
            <w:pPr>
              <w:spacing w:after="0"/>
            </w:pPr>
            <w:r>
              <w:rPr>
                <w:rFonts w:ascii="Arial" w:hAnsi="Arial"/>
                <w:b w:val="0"/>
                <w:color w:val="20262B"/>
                <w:sz w:val="17"/>
              </w:rPr>
              <w:t>12 ordered units, P00–P11</w:t>
            </w:r>
          </w:p>
        </w:tc>
      </w:tr>
      <w:tr>
        <w:tc>
          <w:tcPr>
            <w:tcW w:type="dxa" w:w="2100"/>
            <w:vAlign w:val="center"/>
          </w:tcPr>
          <w:p>
            <w:pPr>
              <w:spacing w:after="0"/>
            </w:pPr>
            <w:r>
              <w:rPr>
                <w:rFonts w:ascii="Arial" w:hAnsi="Arial"/>
                <w:b w:val="0"/>
                <w:color w:val="20262B"/>
                <w:sz w:val="17"/>
              </w:rPr>
              <w:t>Repository</w:t>
            </w:r>
          </w:p>
        </w:tc>
        <w:tc>
          <w:tcPr>
            <w:tcW w:type="dxa" w:w="7260"/>
            <w:vAlign w:val="center"/>
          </w:tcPr>
          <w:p>
            <w:pPr>
              <w:spacing w:after="0"/>
            </w:pPr>
            <w:r>
              <w:rPr>
                <w:rFonts w:ascii="Arial" w:hAnsi="Arial"/>
                <w:b w:val="0"/>
                <w:color w:val="20262B"/>
                <w:sz w:val="17"/>
              </w:rPr>
              <w:t>kglaw-Oluseyi/atelier-doclar only</w:t>
            </w:r>
          </w:p>
        </w:tc>
      </w:tr>
      <w:tr>
        <w:tc>
          <w:tcPr>
            <w:tcW w:type="dxa" w:w="2100"/>
            <w:vAlign w:val="center"/>
          </w:tcPr>
          <w:p>
            <w:pPr>
              <w:spacing w:after="0"/>
            </w:pPr>
            <w:r>
              <w:rPr>
                <w:rFonts w:ascii="Arial" w:hAnsi="Arial"/>
                <w:b w:val="0"/>
                <w:color w:val="20262B"/>
                <w:sz w:val="17"/>
              </w:rPr>
              <w:t>Railway</w:t>
            </w:r>
          </w:p>
        </w:tc>
        <w:tc>
          <w:tcPr>
            <w:tcW w:type="dxa" w:w="7260"/>
            <w:vAlign w:val="center"/>
          </w:tcPr>
          <w:p>
            <w:pPr>
              <w:spacing w:after="0"/>
            </w:pPr>
            <w:r>
              <w:rPr>
                <w:rFonts w:ascii="Arial" w:hAnsi="Arial"/>
                <w:b w:val="0"/>
                <w:color w:val="20262B"/>
                <w:sz w:val="17"/>
              </w:rPr>
              <w:t>atelier-doclar only; no action or deployment</w:t>
            </w:r>
          </w:p>
        </w:tc>
      </w:tr>
      <w:tr>
        <w:tc>
          <w:tcPr>
            <w:tcW w:type="dxa" w:w="2100"/>
            <w:vAlign w:val="center"/>
          </w:tcPr>
          <w:p>
            <w:pPr>
              <w:spacing w:after="0"/>
            </w:pPr>
            <w:r>
              <w:rPr>
                <w:rFonts w:ascii="Arial" w:hAnsi="Arial"/>
                <w:b w:val="0"/>
                <w:color w:val="20262B"/>
                <w:sz w:val="17"/>
              </w:rPr>
              <w:t>Push</w:t>
            </w:r>
          </w:p>
        </w:tc>
        <w:tc>
          <w:tcPr>
            <w:tcW w:type="dxa" w:w="7260"/>
            <w:vAlign w:val="center"/>
          </w:tcPr>
          <w:p>
            <w:pPr>
              <w:spacing w:after="0"/>
            </w:pPr>
            <w:r>
              <w:rPr>
                <w:rFonts w:ascii="Arial" w:hAnsi="Arial"/>
                <w:b w:val="0"/>
                <w:color w:val="20262B"/>
                <w:sz w:val="17"/>
              </w:rPr>
              <w:t>Held for independent end-of-slice review</w:t>
            </w:r>
          </w:p>
        </w:tc>
      </w:tr>
      <w:tr>
        <w:tc>
          <w:tcPr>
            <w:tcW w:type="dxa" w:w="2100"/>
            <w:vAlign w:val="center"/>
          </w:tcPr>
          <w:p>
            <w:pPr>
              <w:spacing w:after="0"/>
            </w:pPr>
            <w:r>
              <w:rPr>
                <w:rFonts w:ascii="Arial" w:hAnsi="Arial"/>
                <w:b w:val="0"/>
                <w:color w:val="20262B"/>
                <w:sz w:val="17"/>
              </w:rPr>
              <w:t>Production</w:t>
            </w:r>
          </w:p>
        </w:tc>
        <w:tc>
          <w:tcPr>
            <w:tcW w:type="dxa" w:w="7260"/>
            <w:vAlign w:val="center"/>
          </w:tcPr>
          <w:p>
            <w:pPr>
              <w:spacing w:after="0"/>
            </w:pPr>
            <w:r>
              <w:rPr>
                <w:rFonts w:ascii="Arial" w:hAnsi="Arial"/>
                <w:b w:val="0"/>
                <w:color w:val="20262B"/>
                <w:sz w:val="17"/>
              </w:rPr>
              <w:t>Unauthorised; protected gates remain unsigned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SLICE OUTCOME</w:t>
            </w:r>
          </w:p>
        </w:tc>
        <w:tc>
          <w:tcPr>
            <w:tcW w:type="dxa" w:w="7860"/>
            <w:vAlign w:val="center"/>
            <w:shd w:fill="F7F3EF"/>
          </w:tcPr>
          <w:p>
            <w:pPr>
              <w:spacing w:after="0"/>
            </w:pPr>
            <w:r>
              <w:rPr>
                <w:rFonts w:ascii="Arial" w:hAnsi="Arial"/>
                <w:b/>
                <w:color w:val="20262B"/>
                <w:sz w:val="17"/>
              </w:rPr>
              <w:t>Coordinate host offers, private guest choices, minimal measurement, vendor handoff and fulfilment while Maison Doclar never receives guest money or becomes a marketplace.</w:t>
            </w:r>
          </w:p>
        </w:tc>
      </w:tr>
    </w:tbl>
    <w:p>
      <w:pPr>
        <w:spacing w:after="40"/>
      </w:pPr>
    </w:p>
    <w:p>
      <w:r>
        <w:br w:type="page"/>
      </w:r>
    </w:p>
    <w:p>
      <w:pPr>
        <w:pStyle w:val="Heading1"/>
      </w:pPr>
      <w:r>
        <w:t>1. Execution charter</w:t>
      </w:r>
    </w:p>
    <w:p>
      <w:r>
        <w:t>This pack converts the CEO-ratified controlled slice into bounded Cursor work. Cursor may proceed from one prompt to the next only when the current gate passes. It must never combine slices or treat continued execution as authority to push, deploy or change production governance.</w:t>
      </w:r>
    </w:p>
    <w:p>
      <w:pPr>
        <w:pStyle w:val="Heading2"/>
      </w:pPr>
      <w:r>
        <w:t>1.1 Automatic continuation rule</w:t>
      </w:r>
    </w:p>
    <w:p>
      <w:pPr>
        <w:pStyle w:val="ListNumber"/>
      </w:pPr>
      <w:r>
        <w:t>Complete the current prompt exactly.</w:t>
      </w:r>
    </w:p>
    <w:p>
      <w:pPr>
        <w:pStyle w:val="ListNumber"/>
      </w:pPr>
      <w:r>
        <w:t>Run its required verification and inspect the diff.</w:t>
      </w:r>
    </w:p>
    <w:p>
      <w:pPr>
        <w:pStyle w:val="ListNumber"/>
      </w:pPr>
      <w:r>
        <w:t>Create the focused local commit when instructed.</w:t>
      </w:r>
    </w:p>
    <w:p>
      <w:pPr>
        <w:pStyle w:val="ListNumber"/>
      </w:pPr>
      <w:r>
        <w:t>Append the result to the cumulative build ledger.</w:t>
      </w:r>
    </w:p>
    <w:p>
      <w:pPr>
        <w:pStyle w:val="ListNumber"/>
      </w:pPr>
      <w:r>
        <w:t>Continue to the next prompt without waiting only when every gate passes and no STOP condition exists.</w:t>
      </w:r>
    </w:p>
    <w:p>
      <w:pPr>
        <w:pStyle w:val="Heading2"/>
      </w:pPr>
      <w:r>
        <w:t>1.2 Meaningful STOP thresholds</w:t>
      </w:r>
    </w:p>
    <w:p>
      <w:pPr>
        <w:pStyle w:val="ListBullet"/>
      </w:pPr>
      <w:r>
        <w:t>Controlling-document contradiction or unresolved authority decision.</w:t>
      </w:r>
    </w:p>
    <w:p>
      <w:pPr>
        <w:pStyle w:val="ListBullet"/>
      </w:pPr>
      <w:r>
        <w:t>Remote main advances, worktree contains unexplained changes, or user work could be overwritten.</w:t>
      </w:r>
    </w:p>
    <w:p>
      <w:pPr>
        <w:pStyle w:val="ListBullet"/>
      </w:pPr>
      <w:r>
        <w:t>Material typecheck, migration, build, security, privacy, permission or test failure cannot be resolved within the current prompt.</w:t>
      </w:r>
    </w:p>
    <w:p>
      <w:pPr>
        <w:pStyle w:val="ListBullet"/>
      </w:pPr>
      <w:r>
        <w:t>A proposed architectural substitution changes canonical ownership, data authority or accepted interfaces.</w:t>
      </w:r>
    </w:p>
    <w:p>
      <w:pPr>
        <w:pStyle w:val="ListBullet"/>
      </w:pPr>
      <w:r>
        <w:t>A destructive/irreversible migration or uncertain data backfill is required.</w:t>
      </w:r>
    </w:p>
    <w:p>
      <w:pPr>
        <w:pStyle w:val="ListBullet"/>
      </w:pPr>
      <w:r>
        <w:t>Frontend cannot meet the specified responsive, accessibility or visual acceptance criteria.</w:t>
      </w:r>
    </w:p>
    <w:p>
      <w:pPr>
        <w:pStyle w:val="ListBullet"/>
      </w:pPr>
      <w:r>
        <w:t>Context or workload threshold makes further execution unreliable; preserve the ledger and exact restart point.</w:t>
      </w:r>
    </w:p>
    <w:p>
      <w:pPr>
        <w:pStyle w:val="ListBullet"/>
      </w:pPr>
      <w:r>
        <w:t>Any work would cross into another slice, Railway, production, real providers or protected gates.</w:t>
      </w:r>
    </w:p>
    <w:p>
      <w:pPr>
        <w:pStyle w:val="Heading2"/>
      </w:pPr>
      <w:r>
        <w:t>1.3 Conditions that are not STOP reasons</w:t>
      </w:r>
    </w:p>
    <w:p>
      <w:pPr>
        <w:pStyle w:val="ListBullet"/>
      </w:pPr>
      <w:r>
        <w:t>A prompt completed successfully.</w:t>
      </w:r>
    </w:p>
    <w:p>
      <w:pPr>
        <w:pStyle w:val="ListBullet"/>
      </w:pPr>
      <w:r>
        <w:t>A focused local commit was created.</w:t>
      </w:r>
    </w:p>
    <w:p>
      <w:pPr>
        <w:pStyle w:val="ListBullet"/>
      </w:pPr>
      <w:r>
        <w:t>Work moves from backend to frontend or from tests to browser verification.</w:t>
      </w:r>
    </w:p>
    <w:p>
      <w:pPr>
        <w:pStyle w:val="ListBullet"/>
      </w:pPr>
      <w:r>
        <w:t>An ordinary implementation choice is already settled by the ratified pack and repository convention.</w:t>
      </w:r>
    </w:p>
    <w:p>
      <w:pPr>
        <w:pStyle w:val="Heading2"/>
      </w:pPr>
      <w:r>
        <w:t>1.4 Permanent controls</w:t>
      </w:r>
    </w:p>
    <w:p>
      <w:pPr>
        <w:pStyle w:val="ListBullet"/>
      </w:pPr>
      <w:r>
        <w:t>Repository scope is strictly kglaw-Oluseyi/atelier-doclar; branch main only.</w:t>
      </w:r>
    </w:p>
    <w:p>
      <w:pPr>
        <w:pStyle w:val="ListBullet"/>
      </w:pPr>
      <w:r>
        <w:t>The ratified slice pack is controlling. Read it completely; do not substitute this prompt for it.</w:t>
      </w:r>
    </w:p>
    <w:p>
      <w:pPr>
        <w:pStyle w:val="ListBullet"/>
      </w:pPr>
      <w:r>
        <w:t>Railway project atelier-doclar may be referenced for compatibility only; no Railway action or deployment is authorised.</w:t>
      </w:r>
    </w:p>
    <w:p>
      <w:pPr>
        <w:pStyle w:val="ListBullet"/>
      </w:pPr>
      <w:r>
        <w:t>productionAuthorised remains false and every protected gate remains unsigned / NOT_READY.</w:t>
      </w:r>
    </w:p>
    <w:p>
      <w:pPr>
        <w:pStyle w:val="ListBullet"/>
      </w:pPr>
      <w:r>
        <w:t>No real recipient, provider, payment, vendor transaction or production credential may be used.</w:t>
      </w:r>
    </w:p>
    <w:p>
      <w:pPr>
        <w:pStyle w:val="ListBullet"/>
      </w:pPr>
      <w:r>
        <w:t>EOS-S05 and every later slice are excluded. Do not implement the next lettered slice.</w:t>
      </w:r>
    </w:p>
    <w:p>
      <w:pPr>
        <w:pStyle w:val="ListBullet"/>
      </w:pPr>
      <w:r>
        <w:t>Preserve accepted EOS-S01–S04 behaviour and the latest post-acceptance remediation commits.</w:t>
      </w:r>
    </w:p>
    <w:p>
      <w:pPr>
        <w:pStyle w:val="ListBullet"/>
      </w:pPr>
      <w:r>
        <w:t>Use strict TypeScript: no any, unexplained cast, duplicated client/server model or unvalidated payload.</w:t>
      </w:r>
    </w:p>
    <w:p>
      <w:pPr>
        <w:pStyle w:val="ListBullet"/>
      </w:pPr>
      <w:r>
        <w:t>Server-side permission, event scope, validation, invariants and audit remain authoritative without the UI.</w:t>
      </w:r>
    </w:p>
    <w:p>
      <w:pPr>
        <w:pStyle w:val="ListBullet"/>
      </w:pPr>
      <w:r>
        <w:t>Frontend and backend are both production-fidelity deliverables; placeholders and generic admin scaffolds fail.</w:t>
      </w:r>
    </w:p>
    <w:p>
      <w:pPr>
        <w:pStyle w:val="ListBullet"/>
      </w:pPr>
      <w:r>
        <w:t>Use deterministic synthetic fixtures and cross-platform scripts; do not introduce Unix-only package commands.</w:t>
      </w:r>
    </w:p>
    <w:p>
      <w:pPr>
        <w:pStyle w:val="ListBullet"/>
      </w:pPr>
      <w:r>
        <w:t>Do not weaken a test, permission, privacy rule, invariant or acceptance criterion to make implementation pass.</w:t>
      </w:r>
    </w:p>
    <w:p>
      <w:pPr>
        <w:pStyle w:val="Heading1"/>
      </w:pPr>
      <w:r>
        <w:t>2. Slice truth map</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2100"/>
        <w:gridCol w:w="7260"/>
      </w:tblGrid>
      <w:tr>
        <w:tc>
          <w:tcPr>
            <w:tcW w:type="dxa" w:w="2100"/>
            <w:vAlign w:val="center"/>
            <w:shd w:fill="E8EEF2"/>
          </w:tcPr>
          <w:p>
            <w:pPr>
              <w:spacing w:after="0"/>
            </w:pPr>
            <w:r>
              <w:rPr>
                <w:rFonts w:ascii="Arial" w:hAnsi="Arial"/>
                <w:b/>
                <w:color w:val="20262B"/>
                <w:sz w:val="17"/>
              </w:rPr>
              <w:t>Dimension</w:t>
            </w:r>
          </w:p>
        </w:tc>
        <w:tc>
          <w:tcPr>
            <w:tcW w:type="dxa" w:w="7260"/>
            <w:vAlign w:val="center"/>
            <w:shd w:fill="E8EEF2"/>
          </w:tcPr>
          <w:p>
            <w:pPr>
              <w:spacing w:after="0"/>
            </w:pPr>
            <w:r>
              <w:rPr>
                <w:rFonts w:ascii="Arial" w:hAnsi="Arial"/>
                <w:b/>
                <w:color w:val="20262B"/>
                <w:sz w:val="17"/>
              </w:rPr>
              <w:t>Controlling direction</w:t>
            </w:r>
          </w:p>
        </w:tc>
      </w:tr>
      <w:tr>
        <w:tc>
          <w:tcPr>
            <w:tcW w:type="dxa" w:w="2100"/>
            <w:vAlign w:val="center"/>
          </w:tcPr>
          <w:p>
            <w:pPr>
              <w:spacing w:after="0"/>
            </w:pPr>
            <w:r>
              <w:rPr>
                <w:rFonts w:ascii="Arial" w:hAnsi="Arial"/>
                <w:b w:val="0"/>
                <w:color w:val="20262B"/>
                <w:sz w:val="17"/>
              </w:rPr>
              <w:t>Ratified source</w:t>
            </w:r>
          </w:p>
        </w:tc>
        <w:tc>
          <w:tcPr>
            <w:tcW w:type="dxa" w:w="7260"/>
            <w:vAlign w:val="center"/>
          </w:tcPr>
          <w:p>
            <w:pPr>
              <w:spacing w:after="0"/>
            </w:pPr>
            <w:r>
              <w:rPr>
                <w:rFonts w:ascii="Arial" w:hAnsi="Arial"/>
                <w:b w:val="0"/>
                <w:color w:val="20262B"/>
                <w:sz w:val="17"/>
              </w:rPr>
              <w:t>docs/control/Maison_Doclar_EOS-S04C_Controlled_Slice_Pack_v1.0_DRAFT.docx</w:t>
            </w:r>
          </w:p>
        </w:tc>
      </w:tr>
      <w:tr>
        <w:tc>
          <w:tcPr>
            <w:tcW w:type="dxa" w:w="2100"/>
            <w:vAlign w:val="center"/>
          </w:tcPr>
          <w:p>
            <w:pPr>
              <w:spacing w:after="0"/>
            </w:pPr>
            <w:r>
              <w:rPr>
                <w:rFonts w:ascii="Arial" w:hAnsi="Arial"/>
                <w:b w:val="0"/>
                <w:color w:val="20262B"/>
                <w:sz w:val="17"/>
              </w:rPr>
              <w:t>Purpose</w:t>
            </w:r>
          </w:p>
        </w:tc>
        <w:tc>
          <w:tcPr>
            <w:tcW w:type="dxa" w:w="7260"/>
            <w:vAlign w:val="center"/>
          </w:tcPr>
          <w:p>
            <w:pPr>
              <w:spacing w:after="0"/>
            </w:pPr>
            <w:r>
              <w:rPr>
                <w:rFonts w:ascii="Arial" w:hAnsi="Arial"/>
                <w:b w:val="0"/>
                <w:color w:val="20262B"/>
                <w:sz w:val="17"/>
              </w:rPr>
              <w:t>Coordinate host offers, private guest choices, minimal measurement, vendor handoff and fulfilment while Maison Doclar never receives guest money or becomes a marketplace.</w:t>
            </w:r>
          </w:p>
        </w:tc>
      </w:tr>
      <w:tr>
        <w:tc>
          <w:tcPr>
            <w:tcW w:type="dxa" w:w="2100"/>
            <w:vAlign w:val="center"/>
          </w:tcPr>
          <w:p>
            <w:pPr>
              <w:spacing w:after="0"/>
            </w:pPr>
            <w:r>
              <w:rPr>
                <w:rFonts w:ascii="Arial" w:hAnsi="Arial"/>
                <w:b w:val="0"/>
                <w:color w:val="20262B"/>
                <w:sz w:val="17"/>
              </w:rPr>
              <w:t>Canonical ownership</w:t>
            </w:r>
          </w:p>
        </w:tc>
        <w:tc>
          <w:tcPr>
            <w:tcW w:type="dxa" w:w="7260"/>
            <w:vAlign w:val="center"/>
          </w:tcPr>
          <w:p>
            <w:pPr>
              <w:spacing w:after="0"/>
            </w:pPr>
            <w:r>
              <w:rPr>
                <w:rFonts w:ascii="Arial" w:hAnsi="Arial"/>
                <w:b w:val="0"/>
                <w:color w:val="20262B"/>
                <w:sz w:val="17"/>
              </w:rPr>
              <w:t>Extend existing Event OS authorities; create no parallel ledger</w:t>
            </w:r>
          </w:p>
        </w:tc>
      </w:tr>
      <w:tr>
        <w:tc>
          <w:tcPr>
            <w:tcW w:type="dxa" w:w="2100"/>
            <w:vAlign w:val="center"/>
          </w:tcPr>
          <w:p>
            <w:pPr>
              <w:spacing w:after="0"/>
            </w:pPr>
            <w:r>
              <w:rPr>
                <w:rFonts w:ascii="Arial" w:hAnsi="Arial"/>
                <w:b w:val="0"/>
                <w:color w:val="20262B"/>
                <w:sz w:val="17"/>
              </w:rPr>
              <w:t>Acceptance</w:t>
            </w:r>
          </w:p>
        </w:tc>
        <w:tc>
          <w:tcPr>
            <w:tcW w:type="dxa" w:w="7260"/>
            <w:vAlign w:val="center"/>
          </w:tcPr>
          <w:p>
            <w:pPr>
              <w:spacing w:after="0"/>
            </w:pPr>
            <w:r>
              <w:rPr>
                <w:rFonts w:ascii="Arial" w:hAnsi="Arial"/>
                <w:b w:val="0"/>
                <w:color w:val="20262B"/>
                <w:sz w:val="17"/>
              </w:rPr>
              <w:t>Independent review after P11; Cursor may not self-accept</w:t>
            </w:r>
          </w:p>
        </w:tc>
      </w:tr>
      <w:tr>
        <w:tc>
          <w:tcPr>
            <w:tcW w:type="dxa" w:w="2100"/>
            <w:vAlign w:val="center"/>
          </w:tcPr>
          <w:p>
            <w:pPr>
              <w:spacing w:after="0"/>
            </w:pPr>
            <w:r>
              <w:rPr>
                <w:rFonts w:ascii="Arial" w:hAnsi="Arial"/>
                <w:b w:val="0"/>
                <w:color w:val="20262B"/>
                <w:sz w:val="17"/>
              </w:rPr>
              <w:t>Next slice</w:t>
            </w:r>
          </w:p>
        </w:tc>
        <w:tc>
          <w:tcPr>
            <w:tcW w:type="dxa" w:w="7260"/>
            <w:vAlign w:val="center"/>
          </w:tcPr>
          <w:p>
            <w:pPr>
              <w:spacing w:after="0"/>
            </w:pPr>
            <w:r>
              <w:rPr>
                <w:rFonts w:ascii="Arial" w:hAnsi="Arial"/>
                <w:b w:val="0"/>
                <w:color w:val="20262B"/>
                <w:sz w:val="17"/>
              </w:rPr>
              <w:t>Prohibited until separate CEO authority</w:t>
            </w:r>
          </w:p>
        </w:tc>
      </w:tr>
    </w:tbl>
    <w:p>
      <w:pPr>
        <w:spacing w:after="40"/>
      </w:pPr>
    </w:p>
    <w:p>
      <w:pPr>
        <w:pStyle w:val="Heading2"/>
      </w:pPr>
      <w:r>
        <w:t>2.1 Canonical records</w:t>
      </w:r>
    </w:p>
    <w:p>
      <w:pPr>
        <w:pStyle w:val="ListBullet"/>
      </w:pPr>
      <w:r>
        <w:t>MerchandiseCollection, MerchandiseItem and ItemVariant</w:t>
      </w:r>
    </w:p>
    <w:p>
      <w:pPr>
        <w:pStyle w:val="ListBullet"/>
      </w:pPr>
      <w:r>
        <w:t>HostOfferRule and per-person GuestOffer</w:t>
      </w:r>
    </w:p>
    <w:p>
      <w:pPr>
        <w:pStyle w:val="ListBullet"/>
      </w:pPr>
      <w:r>
        <w:t>GuestParticipation and private choice</w:t>
      </w:r>
    </w:p>
    <w:p>
      <w:pPr>
        <w:pStyle w:val="ListBullet"/>
      </w:pPr>
      <w:r>
        <w:t>CapMeasurement with consent and withdrawal</w:t>
      </w:r>
    </w:p>
    <w:p>
      <w:pPr>
        <w:pStyle w:val="ListBullet"/>
      </w:pPr>
      <w:r>
        <w:t>VendorAssignment and attributed VendorUpdate</w:t>
      </w:r>
    </w:p>
    <w:p>
      <w:pPr>
        <w:pStyle w:val="ListBullet"/>
      </w:pPr>
      <w:r>
        <w:t>Fulfilment, ExternalContactLink and MerchandiseException</w:t>
      </w:r>
    </w:p>
    <w:p>
      <w:pPr>
        <w:pStyle w:val="Heading2"/>
      </w:pPr>
      <w:r>
        <w:t>2.2 Non-negotiable laws</w:t>
      </w:r>
    </w:p>
    <w:p>
      <w:pPr>
        <w:pStyle w:val="ListBullet"/>
      </w:pPr>
      <w:r>
        <w:t>Every intended wearer or recipient resolves to an independent guestId.</w:t>
      </w:r>
    </w:p>
    <w:p>
      <w:pPr>
        <w:pStyle w:val="ListBullet"/>
      </w:pPr>
      <w:r>
        <w:t>Host cohort rules materialise separate guest offers; they never alter guest tier or access.</w:t>
      </w:r>
    </w:p>
    <w:p>
      <w:pPr>
        <w:pStyle w:val="ListBullet"/>
      </w:pPr>
      <w:r>
        <w:t>Only cap circumference may be captured when genuinely required for made-to-measure headwear.</w:t>
      </w:r>
    </w:p>
    <w:p>
      <w:pPr>
        <w:pStyle w:val="ListBullet"/>
      </w:pPr>
      <w:r>
        <w:t>No other body measurements, fitting photographs, health inference or automated sizing.</w:t>
      </w:r>
    </w:p>
    <w:p>
      <w:pPr>
        <w:pStyle w:val="ListBullet"/>
      </w:pPr>
      <w:r>
        <w:t>Maison Doclar never receives, reconciles, refunds or guarantees guest payment.</w:t>
      </w:r>
    </w:p>
    <w:p>
      <w:pPr>
        <w:pStyle w:val="ListBullet"/>
      </w:pPr>
      <w:r>
        <w:t>Vendor assertions remain attributed and unverified until Maison Doclar review.</w:t>
      </w:r>
    </w:p>
    <w:p>
      <w:r>
        <w:br w:type="page"/>
      </w:r>
    </w:p>
    <w:p>
      <w:pPr>
        <w:pStyle w:val="Heading1"/>
      </w:pPr>
      <w:r>
        <w:t>3. Prompt-to-requirement control matrix</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250"/>
        <w:gridCol w:w="4800"/>
        <w:gridCol w:w="3310"/>
      </w:tblGrid>
      <w:tr>
        <w:tc>
          <w:tcPr>
            <w:tcW w:type="dxa" w:w="1250"/>
            <w:vAlign w:val="center"/>
            <w:shd w:fill="E8EEF2"/>
          </w:tcPr>
          <w:p>
            <w:pPr>
              <w:spacing w:after="0"/>
            </w:pPr>
            <w:r>
              <w:rPr>
                <w:rFonts w:ascii="Arial" w:hAnsi="Arial"/>
                <w:b/>
                <w:color w:val="20262B"/>
                <w:sz w:val="17"/>
              </w:rPr>
              <w:t>Prompt</w:t>
            </w:r>
          </w:p>
        </w:tc>
        <w:tc>
          <w:tcPr>
            <w:tcW w:type="dxa" w:w="4800"/>
            <w:vAlign w:val="center"/>
            <w:shd w:fill="E8EEF2"/>
          </w:tcPr>
          <w:p>
            <w:pPr>
              <w:spacing w:after="0"/>
            </w:pPr>
            <w:r>
              <w:rPr>
                <w:rFonts w:ascii="Arial" w:hAnsi="Arial"/>
                <w:b/>
                <w:color w:val="20262B"/>
                <w:sz w:val="17"/>
              </w:rPr>
              <w:t>Primary ownership</w:t>
            </w:r>
          </w:p>
        </w:tc>
        <w:tc>
          <w:tcPr>
            <w:tcW w:type="dxa" w:w="3310"/>
            <w:vAlign w:val="center"/>
            <w:shd w:fill="E8EEF2"/>
          </w:tcPr>
          <w:p>
            <w:pPr>
              <w:spacing w:after="0"/>
            </w:pPr>
            <w:r>
              <w:rPr>
                <w:rFonts w:ascii="Arial" w:hAnsi="Arial"/>
                <w:b/>
                <w:color w:val="20262B"/>
                <w:sz w:val="17"/>
              </w:rPr>
              <w:t>Mandatory output</w:t>
            </w:r>
          </w:p>
        </w:tc>
      </w:tr>
      <w:tr>
        <w:tc>
          <w:tcPr>
            <w:tcW w:type="dxa" w:w="1250"/>
            <w:vAlign w:val="center"/>
          </w:tcPr>
          <w:p>
            <w:pPr>
              <w:spacing w:after="0"/>
            </w:pPr>
            <w:r>
              <w:rPr>
                <w:rFonts w:ascii="Arial" w:hAnsi="Arial"/>
                <w:b w:val="0"/>
                <w:color w:val="20262B"/>
                <w:sz w:val="17"/>
              </w:rPr>
              <w:t>EOS-S04C-P00</w:t>
            </w:r>
          </w:p>
        </w:tc>
        <w:tc>
          <w:tcPr>
            <w:tcW w:type="dxa" w:w="4800"/>
            <w:vAlign w:val="center"/>
          </w:tcPr>
          <w:p>
            <w:pPr>
              <w:spacing w:after="0"/>
            </w:pPr>
            <w:r>
              <w:rPr>
                <w:rFonts w:ascii="Arial" w:hAnsi="Arial"/>
                <w:b w:val="0"/>
                <w:color w:val="20262B"/>
                <w:sz w:val="17"/>
              </w:rPr>
              <w:t>Controlled reconnaissance and implementation map</w:t>
            </w:r>
          </w:p>
        </w:tc>
        <w:tc>
          <w:tcPr>
            <w:tcW w:type="dxa" w:w="3310"/>
            <w:vAlign w:val="center"/>
          </w:tcPr>
          <w:p>
            <w:pPr>
              <w:spacing w:after="0"/>
            </w:pPr>
            <w:r>
              <w:rPr>
                <w:rFonts w:ascii="Arial" w:hAnsi="Arial"/>
                <w:b w:val="0"/>
                <w:color w:val="20262B"/>
                <w:sz w:val="17"/>
              </w:rPr>
              <w:t>Reconciliation report</w:t>
            </w:r>
          </w:p>
        </w:tc>
      </w:tr>
      <w:tr>
        <w:tc>
          <w:tcPr>
            <w:tcW w:type="dxa" w:w="1250"/>
            <w:vAlign w:val="center"/>
          </w:tcPr>
          <w:p>
            <w:pPr>
              <w:spacing w:after="0"/>
            </w:pPr>
            <w:r>
              <w:rPr>
                <w:rFonts w:ascii="Arial" w:hAnsi="Arial"/>
                <w:b w:val="0"/>
                <w:color w:val="20262B"/>
                <w:sz w:val="17"/>
              </w:rPr>
              <w:t>EOS-S04C-P01</w:t>
            </w:r>
          </w:p>
        </w:tc>
        <w:tc>
          <w:tcPr>
            <w:tcW w:type="dxa" w:w="4800"/>
            <w:vAlign w:val="center"/>
          </w:tcPr>
          <w:p>
            <w:pPr>
              <w:spacing w:after="0"/>
            </w:pPr>
            <w:r>
              <w:rPr>
                <w:rFonts w:ascii="Arial" w:hAnsi="Arial"/>
                <w:b w:val="0"/>
                <w:color w:val="20262B"/>
                <w:sz w:val="17"/>
              </w:rPr>
              <w:t>Domain contracts, invariants and TypeScript schemas</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EOS-S04C-P02</w:t>
            </w:r>
          </w:p>
        </w:tc>
        <w:tc>
          <w:tcPr>
            <w:tcW w:type="dxa" w:w="4800"/>
            <w:vAlign w:val="center"/>
          </w:tcPr>
          <w:p>
            <w:pPr>
              <w:spacing w:after="0"/>
            </w:pPr>
            <w:r>
              <w:rPr>
                <w:rFonts w:ascii="Arial" w:hAnsi="Arial"/>
                <w:b w:val="0"/>
                <w:color w:val="20262B"/>
                <w:sz w:val="17"/>
              </w:rPr>
              <w:t>Persistence, migrations, compatibility and fixtures</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EOS-S04C-P03</w:t>
            </w:r>
          </w:p>
        </w:tc>
        <w:tc>
          <w:tcPr>
            <w:tcW w:type="dxa" w:w="4800"/>
            <w:vAlign w:val="center"/>
          </w:tcPr>
          <w:p>
            <w:pPr>
              <w:spacing w:after="0"/>
            </w:pPr>
            <w:r>
              <w:rPr>
                <w:rFonts w:ascii="Arial" w:hAnsi="Arial"/>
                <w:b w:val="0"/>
                <w:color w:val="20262B"/>
                <w:sz w:val="17"/>
              </w:rPr>
              <w:t>Backend services, transactions and projections</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EOS-S04C-P04</w:t>
            </w:r>
          </w:p>
        </w:tc>
        <w:tc>
          <w:tcPr>
            <w:tcW w:type="dxa" w:w="4800"/>
            <w:vAlign w:val="center"/>
          </w:tcPr>
          <w:p>
            <w:pPr>
              <w:spacing w:after="0"/>
            </w:pPr>
            <w:r>
              <w:rPr>
                <w:rFonts w:ascii="Arial" w:hAnsi="Arial"/>
                <w:b w:val="0"/>
                <w:color w:val="20262B"/>
                <w:sz w:val="17"/>
              </w:rPr>
              <w:t>Permissions, privacy, security and audit</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EOS-S04C-P05</w:t>
            </w:r>
          </w:p>
        </w:tc>
        <w:tc>
          <w:tcPr>
            <w:tcW w:type="dxa" w:w="4800"/>
            <w:vAlign w:val="center"/>
          </w:tcPr>
          <w:p>
            <w:pPr>
              <w:spacing w:after="0"/>
            </w:pPr>
            <w:r>
              <w:rPr>
                <w:rFonts w:ascii="Arial" w:hAnsi="Arial"/>
                <w:b w:val="0"/>
                <w:color w:val="20262B"/>
                <w:sz w:val="17"/>
              </w:rPr>
              <w:t>Backend contract and domain verification</w:t>
            </w:r>
          </w:p>
        </w:tc>
        <w:tc>
          <w:tcPr>
            <w:tcW w:type="dxa" w:w="3310"/>
            <w:vAlign w:val="center"/>
          </w:tcPr>
          <w:p>
            <w:pPr>
              <w:spacing w:after="0"/>
            </w:pPr>
            <w:r>
              <w:rPr>
                <w:rFonts w:ascii="Arial" w:hAnsi="Arial"/>
                <w:b w:val="0"/>
                <w:color w:val="20262B"/>
                <w:sz w:val="17"/>
              </w:rPr>
              <w:t>Typed backend + tests</w:t>
            </w:r>
          </w:p>
        </w:tc>
      </w:tr>
      <w:tr>
        <w:tc>
          <w:tcPr>
            <w:tcW w:type="dxa" w:w="1250"/>
            <w:vAlign w:val="center"/>
          </w:tcPr>
          <w:p>
            <w:pPr>
              <w:spacing w:after="0"/>
            </w:pPr>
            <w:r>
              <w:rPr>
                <w:rFonts w:ascii="Arial" w:hAnsi="Arial"/>
                <w:b w:val="0"/>
                <w:color w:val="20262B"/>
                <w:sz w:val="17"/>
              </w:rPr>
              <w:t>EOS-S04C-P06</w:t>
            </w:r>
          </w:p>
        </w:tc>
        <w:tc>
          <w:tcPr>
            <w:tcW w:type="dxa" w:w="4800"/>
            <w:vAlign w:val="center"/>
          </w:tcPr>
          <w:p>
            <w:pPr>
              <w:spacing w:after="0"/>
            </w:pPr>
            <w:r>
              <w:rPr>
                <w:rFonts w:ascii="Arial" w:hAnsi="Arial"/>
                <w:b w:val="0"/>
                <w:color w:val="20262B"/>
                <w:sz w:val="17"/>
              </w:rPr>
              <w:t>Frontend experience architecture and typed contract map</w:t>
            </w:r>
          </w:p>
        </w:tc>
        <w:tc>
          <w:tcPr>
            <w:tcW w:type="dxa" w:w="3310"/>
            <w:vAlign w:val="center"/>
          </w:tcPr>
          <w:p>
            <w:pPr>
              <w:spacing w:after="0"/>
            </w:pPr>
            <w:r>
              <w:rPr>
                <w:rFonts w:ascii="Arial" w:hAnsi="Arial"/>
                <w:b w:val="0"/>
                <w:color w:val="20262B"/>
                <w:sz w:val="17"/>
              </w:rPr>
              <w:t>Approved frontend contract</w:t>
            </w:r>
          </w:p>
        </w:tc>
      </w:tr>
      <w:tr>
        <w:tc>
          <w:tcPr>
            <w:tcW w:type="dxa" w:w="1250"/>
            <w:vAlign w:val="center"/>
          </w:tcPr>
          <w:p>
            <w:pPr>
              <w:spacing w:after="0"/>
            </w:pPr>
            <w:r>
              <w:rPr>
                <w:rFonts w:ascii="Arial" w:hAnsi="Arial"/>
                <w:b w:val="0"/>
                <w:color w:val="20262B"/>
                <w:sz w:val="17"/>
              </w:rPr>
              <w:t>EOS-S04C-P07</w:t>
            </w:r>
          </w:p>
        </w:tc>
        <w:tc>
          <w:tcPr>
            <w:tcW w:type="dxa" w:w="4800"/>
            <w:vAlign w:val="center"/>
          </w:tcPr>
          <w:p>
            <w:pPr>
              <w:spacing w:after="0"/>
            </w:pPr>
            <w:r>
              <w:rPr>
                <w:rFonts w:ascii="Arial" w:hAnsi="Arial"/>
                <w:b w:val="0"/>
                <w:color w:val="20262B"/>
                <w:sz w:val="17"/>
              </w:rPr>
              <w:t>Primary frontend surfaces and interactions</w:t>
            </w:r>
          </w:p>
        </w:tc>
        <w:tc>
          <w:tcPr>
            <w:tcW w:type="dxa" w:w="3310"/>
            <w:vAlign w:val="center"/>
          </w:tcPr>
          <w:p>
            <w:pPr>
              <w:spacing w:after="0"/>
            </w:pPr>
            <w:r>
              <w:rPr>
                <w:rFonts w:ascii="Arial" w:hAnsi="Arial"/>
                <w:b w:val="0"/>
                <w:color w:val="20262B"/>
                <w:sz w:val="17"/>
              </w:rPr>
              <w:t>Production UI + tests</w:t>
            </w:r>
          </w:p>
        </w:tc>
      </w:tr>
      <w:tr>
        <w:tc>
          <w:tcPr>
            <w:tcW w:type="dxa" w:w="1250"/>
            <w:vAlign w:val="center"/>
          </w:tcPr>
          <w:p>
            <w:pPr>
              <w:spacing w:after="0"/>
            </w:pPr>
            <w:r>
              <w:rPr>
                <w:rFonts w:ascii="Arial" w:hAnsi="Arial"/>
                <w:b w:val="0"/>
                <w:color w:val="20262B"/>
                <w:sz w:val="17"/>
              </w:rPr>
              <w:t>EOS-S04C-P08</w:t>
            </w:r>
          </w:p>
        </w:tc>
        <w:tc>
          <w:tcPr>
            <w:tcW w:type="dxa" w:w="4800"/>
            <w:vAlign w:val="center"/>
          </w:tcPr>
          <w:p>
            <w:pPr>
              <w:spacing w:after="0"/>
            </w:pPr>
            <w:r>
              <w:rPr>
                <w:rFonts w:ascii="Arial" w:hAnsi="Arial"/>
                <w:b w:val="0"/>
                <w:color w:val="20262B"/>
                <w:sz w:val="17"/>
              </w:rPr>
              <w:t>Frontend states, accessibility and responsive hardening</w:t>
            </w:r>
          </w:p>
        </w:tc>
        <w:tc>
          <w:tcPr>
            <w:tcW w:type="dxa" w:w="3310"/>
            <w:vAlign w:val="center"/>
          </w:tcPr>
          <w:p>
            <w:pPr>
              <w:spacing w:after="0"/>
            </w:pPr>
            <w:r>
              <w:rPr>
                <w:rFonts w:ascii="Arial" w:hAnsi="Arial"/>
                <w:b w:val="0"/>
                <w:color w:val="20262B"/>
                <w:sz w:val="17"/>
              </w:rPr>
              <w:t>Production UI + tests</w:t>
            </w:r>
          </w:p>
        </w:tc>
      </w:tr>
      <w:tr>
        <w:tc>
          <w:tcPr>
            <w:tcW w:type="dxa" w:w="1250"/>
            <w:vAlign w:val="center"/>
          </w:tcPr>
          <w:p>
            <w:pPr>
              <w:spacing w:after="0"/>
            </w:pPr>
            <w:r>
              <w:rPr>
                <w:rFonts w:ascii="Arial" w:hAnsi="Arial"/>
                <w:b w:val="0"/>
                <w:color w:val="20262B"/>
                <w:sz w:val="17"/>
              </w:rPr>
              <w:t>EOS-S04C-P09</w:t>
            </w:r>
          </w:p>
        </w:tc>
        <w:tc>
          <w:tcPr>
            <w:tcW w:type="dxa" w:w="4800"/>
            <w:vAlign w:val="center"/>
          </w:tcPr>
          <w:p>
            <w:pPr>
              <w:spacing w:after="0"/>
            </w:pPr>
            <w:r>
              <w:rPr>
                <w:rFonts w:ascii="Arial" w:hAnsi="Arial"/>
                <w:b w:val="0"/>
                <w:color w:val="20262B"/>
                <w:sz w:val="17"/>
              </w:rPr>
              <w:t>Integration, cross-platform E2E and visual evidence</w:t>
            </w:r>
          </w:p>
        </w:tc>
        <w:tc>
          <w:tcPr>
            <w:tcW w:type="dxa" w:w="3310"/>
            <w:vAlign w:val="center"/>
          </w:tcPr>
          <w:p>
            <w:pPr>
              <w:spacing w:after="0"/>
            </w:pPr>
            <w:r>
              <w:rPr>
                <w:rFonts w:ascii="Arial" w:hAnsi="Arial"/>
                <w:b w:val="0"/>
                <w:color w:val="20262B"/>
                <w:sz w:val="17"/>
              </w:rPr>
              <w:t>E2E and visual evidence</w:t>
            </w:r>
          </w:p>
        </w:tc>
      </w:tr>
      <w:tr>
        <w:tc>
          <w:tcPr>
            <w:tcW w:type="dxa" w:w="1250"/>
            <w:vAlign w:val="center"/>
          </w:tcPr>
          <w:p>
            <w:pPr>
              <w:spacing w:after="0"/>
            </w:pPr>
            <w:r>
              <w:rPr>
                <w:rFonts w:ascii="Arial" w:hAnsi="Arial"/>
                <w:b w:val="0"/>
                <w:color w:val="20262B"/>
                <w:sz w:val="17"/>
              </w:rPr>
              <w:t>EOS-S04C-P10</w:t>
            </w:r>
          </w:p>
        </w:tc>
        <w:tc>
          <w:tcPr>
            <w:tcW w:type="dxa" w:w="4800"/>
            <w:vAlign w:val="center"/>
          </w:tcPr>
          <w:p>
            <w:pPr>
              <w:spacing w:after="0"/>
            </w:pPr>
            <w:r>
              <w:rPr>
                <w:rFonts w:ascii="Arial" w:hAnsi="Arial"/>
                <w:b w:val="0"/>
                <w:color w:val="20262B"/>
                <w:sz w:val="17"/>
              </w:rPr>
              <w:t>Academy delta, operational documentation and handover</w:t>
            </w:r>
          </w:p>
        </w:tc>
        <w:tc>
          <w:tcPr>
            <w:tcW w:type="dxa" w:w="3310"/>
            <w:vAlign w:val="center"/>
          </w:tcPr>
          <w:p>
            <w:pPr>
              <w:spacing w:after="0"/>
            </w:pPr>
            <w:r>
              <w:rPr>
                <w:rFonts w:ascii="Arial" w:hAnsi="Arial"/>
                <w:b w:val="0"/>
                <w:color w:val="20262B"/>
                <w:sz w:val="17"/>
              </w:rPr>
              <w:t>Academy and controlled records</w:t>
            </w:r>
          </w:p>
        </w:tc>
      </w:tr>
      <w:tr>
        <w:tc>
          <w:tcPr>
            <w:tcW w:type="dxa" w:w="1250"/>
            <w:vAlign w:val="center"/>
          </w:tcPr>
          <w:p>
            <w:pPr>
              <w:spacing w:after="0"/>
            </w:pPr>
            <w:r>
              <w:rPr>
                <w:rFonts w:ascii="Arial" w:hAnsi="Arial"/>
                <w:b w:val="0"/>
                <w:color w:val="20262B"/>
                <w:sz w:val="17"/>
              </w:rPr>
              <w:t>EOS-S04C-P11</w:t>
            </w:r>
          </w:p>
        </w:tc>
        <w:tc>
          <w:tcPr>
            <w:tcW w:type="dxa" w:w="4800"/>
            <w:vAlign w:val="center"/>
          </w:tcPr>
          <w:p>
            <w:pPr>
              <w:spacing w:after="0"/>
            </w:pPr>
            <w:r>
              <w:rPr>
                <w:rFonts w:ascii="Arial" w:hAnsi="Arial"/>
                <w:b w:val="0"/>
                <w:color w:val="20262B"/>
                <w:sz w:val="17"/>
              </w:rPr>
              <w:t>Whole-slice hardening and independent-review package</w:t>
            </w:r>
          </w:p>
        </w:tc>
        <w:tc>
          <w:tcPr>
            <w:tcW w:type="dxa" w:w="3310"/>
            <w:vAlign w:val="center"/>
          </w:tcPr>
          <w:p>
            <w:pPr>
              <w:spacing w:after="0"/>
            </w:pPr>
            <w:r>
              <w:rPr>
                <w:rFonts w:ascii="Arial" w:hAnsi="Arial"/>
                <w:b w:val="0"/>
                <w:color w:val="20262B"/>
                <w:sz w:val="17"/>
              </w:rPr>
              <w:t>Independent-review package</w:t>
            </w:r>
          </w:p>
        </w:tc>
      </w:tr>
    </w:tbl>
    <w:p>
      <w:pPr>
        <w:spacing w:after="40"/>
      </w:pPr>
    </w:p>
    <w:p>
      <w:pPr>
        <w:pStyle w:val="Heading1"/>
      </w:pPr>
      <w:r>
        <w:t>4. End-of-slice review gate</w:t>
      </w:r>
    </w:p>
    <w:p>
      <w:pPr>
        <w:pStyle w:val="ListBullet"/>
      </w:pPr>
      <w:r>
        <w:t>All 12 prompts accounted for and commit chain reviewable.</w:t>
      </w:r>
    </w:p>
    <w:p>
      <w:pPr>
        <w:pStyle w:val="ListBullet"/>
      </w:pPr>
      <w:r>
        <w:t>Every ratified requirement mapped to evidence or explicit authorised exclusion.</w:t>
      </w:r>
    </w:p>
    <w:p>
      <w:pPr>
        <w:pStyle w:val="ListBullet"/>
      </w:pPr>
      <w:r>
        <w:t>Frontend and backend coverage are both complete; neither is accepted by proxy for the other.</w:t>
      </w:r>
    </w:p>
    <w:p>
      <w:pPr>
        <w:pStyle w:val="ListBullet"/>
      </w:pPr>
      <w:r>
        <w:t>Full regression, build and E2E results are available with browser evidence.</w:t>
      </w:r>
    </w:p>
    <w:p>
      <w:pPr>
        <w:pStyle w:val="ListBullet"/>
      </w:pPr>
      <w:r>
        <w:t>Migration/backfill and rollback are documented and tested.</w:t>
      </w:r>
    </w:p>
    <w:p>
      <w:pPr>
        <w:pStyle w:val="ListBullet"/>
      </w:pPr>
      <w:r>
        <w:t>Security, privacy, permissions, audit and cross-event isolation have negative evidence.</w:t>
      </w:r>
    </w:p>
    <w:p>
      <w:pPr>
        <w:pStyle w:val="ListBullet"/>
      </w:pPr>
      <w:r>
        <w:t>Academy delta matches implemented behaviour.</w:t>
      </w:r>
    </w:p>
    <w:p>
      <w:pPr>
        <w:pStyle w:val="ListBullet"/>
      </w:pPr>
      <w:r>
        <w:t>Worktree is clean; nothing pushed; production and protected gates unchanged.</w:t>
      </w:r>
    </w:p>
    <w:p>
      <w:pPr>
        <w:pStyle w:val="ListBullet"/>
      </w:pPr>
      <w:r>
        <w:t>Independent reviewer—not Cursor—decides remediation, push and acceptance.</w:t>
      </w:r>
    </w:p>
    <w:p>
      <w:r>
        <w:br w:type="page"/>
      </w:r>
    </w:p>
    <w:p>
      <w:pPr>
        <w:pStyle w:val="Heading1"/>
      </w:pPr>
      <w:r>
        <w:t>PROMPT EOS-S04C-P00</w:t>
      </w:r>
    </w:p>
    <w:p>
      <w:pPr>
        <w:pStyle w:val="Heading2"/>
      </w:pPr>
      <w:r>
        <w:t>Controlled reconnaissance and implementation map</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First prompt after EOS-S04 final closure and explicit slice authority</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Read-only</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docs/control/Maison_Doclar_EOS-S04C_Controlled_Slice_Pack_v1.0_DRAFT.docx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EOS-S04C: Aso-Ebi, Aso-Oke &amp; Event Merchandise Coordination. This is prompt 1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Inventory existing packages, routes, schemas, services, migrations, policy keys, audit events, fixtures, UI conventions and tests.</w:t>
      </w:r>
    </w:p>
    <w:p>
      <w:pPr>
        <w:pStyle w:val="ListBullet"/>
      </w:pPr>
      <w:r>
        <w:t>Map every ratified requirement to reuse, extension, new implementation or explicit exclusion.</w:t>
      </w:r>
    </w:p>
    <w:p>
      <w:pPr>
        <w:pStyle w:val="ListBullet"/>
      </w:pPr>
      <w:r>
        <w:t>Produce dependency, schema, permission, route, migration, test and risk matrices. Identify contradictions; make no code change.</w:t>
      </w:r>
    </w:p>
    <w:p>
      <w:pPr>
        <w:pStyle w:val="ListBullet"/>
      </w:pPr>
      <w:r>
        <w:t>Define the ordered implementation plan and exact file candidates without treating filenames as permission to edit them.</w:t>
      </w:r>
    </w:p>
    <w:p>
      <w:pPr>
        <w:pStyle w:val="Heading3"/>
      </w:pPr>
      <w:r>
        <w:t>C. Slice-specific requirements</w:t>
      </w:r>
    </w:p>
    <w:p>
      <w:pPr>
        <w:pStyle w:val="ListBullet"/>
      </w:pPr>
      <w:r>
        <w:t>Reconcile these invariants: Every intended wearer or recipient resolves to an independent guestId.</w:t>
      </w:r>
    </w:p>
    <w:p>
      <w:pPr>
        <w:pStyle w:val="ListBullet"/>
      </w:pPr>
      <w:r>
        <w:t>Reconcile these invariants: Host cohort rules materialise separate guest offers; they never alter guest tier or access.</w:t>
      </w:r>
    </w:p>
    <w:p>
      <w:pPr>
        <w:pStyle w:val="ListBullet"/>
      </w:pPr>
      <w:r>
        <w:t>Reconcile these invariants: Only cap circumference may be captured when genuinely required for made-to-measure headwear.</w:t>
      </w:r>
    </w:p>
    <w:p>
      <w:pPr>
        <w:pStyle w:val="ListBullet"/>
      </w:pPr>
      <w:r>
        <w:t>Reconcile these invariants: No other body measurements, fitting photographs, health inference or automated sizing.</w:t>
      </w:r>
    </w:p>
    <w:p>
      <w:pPr>
        <w:pStyle w:val="ListBullet"/>
      </w:pPr>
      <w:r>
        <w:t>Reconcile these invariants: Maison Doclar never receives, reconciles, refunds or guarantees guest payment.</w:t>
      </w:r>
    </w:p>
    <w:p>
      <w:pPr>
        <w:pStyle w:val="ListBullet"/>
      </w:pPr>
      <w:r>
        <w:t>Reconcile these invariants: Vendor assertions remain attributed and unverified until Maison Doclar review.</w:t>
      </w:r>
    </w:p>
    <w:p>
      <w:pPr>
        <w:pStyle w:val="ListBullet"/>
      </w:pPr>
      <w:r>
        <w:t>Risk to resolve in the implementation map: money-handling drift</w:t>
      </w:r>
    </w:p>
    <w:p>
      <w:pPr>
        <w:pStyle w:val="ListBullet"/>
      </w:pPr>
      <w:r>
        <w:t>Risk to resolve in the implementation map: private choices leaking through household views</w:t>
      </w:r>
    </w:p>
    <w:p>
      <w:pPr>
        <w:pStyle w:val="ListBullet"/>
      </w:pPr>
      <w:r>
        <w:t>Risk to resolve in the implementation map: measurement overcollection</w:t>
      </w:r>
    </w:p>
    <w:p>
      <w:pPr>
        <w:pStyle w:val="ListBullet"/>
      </w:pPr>
      <w:r>
        <w:t>Risk to resolve in the implementation map: vendor cross-event access</w:t>
      </w:r>
    </w:p>
    <w:p>
      <w:pPr>
        <w:pStyle w:val="ListBullet"/>
      </w:pPr>
      <w:r>
        <w:t>Risk to resolve in the implementation map: external payment status presented as Maison Doclar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Do not edit or commit. Save the reconciliation report only in the conversation/output requested by the operator. Continue to P01 only if no STOP condition exists.</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STOP — reconciliation complete; no code changed.</w:t>
            </w:r>
          </w:p>
        </w:tc>
      </w:tr>
    </w:tbl>
    <w:p>
      <w:pPr>
        <w:spacing w:after="40"/>
      </w:pPr>
    </w:p>
    <w:p>
      <w:r>
        <w:br w:type="page"/>
      </w:r>
    </w:p>
    <w:p>
      <w:pPr>
        <w:pStyle w:val="Heading1"/>
      </w:pPr>
      <w:r>
        <w:t>PROMPT EOS-S04C-P01</w:t>
      </w:r>
    </w:p>
    <w:p>
      <w:pPr>
        <w:pStyle w:val="Heading2"/>
      </w:pPr>
      <w:r>
        <w:t>Domain contracts, invariants and TypeScript schemas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EOS-S04C-P00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docs/control/Maison_Doclar_EOS-S04C_Controlled_Slice_Pack_v1.0_DRAFT.docx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EOS-S04C: Aso-Ebi, Aso-Oke &amp; Event Merchandise Coordination. This is prompt 2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MerchandiseCollection, MerchandiseItem and ItemVariant; HostOfferRule and per-person GuestOffer; GuestParticipation and private choice; CapMeasurement with consent and withdrawal; VendorAssignment and attributed VendorUpdate; Fulfilment, ExternalContactLink and MerchandiseException.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Contract requirement: Every intended wearer or recipient resolves to an independent guestId.</w:t>
      </w:r>
    </w:p>
    <w:p>
      <w:pPr>
        <w:pStyle w:val="ListBullet"/>
      </w:pPr>
      <w:r>
        <w:t>Contract requirement: Host cohort rules materialise separate guest offers; they never alter guest tier or access.</w:t>
      </w:r>
    </w:p>
    <w:p>
      <w:pPr>
        <w:pStyle w:val="ListBullet"/>
      </w:pPr>
      <w:r>
        <w:t>Contract requirement: Only cap circumference may be captured when genuinely required for made-to-measure headwear.</w:t>
      </w:r>
    </w:p>
    <w:p>
      <w:pPr>
        <w:pStyle w:val="ListBullet"/>
      </w:pPr>
      <w:r>
        <w:t>Contract requirement: No other body measurements, fitting photographs, health inference or automated sizing.</w:t>
      </w:r>
    </w:p>
    <w:p>
      <w:pPr>
        <w:pStyle w:val="ListBullet"/>
      </w:pPr>
      <w:r>
        <w:t>Contract requirement: Maison Doclar never receives, reconciles, refunds or guarantees guest payment.</w:t>
      </w:r>
    </w:p>
    <w:p>
      <w:pPr>
        <w:pStyle w:val="ListBullet"/>
      </w:pPr>
      <w:r>
        <w:t>Contract requirement: Vendor assertions remain attributed and unverified until Maison Doclar review.</w:t>
      </w:r>
    </w:p>
    <w:p>
      <w:pPr>
        <w:pStyle w:val="ListBullet"/>
      </w:pPr>
      <w:r>
        <w:t>Canonical record: MerchandiseCollection, MerchandiseItem and ItemVariant</w:t>
      </w:r>
    </w:p>
    <w:p>
      <w:pPr>
        <w:pStyle w:val="ListBullet"/>
      </w:pPr>
      <w:r>
        <w:t>Canonical record: HostOfferRule and per-person GuestOffer</w:t>
      </w:r>
    </w:p>
    <w:p>
      <w:pPr>
        <w:pStyle w:val="ListBullet"/>
      </w:pPr>
      <w:r>
        <w:t>Canonical record: GuestParticipation and private choice</w:t>
      </w:r>
    </w:p>
    <w:p>
      <w:pPr>
        <w:pStyle w:val="ListBullet"/>
      </w:pPr>
      <w:r>
        <w:t>Canonical record: CapMeasurement with consent and withdrawal</w:t>
      </w:r>
    </w:p>
    <w:p>
      <w:pPr>
        <w:pStyle w:val="ListBullet"/>
      </w:pPr>
      <w:r>
        <w:t>Canonical record: VendorAssignment and attributed VendorUpdate</w:t>
      </w:r>
    </w:p>
    <w:p>
      <w:pPr>
        <w:pStyle w:val="ListBullet"/>
      </w:pPr>
      <w:r>
        <w:t>Canonical record: Fulfilment, ExternalContactLink and MerchandiseException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add EOS-S04C domain contracts.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EOS-S04C-P02</w:t>
      </w:r>
    </w:p>
    <w:p>
      <w:pPr>
        <w:pStyle w:val="Heading2"/>
      </w:pPr>
      <w:r>
        <w:t>Persistence, migrations, compatibility and fixtures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EOS-S04C-P01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docs/control/Maison_Doclar_EOS-S04C_Controlled_Slice_Pack_v1.0_DRAFT.docx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EOS-S04C: Aso-Ebi, Aso-Oke &amp; Event Merchandise Coordination. This is prompt 3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MerchandiseCollection, MerchandiseItem and ItemVariant; HostOfferRule and per-person GuestOffer; GuestParticipation and private choice; CapMeasurement with consent and withdrawal; VendorAssignment and attributed VendorUpdate; Fulfilment, ExternalContactLink and MerchandiseException.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Contract requirement: Every intended wearer or recipient resolves to an independent guestId.</w:t>
      </w:r>
    </w:p>
    <w:p>
      <w:pPr>
        <w:pStyle w:val="ListBullet"/>
      </w:pPr>
      <w:r>
        <w:t>Contract requirement: Host cohort rules materialise separate guest offers; they never alter guest tier or access.</w:t>
      </w:r>
    </w:p>
    <w:p>
      <w:pPr>
        <w:pStyle w:val="ListBullet"/>
      </w:pPr>
      <w:r>
        <w:t>Contract requirement: Only cap circumference may be captured when genuinely required for made-to-measure headwear.</w:t>
      </w:r>
    </w:p>
    <w:p>
      <w:pPr>
        <w:pStyle w:val="ListBullet"/>
      </w:pPr>
      <w:r>
        <w:t>Contract requirement: No other body measurements, fitting photographs, health inference or automated sizing.</w:t>
      </w:r>
    </w:p>
    <w:p>
      <w:pPr>
        <w:pStyle w:val="ListBullet"/>
      </w:pPr>
      <w:r>
        <w:t>Contract requirement: Maison Doclar never receives, reconciles, refunds or guarantees guest payment.</w:t>
      </w:r>
    </w:p>
    <w:p>
      <w:pPr>
        <w:pStyle w:val="ListBullet"/>
      </w:pPr>
      <w:r>
        <w:t>Contract requirement: Vendor assertions remain attributed and unverified until Maison Doclar review.</w:t>
      </w:r>
    </w:p>
    <w:p>
      <w:pPr>
        <w:pStyle w:val="ListBullet"/>
      </w:pPr>
      <w:r>
        <w:t>Canonical record: MerchandiseCollection, MerchandiseItem and ItemVariant</w:t>
      </w:r>
    </w:p>
    <w:p>
      <w:pPr>
        <w:pStyle w:val="ListBullet"/>
      </w:pPr>
      <w:r>
        <w:t>Canonical record: HostOfferRule and per-person GuestOffer</w:t>
      </w:r>
    </w:p>
    <w:p>
      <w:pPr>
        <w:pStyle w:val="ListBullet"/>
      </w:pPr>
      <w:r>
        <w:t>Canonical record: GuestParticipation and private choice</w:t>
      </w:r>
    </w:p>
    <w:p>
      <w:pPr>
        <w:pStyle w:val="ListBullet"/>
      </w:pPr>
      <w:r>
        <w:t>Canonical record: CapMeasurement with consent and withdrawal</w:t>
      </w:r>
    </w:p>
    <w:p>
      <w:pPr>
        <w:pStyle w:val="ListBullet"/>
      </w:pPr>
      <w:r>
        <w:t>Canonical record: VendorAssignment and attributed VendorUpdate</w:t>
      </w:r>
    </w:p>
    <w:p>
      <w:pPr>
        <w:pStyle w:val="ListBullet"/>
      </w:pPr>
      <w:r>
        <w:t>Canonical record: Fulfilment, ExternalContactLink and MerchandiseException</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add EOS-S04C persistence and migrations.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EOS-S04C-P03</w:t>
      </w:r>
    </w:p>
    <w:p>
      <w:pPr>
        <w:pStyle w:val="Heading2"/>
      </w:pPr>
      <w:r>
        <w:t>Backend services, transactions and projections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EOS-S04C-P02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docs/control/Maison_Doclar_EOS-S04C_Controlled_Slice_Pack_v1.0_DRAFT.docx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EOS-S04C: Aso-Ebi, Aso-Oke &amp; Event Merchandise Coordination. This is prompt 4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MerchandiseCollection, MerchandiseItem and ItemVariant; HostOfferRule and per-person GuestOffer; GuestParticipation and private choice; CapMeasurement with consent and withdrawal; VendorAssignment and attributed VendorUpdate; Fulfilment, ExternalContactLink and MerchandiseException.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Service/security law: Every intended wearer or recipient resolves to an independent guestId.</w:t>
      </w:r>
    </w:p>
    <w:p>
      <w:pPr>
        <w:pStyle w:val="ListBullet"/>
      </w:pPr>
      <w:r>
        <w:t>Service/security law: Host cohort rules materialise separate guest offers; they never alter guest tier or access.</w:t>
      </w:r>
    </w:p>
    <w:p>
      <w:pPr>
        <w:pStyle w:val="ListBullet"/>
      </w:pPr>
      <w:r>
        <w:t>Service/security law: Only cap circumference may be captured when genuinely required for made-to-measure headwear.</w:t>
      </w:r>
    </w:p>
    <w:p>
      <w:pPr>
        <w:pStyle w:val="ListBullet"/>
      </w:pPr>
      <w:r>
        <w:t>Service/security law: No other body measurements, fitting photographs, health inference or automated sizing.</w:t>
      </w:r>
    </w:p>
    <w:p>
      <w:pPr>
        <w:pStyle w:val="ListBullet"/>
      </w:pPr>
      <w:r>
        <w:t>Service/security law: Maison Doclar never receives, reconciles, refunds or guarantees guest payment.</w:t>
      </w:r>
    </w:p>
    <w:p>
      <w:pPr>
        <w:pStyle w:val="ListBullet"/>
      </w:pPr>
      <w:r>
        <w:t>Service/security law: Vendor assertions remain attributed and unverified until Maison Doclar review.</w:t>
      </w:r>
    </w:p>
    <w:p>
      <w:pPr>
        <w:pStyle w:val="ListBullet"/>
      </w:pPr>
      <w:r>
        <w:t>Negative path: money-handling drift</w:t>
      </w:r>
    </w:p>
    <w:p>
      <w:pPr>
        <w:pStyle w:val="ListBullet"/>
      </w:pPr>
      <w:r>
        <w:t>Negative path: private choices leaking through household views</w:t>
      </w:r>
    </w:p>
    <w:p>
      <w:pPr>
        <w:pStyle w:val="ListBullet"/>
      </w:pPr>
      <w:r>
        <w:t>Negative path: measurement overcollection</w:t>
      </w:r>
    </w:p>
    <w:p>
      <w:pPr>
        <w:pStyle w:val="ListBullet"/>
      </w:pPr>
      <w:r>
        <w:t>Negative path: vendor cross-event access</w:t>
      </w:r>
    </w:p>
    <w:p>
      <w:pPr>
        <w:pStyle w:val="ListBullet"/>
      </w:pPr>
      <w:r>
        <w:t>Negative path: external payment status presented as Maison Doclar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implement EOS-S04C backend services.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EOS-S04C-P04</w:t>
      </w:r>
    </w:p>
    <w:p>
      <w:pPr>
        <w:pStyle w:val="Heading2"/>
      </w:pPr>
      <w:r>
        <w:t>Permissions, privacy, security and audit</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EOS-S04C-P03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docs/control/Maison_Doclar_EOS-S04C_Controlled_Slice_Pack_v1.0_DRAFT.docx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EOS-S04C: Aso-Ebi, Aso-Oke &amp; Event Merchandise Coordination. This is prompt 5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MerchandiseCollection, MerchandiseItem and ItemVariant; HostOfferRule and per-person GuestOffer; GuestParticipation and private choice; CapMeasurement with consent and withdrawal; VendorAssignment and attributed VendorUpdate; Fulfilment, ExternalContactLink and MerchandiseException.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Service/security law: Every intended wearer or recipient resolves to an independent guestId.</w:t>
      </w:r>
    </w:p>
    <w:p>
      <w:pPr>
        <w:pStyle w:val="ListBullet"/>
      </w:pPr>
      <w:r>
        <w:t>Service/security law: Host cohort rules materialise separate guest offers; they never alter guest tier or access.</w:t>
      </w:r>
    </w:p>
    <w:p>
      <w:pPr>
        <w:pStyle w:val="ListBullet"/>
      </w:pPr>
      <w:r>
        <w:t>Service/security law: Only cap circumference may be captured when genuinely required for made-to-measure headwear.</w:t>
      </w:r>
    </w:p>
    <w:p>
      <w:pPr>
        <w:pStyle w:val="ListBullet"/>
      </w:pPr>
      <w:r>
        <w:t>Service/security law: No other body measurements, fitting photographs, health inference or automated sizing.</w:t>
      </w:r>
    </w:p>
    <w:p>
      <w:pPr>
        <w:pStyle w:val="ListBullet"/>
      </w:pPr>
      <w:r>
        <w:t>Service/security law: Maison Doclar never receives, reconciles, refunds or guarantees guest payment.</w:t>
      </w:r>
    </w:p>
    <w:p>
      <w:pPr>
        <w:pStyle w:val="ListBullet"/>
      </w:pPr>
      <w:r>
        <w:t>Service/security law: Vendor assertions remain attributed and unverified until Maison Doclar review.</w:t>
      </w:r>
    </w:p>
    <w:p>
      <w:pPr>
        <w:pStyle w:val="ListBullet"/>
      </w:pPr>
      <w:r>
        <w:t>Negative path: money-handling drift</w:t>
      </w:r>
    </w:p>
    <w:p>
      <w:pPr>
        <w:pStyle w:val="ListBullet"/>
      </w:pPr>
      <w:r>
        <w:t>Negative path: private choices leaking through household views</w:t>
      </w:r>
    </w:p>
    <w:p>
      <w:pPr>
        <w:pStyle w:val="ListBullet"/>
      </w:pPr>
      <w:r>
        <w:t>Negative path: measurement overcollection</w:t>
      </w:r>
    </w:p>
    <w:p>
      <w:pPr>
        <w:pStyle w:val="ListBullet"/>
      </w:pPr>
      <w:r>
        <w:t>Negative path: vendor cross-event access</w:t>
      </w:r>
    </w:p>
    <w:p>
      <w:pPr>
        <w:pStyle w:val="ListBullet"/>
      </w:pPr>
      <w:r>
        <w:t>Negative path: external payment status presented as Maison Doclar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fix(event-os): enforce EOS-S04C authority and audit.</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EOS-S04C-P05</w:t>
      </w:r>
    </w:p>
    <w:p>
      <w:pPr>
        <w:pStyle w:val="Heading2"/>
      </w:pPr>
      <w:r>
        <w:t>Backend contract and domain verification</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EOS-S04C-P04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docs/control/Maison_Doclar_EOS-S04C_Controlled_Slice_Pack_v1.0_DRAFT.docx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EOS-S04C: Aso-Ebi, Aso-Oke &amp; Event Merchandise Coordination. This is prompt 6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or verify canonical contracts for: MerchandiseCollection, MerchandiseItem and ItemVariant; HostOfferRule and per-person GuestOffer; GuestParticipation and private choice; CapMeasurement with consent and withdrawal; VendorAssignment and attributed VendorUpdate; Fulfilment, ExternalContactLink and MerchandiseException.</w:t>
      </w:r>
    </w:p>
    <w:p>
      <w:pPr>
        <w:pStyle w:val="ListBullet"/>
      </w:pPr>
      <w:r>
        <w:t>Prefer shared runtime schemas with inferred types. Parse every external boundary and form payload server-side.</w:t>
      </w:r>
    </w:p>
    <w:p>
      <w:pPr>
        <w:pStyle w:val="ListBullet"/>
      </w:pPr>
      <w:r>
        <w:t>Preserve organisation/client/event/person/purpose scope, optimistic concurrency, idempotency, provenance and audit.</w:t>
      </w:r>
    </w:p>
    <w:p>
      <w:pPr>
        <w:pStyle w:val="ListBullet"/>
      </w:pPr>
      <w:r>
        <w:t>Use atomic transactions for coupled truth changes. Projections are allowlisted and domain truth is never serialised wholesale.</w:t>
      </w:r>
    </w:p>
    <w:p>
      <w:pPr>
        <w:pStyle w:val="ListBullet"/>
      </w:pPr>
      <w:r>
        <w:t>Add positive and negative unit/contract tests including stale version, replay, cross-event access and failure rollback.</w:t>
      </w:r>
    </w:p>
    <w:p>
      <w:pPr>
        <w:pStyle w:val="Heading3"/>
      </w:pPr>
      <w:r>
        <w:t>C. Slice-specific requirements</w:t>
      </w:r>
    </w:p>
    <w:p>
      <w:pPr>
        <w:pStyle w:val="ListBullet"/>
      </w:pPr>
      <w:r>
        <w:t>Required domain verification: Offer different items to named guests and confirmed cohorts.</w:t>
      </w:r>
    </w:p>
    <w:p>
      <w:pPr>
        <w:pStyle w:val="ListBullet"/>
      </w:pPr>
      <w:r>
        <w:t>Required domain verification: Record a guest choice without exposing another adult’s choice to a household member.</w:t>
      </w:r>
    </w:p>
    <w:p>
      <w:pPr>
        <w:pStyle w:val="ListBullet"/>
      </w:pPr>
      <w:r>
        <w:t>Required domain verification: Capture and withdraw cap circumference consent.</w:t>
      </w:r>
    </w:p>
    <w:p>
      <w:pPr>
        <w:pStyle w:val="ListBullet"/>
      </w:pPr>
      <w:r>
        <w:t>Required domain verification: Hand off to a vendor without disclosing an unrestricted guest list.</w:t>
      </w:r>
    </w:p>
    <w:p>
      <w:pPr>
        <w:pStyle w:val="ListBullet"/>
      </w:pPr>
      <w:r>
        <w:t>Required domain verification: Receive, verify or reject an attributed vendor update.</w:t>
      </w:r>
    </w:p>
    <w:p>
      <w:pPr>
        <w:pStyle w:val="ListBullet"/>
      </w:pPr>
      <w:r>
        <w:t>Required domain verification: Track collection/delivery exception without handling money.</w:t>
      </w:r>
    </w:p>
    <w:p>
      <w:pPr>
        <w:pStyle w:val="ListBullet"/>
      </w:pPr>
      <w:r>
        <w:t>Prove prevention of money-handling drift.</w:t>
      </w:r>
    </w:p>
    <w:p>
      <w:pPr>
        <w:pStyle w:val="ListBullet"/>
      </w:pPr>
      <w:r>
        <w:t>Prove prevention of private choices leaking through household views.</w:t>
      </w:r>
    </w:p>
    <w:p>
      <w:pPr>
        <w:pStyle w:val="ListBullet"/>
      </w:pPr>
      <w:r>
        <w:t>Prove prevention of measurement overcollection.</w:t>
      </w:r>
    </w:p>
    <w:p>
      <w:pPr>
        <w:pStyle w:val="ListBullet"/>
      </w:pPr>
      <w:r>
        <w:t>Prove prevention of vendor cross-event access.</w:t>
      </w:r>
    </w:p>
    <w:p>
      <w:pPr>
        <w:pStyle w:val="ListBullet"/>
      </w:pPr>
      <w:r>
        <w:t>Prove prevention of external payment status presented as Maison Doclar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test(event-os): verify EOS-S04C backend contracts.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EOS-S04C-P06</w:t>
      </w:r>
    </w:p>
    <w:p>
      <w:pPr>
        <w:pStyle w:val="Heading2"/>
      </w:pPr>
      <w:r>
        <w:t>Frontend experience architecture and typed contract map</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EOS-S04C-P05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docs/control/Maison_Doclar_EOS-S04C_Controlled_Slice_Pack_v1.0_DRAFT.docx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EOS-S04C: Aso-Ebi, Aso-Oke &amp; Event Merchandise Coordination. This is prompt 7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Specify information architecture and component ownership for: Host collection and offer-rule workspace; Private guest choice surface; Consent-led optional cap measurement; Vendor-direct contact handoff; Narrow event/item-scoped vendor update portal; Fulfilment and exception workspace; Protected aggregate projections into Guest List and RSVP.</w:t>
      </w:r>
    </w:p>
    <w:p>
      <w:pPr>
        <w:pStyle w:val="ListBullet"/>
      </w:pPr>
      <w:r>
        <w:t>Map every rendered field and action to a typed server projection/action; identify prohibited fields and client authority.</w:t>
      </w:r>
    </w:p>
    <w:p>
      <w:pPr>
        <w:pStyle w:val="ListBullet"/>
      </w:pPr>
      <w:r>
        <w:t>Define mobile-first compositions at 360, 768 and 1440px plus loading, empty, error, stale, forbidden, partial and success states.</w:t>
      </w:r>
    </w:p>
    <w:p>
      <w:pPr>
        <w:pStyle w:val="ListBullet"/>
      </w:pPr>
      <w:r>
        <w:t>Define exact interaction copy, focus order, keyboard behaviour, announcements, reduced motion and 200% zoom behaviour.</w:t>
      </w:r>
    </w:p>
    <w:p>
      <w:pPr>
        <w:pStyle w:val="ListBullet"/>
      </w:pPr>
      <w:r>
        <w:t>This prompt may add a controlled frontend design/contract document only; it must not improvise product code beyond its stated scope.</w:t>
      </w:r>
    </w:p>
    <w:p>
      <w:pPr>
        <w:pStyle w:val="Heading3"/>
      </w:pPr>
      <w:r>
        <w:t>C. Slice-specific requirements</w:t>
      </w:r>
    </w:p>
    <w:p>
      <w:pPr>
        <w:pStyle w:val="ListBullet"/>
      </w:pPr>
      <w:r>
        <w:t>Required surface: Host collection and offer-rule workspace</w:t>
      </w:r>
    </w:p>
    <w:p>
      <w:pPr>
        <w:pStyle w:val="ListBullet"/>
      </w:pPr>
      <w:r>
        <w:t>Required surface: Private guest choice surface</w:t>
      </w:r>
    </w:p>
    <w:p>
      <w:pPr>
        <w:pStyle w:val="ListBullet"/>
      </w:pPr>
      <w:r>
        <w:t>Required surface: Consent-led optional cap measurement</w:t>
      </w:r>
    </w:p>
    <w:p>
      <w:pPr>
        <w:pStyle w:val="ListBullet"/>
      </w:pPr>
      <w:r>
        <w:t>Required surface: Vendor-direct contact handoff</w:t>
      </w:r>
    </w:p>
    <w:p>
      <w:pPr>
        <w:pStyle w:val="ListBullet"/>
      </w:pPr>
      <w:r>
        <w:t>Required surface: Narrow event/item-scoped vendor update portal</w:t>
      </w:r>
    </w:p>
    <w:p>
      <w:pPr>
        <w:pStyle w:val="ListBullet"/>
      </w:pPr>
      <w:r>
        <w:t>Required surface: Fulfilment and exception workspace</w:t>
      </w:r>
    </w:p>
    <w:p>
      <w:pPr>
        <w:pStyle w:val="ListBullet"/>
      </w:pPr>
      <w:r>
        <w:t>Required surface: Protected aggregate projections into Guest List and RSVP</w:t>
      </w:r>
    </w:p>
    <w:p>
      <w:pPr>
        <w:pStyle w:val="ListBullet"/>
      </w:pPr>
      <w:r>
        <w:t>UI must support: Offer different items to named guests and confirmed cohorts.</w:t>
      </w:r>
    </w:p>
    <w:p>
      <w:pPr>
        <w:pStyle w:val="ListBullet"/>
      </w:pPr>
      <w:r>
        <w:t>UI must support: Record a guest choice without exposing another adult’s choice to a household member.</w:t>
      </w:r>
    </w:p>
    <w:p>
      <w:pPr>
        <w:pStyle w:val="ListBullet"/>
      </w:pPr>
      <w:r>
        <w:t>UI must support: Capture and withdraw cap circumference consent.</w:t>
      </w:r>
    </w:p>
    <w:p>
      <w:pPr>
        <w:pStyle w:val="ListBullet"/>
      </w:pPr>
      <w:r>
        <w:t>UI must support: Hand off to a vendor without disclosing an unrestricted guest list.</w:t>
      </w:r>
    </w:p>
    <w:p>
      <w:pPr>
        <w:pStyle w:val="ListBullet"/>
      </w:pPr>
      <w:r>
        <w:t>UI must support: Receive, verify or reject an attributed vendor update.</w:t>
      </w:r>
    </w:p>
    <w:p>
      <w:pPr>
        <w:pStyle w:val="ListBullet"/>
      </w:pPr>
      <w:r>
        <w:t>UI must support: Track collection/delivery exception without handling money.</w:t>
      </w:r>
    </w:p>
    <w:p>
      <w:pPr>
        <w:pStyle w:val="ListBullet"/>
      </w:pPr>
      <w:r>
        <w:t>UI must not permit money-handling drift.</w:t>
      </w:r>
    </w:p>
    <w:p>
      <w:pPr>
        <w:pStyle w:val="ListBullet"/>
      </w:pPr>
      <w:r>
        <w:t>UI must not permit private choices leaking through household views.</w:t>
      </w:r>
    </w:p>
    <w:p>
      <w:pPr>
        <w:pStyle w:val="ListBullet"/>
      </w:pPr>
      <w:r>
        <w:t>UI must not permit measurement overcollection.</w:t>
      </w:r>
    </w:p>
    <w:p>
      <w:pPr>
        <w:pStyle w:val="ListBullet"/>
      </w:pPr>
      <w:r>
        <w:t>UI must not permit vendor cross-event access.</w:t>
      </w:r>
    </w:p>
    <w:p>
      <w:pPr>
        <w:pStyle w:val="ListBullet"/>
      </w:pPr>
      <w:r>
        <w:t>UI must not permit external payment status presented as Maison Doclar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docs(event-os): specify EOS-S04C frontend architecture.</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EOS-S04C-P07</w:t>
      </w:r>
    </w:p>
    <w:p>
      <w:pPr>
        <w:pStyle w:val="Heading2"/>
      </w:pPr>
      <w:r>
        <w:t>Primary frontend surfaces and interactions</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EOS-S04C-P06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docs/control/Maison_Doclar_EOS-S04C_Controlled_Slice_Pack_v1.0_DRAFT.docx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EOS-S04C: Aso-Ebi, Aso-Oke &amp; Event Merchandise Coordination. This is prompt 8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the approved surfaces: Host collection and offer-rule workspace; Private guest choice surface; Consent-led optional cap measurement; Vendor-direct contact handoff; Narrow event/item-scoped vendor update portal; Fulfilment and exception workspace; Protected aggregate projections into Guest List and RSVP.</w:t>
      </w:r>
    </w:p>
    <w:p>
      <w:pPr>
        <w:pStyle w:val="ListBullet"/>
      </w:pPr>
      <w:r>
        <w:t>Use typed loaders/actions and exported schemas; no raw snapshot, broad object, client-only permission or invented field.</w:t>
      </w:r>
    </w:p>
    <w:p>
      <w:pPr>
        <w:pStyle w:val="ListBullet"/>
      </w:pPr>
      <w:r>
        <w:t>Implement every state from the architecture prompt, not only the happy path. Preserve long names, titles and diacritics.</w:t>
      </w:r>
    </w:p>
    <w:p>
      <w:pPr>
        <w:pStyle w:val="ListBullet"/>
      </w:pPr>
      <w:r>
        <w:t>Use the established design system with deliberate hierarchy and complete responsive transformation, not raw tables or generic cards.</w:t>
      </w:r>
    </w:p>
    <w:p>
      <w:pPr>
        <w:pStyle w:val="ListBullet"/>
      </w:pPr>
      <w:r>
        <w:t>Add component and browser tests for actions, errors, permissions, accessibility and layout.</w:t>
      </w:r>
    </w:p>
    <w:p>
      <w:pPr>
        <w:pStyle w:val="Heading3"/>
      </w:pPr>
      <w:r>
        <w:t>C. Slice-specific requirements</w:t>
      </w:r>
    </w:p>
    <w:p>
      <w:pPr>
        <w:pStyle w:val="ListBullet"/>
      </w:pPr>
      <w:r>
        <w:t>Required surface: Host collection and offer-rule workspace</w:t>
      </w:r>
    </w:p>
    <w:p>
      <w:pPr>
        <w:pStyle w:val="ListBullet"/>
      </w:pPr>
      <w:r>
        <w:t>Required surface: Private guest choice surface</w:t>
      </w:r>
    </w:p>
    <w:p>
      <w:pPr>
        <w:pStyle w:val="ListBullet"/>
      </w:pPr>
      <w:r>
        <w:t>Required surface: Consent-led optional cap measurement</w:t>
      </w:r>
    </w:p>
    <w:p>
      <w:pPr>
        <w:pStyle w:val="ListBullet"/>
      </w:pPr>
      <w:r>
        <w:t>Required surface: Vendor-direct contact handoff</w:t>
      </w:r>
    </w:p>
    <w:p>
      <w:pPr>
        <w:pStyle w:val="ListBullet"/>
      </w:pPr>
      <w:r>
        <w:t>Required surface: Narrow event/item-scoped vendor update portal</w:t>
      </w:r>
    </w:p>
    <w:p>
      <w:pPr>
        <w:pStyle w:val="ListBullet"/>
      </w:pPr>
      <w:r>
        <w:t>Required surface: Fulfilment and exception workspace</w:t>
      </w:r>
    </w:p>
    <w:p>
      <w:pPr>
        <w:pStyle w:val="ListBullet"/>
      </w:pPr>
      <w:r>
        <w:t>Required surface: Protected aggregate projections into Guest List and RSVP</w:t>
      </w:r>
    </w:p>
    <w:p>
      <w:pPr>
        <w:pStyle w:val="ListBullet"/>
      </w:pPr>
      <w:r>
        <w:t>UI must support: Offer different items to named guests and confirmed cohorts.</w:t>
      </w:r>
    </w:p>
    <w:p>
      <w:pPr>
        <w:pStyle w:val="ListBullet"/>
      </w:pPr>
      <w:r>
        <w:t>UI must support: Record a guest choice without exposing another adult’s choice to a household member.</w:t>
      </w:r>
    </w:p>
    <w:p>
      <w:pPr>
        <w:pStyle w:val="ListBullet"/>
      </w:pPr>
      <w:r>
        <w:t>UI must support: Capture and withdraw cap circumference consent.</w:t>
      </w:r>
    </w:p>
    <w:p>
      <w:pPr>
        <w:pStyle w:val="ListBullet"/>
      </w:pPr>
      <w:r>
        <w:t>UI must support: Hand off to a vendor without disclosing an unrestricted guest list.</w:t>
      </w:r>
    </w:p>
    <w:p>
      <w:pPr>
        <w:pStyle w:val="ListBullet"/>
      </w:pPr>
      <w:r>
        <w:t>UI must support: Receive, verify or reject an attributed vendor update.</w:t>
      </w:r>
    </w:p>
    <w:p>
      <w:pPr>
        <w:pStyle w:val="ListBullet"/>
      </w:pPr>
      <w:r>
        <w:t>UI must support: Track collection/delivery exception without handling money.</w:t>
      </w:r>
    </w:p>
    <w:p>
      <w:pPr>
        <w:pStyle w:val="ListBullet"/>
      </w:pPr>
      <w:r>
        <w:t>UI must not permit money-handling drift.</w:t>
      </w:r>
    </w:p>
    <w:p>
      <w:pPr>
        <w:pStyle w:val="ListBullet"/>
      </w:pPr>
      <w:r>
        <w:t>UI must not permit private choices leaking through household views.</w:t>
      </w:r>
    </w:p>
    <w:p>
      <w:pPr>
        <w:pStyle w:val="ListBullet"/>
      </w:pPr>
      <w:r>
        <w:t>UI must not permit measurement overcollection.</w:t>
      </w:r>
    </w:p>
    <w:p>
      <w:pPr>
        <w:pStyle w:val="ListBullet"/>
      </w:pPr>
      <w:r>
        <w:t>UI must not permit vendor cross-event access.</w:t>
      </w:r>
    </w:p>
    <w:p>
      <w:pPr>
        <w:pStyle w:val="ListBullet"/>
      </w:pPr>
      <w:r>
        <w:t>UI must not permit external payment status presented as Maison Doclar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feat(event-os): implement EOS-S04C primary experience.</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EOS-S04C-P08</w:t>
      </w:r>
    </w:p>
    <w:p>
      <w:pPr>
        <w:pStyle w:val="Heading2"/>
      </w:pPr>
      <w:r>
        <w:t>Frontend states, accessibility and responsive hardening</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EOS-S04C-P07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docs/control/Maison_Doclar_EOS-S04C_Controlled_Slice_Pack_v1.0_DRAFT.docx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EOS-S04C: Aso-Ebi, Aso-Oke &amp; Event Merchandise Coordination. This is prompt 9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the approved surfaces: Host collection and offer-rule workspace; Private guest choice surface; Consent-led optional cap measurement; Vendor-direct contact handoff; Narrow event/item-scoped vendor update portal; Fulfilment and exception workspace; Protected aggregate projections into Guest List and RSVP.</w:t>
      </w:r>
    </w:p>
    <w:p>
      <w:pPr>
        <w:pStyle w:val="ListBullet"/>
      </w:pPr>
      <w:r>
        <w:t>Use typed loaders/actions and exported schemas; no raw snapshot, broad object, client-only permission or invented field.</w:t>
      </w:r>
    </w:p>
    <w:p>
      <w:pPr>
        <w:pStyle w:val="ListBullet"/>
      </w:pPr>
      <w:r>
        <w:t>Implement every state from the architecture prompt, not only the happy path. Preserve long names, titles and diacritics.</w:t>
      </w:r>
    </w:p>
    <w:p>
      <w:pPr>
        <w:pStyle w:val="ListBullet"/>
      </w:pPr>
      <w:r>
        <w:t>Use the established design system with deliberate hierarchy and complete responsive transformation, not raw tables or generic cards.</w:t>
      </w:r>
    </w:p>
    <w:p>
      <w:pPr>
        <w:pStyle w:val="ListBullet"/>
      </w:pPr>
      <w:r>
        <w:t>Add component and browser tests for actions, errors, permissions, accessibility and layout.</w:t>
      </w:r>
    </w:p>
    <w:p>
      <w:pPr>
        <w:pStyle w:val="Heading3"/>
      </w:pPr>
      <w:r>
        <w:t>C. Slice-specific requirements</w:t>
      </w:r>
    </w:p>
    <w:p>
      <w:pPr>
        <w:pStyle w:val="ListBullet"/>
      </w:pPr>
      <w:r>
        <w:t>Required surface: Host collection and offer-rule workspace</w:t>
      </w:r>
    </w:p>
    <w:p>
      <w:pPr>
        <w:pStyle w:val="ListBullet"/>
      </w:pPr>
      <w:r>
        <w:t>Required surface: Private guest choice surface</w:t>
      </w:r>
    </w:p>
    <w:p>
      <w:pPr>
        <w:pStyle w:val="ListBullet"/>
      </w:pPr>
      <w:r>
        <w:t>Required surface: Consent-led optional cap measurement</w:t>
      </w:r>
    </w:p>
    <w:p>
      <w:pPr>
        <w:pStyle w:val="ListBullet"/>
      </w:pPr>
      <w:r>
        <w:t>Required surface: Vendor-direct contact handoff</w:t>
      </w:r>
    </w:p>
    <w:p>
      <w:pPr>
        <w:pStyle w:val="ListBullet"/>
      </w:pPr>
      <w:r>
        <w:t>Required surface: Narrow event/item-scoped vendor update portal</w:t>
      </w:r>
    </w:p>
    <w:p>
      <w:pPr>
        <w:pStyle w:val="ListBullet"/>
      </w:pPr>
      <w:r>
        <w:t>Required surface: Fulfilment and exception workspace</w:t>
      </w:r>
    </w:p>
    <w:p>
      <w:pPr>
        <w:pStyle w:val="ListBullet"/>
      </w:pPr>
      <w:r>
        <w:t>Required surface: Protected aggregate projections into Guest List and RSVP</w:t>
      </w:r>
    </w:p>
    <w:p>
      <w:pPr>
        <w:pStyle w:val="ListBullet"/>
      </w:pPr>
      <w:r>
        <w:t>UI must support: Offer different items to named guests and confirmed cohorts.</w:t>
      </w:r>
    </w:p>
    <w:p>
      <w:pPr>
        <w:pStyle w:val="ListBullet"/>
      </w:pPr>
      <w:r>
        <w:t>UI must support: Record a guest choice without exposing another adult’s choice to a household member.</w:t>
      </w:r>
    </w:p>
    <w:p>
      <w:pPr>
        <w:pStyle w:val="ListBullet"/>
      </w:pPr>
      <w:r>
        <w:t>UI must support: Capture and withdraw cap circumference consent.</w:t>
      </w:r>
    </w:p>
    <w:p>
      <w:pPr>
        <w:pStyle w:val="ListBullet"/>
      </w:pPr>
      <w:r>
        <w:t>UI must support: Hand off to a vendor without disclosing an unrestricted guest list.</w:t>
      </w:r>
    </w:p>
    <w:p>
      <w:pPr>
        <w:pStyle w:val="ListBullet"/>
      </w:pPr>
      <w:r>
        <w:t>UI must support: Receive, verify or reject an attributed vendor update.</w:t>
      </w:r>
    </w:p>
    <w:p>
      <w:pPr>
        <w:pStyle w:val="ListBullet"/>
      </w:pPr>
      <w:r>
        <w:t>UI must support: Track collection/delivery exception without handling money.</w:t>
      </w:r>
    </w:p>
    <w:p>
      <w:pPr>
        <w:pStyle w:val="ListBullet"/>
      </w:pPr>
      <w:r>
        <w:t>UI must not permit money-handling drift.</w:t>
      </w:r>
    </w:p>
    <w:p>
      <w:pPr>
        <w:pStyle w:val="ListBullet"/>
      </w:pPr>
      <w:r>
        <w:t>UI must not permit private choices leaking through household views.</w:t>
      </w:r>
    </w:p>
    <w:p>
      <w:pPr>
        <w:pStyle w:val="ListBullet"/>
      </w:pPr>
      <w:r>
        <w:t>UI must not permit measurement overcollection.</w:t>
      </w:r>
    </w:p>
    <w:p>
      <w:pPr>
        <w:pStyle w:val="ListBullet"/>
      </w:pPr>
      <w:r>
        <w:t>UI must not permit vendor cross-event access.</w:t>
      </w:r>
    </w:p>
    <w:p>
      <w:pPr>
        <w:pStyle w:val="ListBullet"/>
      </w:pPr>
      <w:r>
        <w:t>UI must not permit external payment status presented as Maison Doclar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fix(event-os): harden EOS-S04C frontend states.</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EOS-S04C-P09</w:t>
      </w:r>
    </w:p>
    <w:p>
      <w:pPr>
        <w:pStyle w:val="Heading2"/>
      </w:pPr>
      <w:r>
        <w:t>Integration, cross-platform E2E and visual evidence</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EOS-S04C-P08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docs/control/Maison_Doclar_EOS-S04C_Controlled_Slice_Pack_v1.0_DRAFT.docx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EOS-S04C: Aso-Ebi, Aso-Oke &amp; Event Merchandise Coordination. This is prompt 10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Reconcile server schemas, projections, loaders/actions, forms and rendered copy end to end; remove duplicate or drifting types.</w:t>
      </w:r>
    </w:p>
    <w:p>
      <w:pPr>
        <w:pStyle w:val="ListBullet"/>
      </w:pPr>
      <w:r>
        <w:t>Exercise every named journey with isolated identities and deterministic synthetic data.</w:t>
      </w:r>
    </w:p>
    <w:p>
      <w:pPr>
        <w:pStyle w:val="ListBullet"/>
      </w:pPr>
      <w:r>
        <w:t>Run real browser verification at 360, 768 and 1440px, keyboard-only, visible focus, 200% zoom and reduced motion.</w:t>
      </w:r>
    </w:p>
    <w:p>
      <w:pPr>
        <w:pStyle w:val="ListBullet"/>
      </w:pPr>
      <w:r>
        <w:t>Run full regression and E2E suites. Distinguish environmental blockers from source defects; do not silently skip failures.</w:t>
      </w:r>
    </w:p>
    <w:p>
      <w:pPr>
        <w:pStyle w:val="ListBullet"/>
      </w:pPr>
      <w:r>
        <w:t>Save only repository-authorised evidence and report exact commands, counts, screenshots/trace paths and defects resolved.</w:t>
      </w:r>
    </w:p>
    <w:p>
      <w:pPr>
        <w:pStyle w:val="Heading3"/>
      </w:pPr>
      <w:r>
        <w:t>C. Slice-specific requirements</w:t>
      </w:r>
    </w:p>
    <w:p>
      <w:pPr>
        <w:pStyle w:val="ListBullet"/>
      </w:pPr>
      <w:r>
        <w:t>E2E journey: Offer different items to named guests and confirmed cohorts.</w:t>
      </w:r>
    </w:p>
    <w:p>
      <w:pPr>
        <w:pStyle w:val="ListBullet"/>
      </w:pPr>
      <w:r>
        <w:t>E2E journey: Record a guest choice without exposing another adult’s choice to a household member.</w:t>
      </w:r>
    </w:p>
    <w:p>
      <w:pPr>
        <w:pStyle w:val="ListBullet"/>
      </w:pPr>
      <w:r>
        <w:t>E2E journey: Capture and withdraw cap circumference consent.</w:t>
      </w:r>
    </w:p>
    <w:p>
      <w:pPr>
        <w:pStyle w:val="ListBullet"/>
      </w:pPr>
      <w:r>
        <w:t>E2E journey: Hand off to a vendor without disclosing an unrestricted guest list.</w:t>
      </w:r>
    </w:p>
    <w:p>
      <w:pPr>
        <w:pStyle w:val="ListBullet"/>
      </w:pPr>
      <w:r>
        <w:t>E2E journey: Receive, verify or reject an attributed vendor update.</w:t>
      </w:r>
    </w:p>
    <w:p>
      <w:pPr>
        <w:pStyle w:val="ListBullet"/>
      </w:pPr>
      <w:r>
        <w:t>E2E journey: Track collection/delivery exception without handling money.</w:t>
      </w:r>
    </w:p>
    <w:p>
      <w:pPr>
        <w:pStyle w:val="ListBullet"/>
      </w:pPr>
      <w:r>
        <w:t>Adversarial E2E: money-handling drift</w:t>
      </w:r>
    </w:p>
    <w:p>
      <w:pPr>
        <w:pStyle w:val="ListBullet"/>
      </w:pPr>
      <w:r>
        <w:t>Adversarial E2E: private choices leaking through household views</w:t>
      </w:r>
    </w:p>
    <w:p>
      <w:pPr>
        <w:pStyle w:val="ListBullet"/>
      </w:pPr>
      <w:r>
        <w:t>Adversarial E2E: measurement overcollection</w:t>
      </w:r>
    </w:p>
    <w:p>
      <w:pPr>
        <w:pStyle w:val="ListBullet"/>
      </w:pPr>
      <w:r>
        <w:t>Adversarial E2E: vendor cross-event access</w:t>
      </w:r>
    </w:p>
    <w:p>
      <w:pPr>
        <w:pStyle w:val="ListBullet"/>
      </w:pPr>
      <w:r>
        <w:t>Adversarial E2E: external payment status presented as Maison Doclar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test(event-os): complete EOS-S04C integration evidence.</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EOS-S04C-P10</w:t>
      </w:r>
    </w:p>
    <w:p>
      <w:pPr>
        <w:pStyle w:val="Heading2"/>
      </w:pPr>
      <w:r>
        <w:t>Academy delta, operational documentation and handover</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EOS-S04C-P09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docs/control/Maison_Doclar_EOS-S04C_Controlled_Slice_Pack_v1.0_DRAFT.docx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EOS-S04C: Aso-Ebi, Aso-Oke &amp; Event Merchandise Coordination. This is prompt 11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Implement the ratified Academy delta with role assignment, 80% pass, 90% distinction and retake below 80%.</w:t>
      </w:r>
    </w:p>
    <w:p>
      <w:pPr>
        <w:pStyle w:val="ListBullet"/>
      </w:pPr>
      <w:r>
        <w:t>Keep course completion distinct from operational authorisation and protected-gate signatures.</w:t>
      </w:r>
    </w:p>
    <w:p>
      <w:pPr>
        <w:pStyle w:val="ListBullet"/>
      </w:pPr>
      <w:r>
        <w:t>Update only required current-state, implementation, traceability, schema/API, security/privacy and operator documentation.</w:t>
      </w:r>
    </w:p>
    <w:p>
      <w:pPr>
        <w:pStyle w:val="ListBullet"/>
      </w:pPr>
      <w:r>
        <w:t>Record limitations, human-verification scripts, rollback, migration, no-deployment status and items brought forward.</w:t>
      </w:r>
    </w:p>
    <w:p>
      <w:pPr>
        <w:pStyle w:val="ListBullet"/>
      </w:pPr>
      <w:r>
        <w:t>Do not mark the slice ACCEPTED; implementation evidence remains a claim awaiting independent verification.</w:t>
      </w:r>
    </w:p>
    <w:p>
      <w:pPr>
        <w:pStyle w:val="Heading3"/>
      </w:pPr>
      <w:r>
        <w:t>C. Slice-specific requirements</w:t>
      </w:r>
    </w:p>
    <w:p>
      <w:pPr>
        <w:pStyle w:val="ListBullet"/>
      </w:pPr>
      <w:r>
        <w:t>Training/operator scenario: Offer different items to named guests and confirmed cohorts.</w:t>
      </w:r>
    </w:p>
    <w:p>
      <w:pPr>
        <w:pStyle w:val="ListBullet"/>
      </w:pPr>
      <w:r>
        <w:t>Training/operator scenario: Record a guest choice without exposing another adult’s choice to a household member.</w:t>
      </w:r>
    </w:p>
    <w:p>
      <w:pPr>
        <w:pStyle w:val="ListBullet"/>
      </w:pPr>
      <w:r>
        <w:t>Training/operator scenario: Capture and withdraw cap circumference consent.</w:t>
      </w:r>
    </w:p>
    <w:p>
      <w:pPr>
        <w:pStyle w:val="ListBullet"/>
      </w:pPr>
      <w:r>
        <w:t>Training/operator scenario: Hand off to a vendor without disclosing an unrestricted guest list.</w:t>
      </w:r>
    </w:p>
    <w:p>
      <w:pPr>
        <w:pStyle w:val="ListBullet"/>
      </w:pPr>
      <w:r>
        <w:t>Training/operator scenario: Receive, verify or reject an attributed vendor update.</w:t>
      </w:r>
    </w:p>
    <w:p>
      <w:pPr>
        <w:pStyle w:val="ListBullet"/>
      </w:pPr>
      <w:r>
        <w:t>Training/operator scenario: Track collection/delivery exception without handling money.</w:t>
      </w:r>
    </w:p>
    <w:p>
      <w:pPr>
        <w:pStyle w:val="ListBullet"/>
      </w:pPr>
      <w:r>
        <w:t>Governance warning: money-handling drift</w:t>
      </w:r>
    </w:p>
    <w:p>
      <w:pPr>
        <w:pStyle w:val="ListBullet"/>
      </w:pPr>
      <w:r>
        <w:t>Governance warning: private choices leaking through household views</w:t>
      </w:r>
    </w:p>
    <w:p>
      <w:pPr>
        <w:pStyle w:val="ListBullet"/>
      </w:pPr>
      <w:r>
        <w:t>Governance warning: measurement overcollection</w:t>
      </w:r>
    </w:p>
    <w:p>
      <w:pPr>
        <w:pStyle w:val="ListBullet"/>
      </w:pPr>
      <w:r>
        <w:t>Governance warning: vendor cross-event access</w:t>
      </w:r>
    </w:p>
    <w:p>
      <w:pPr>
        <w:pStyle w:val="ListBullet"/>
      </w:pPr>
      <w:r>
        <w:t>Governance warning: external payment status presented as Maison Doclar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docs(control): record EOS-S04C academy and implementation.</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If every gate passes, continue to the next numbered prompt. Otherwise STOP with evidence.</w:t>
            </w:r>
          </w:p>
        </w:tc>
      </w:tr>
    </w:tbl>
    <w:p>
      <w:pPr>
        <w:spacing w:after="40"/>
      </w:pPr>
    </w:p>
    <w:p>
      <w:r>
        <w:br w:type="page"/>
      </w:r>
    </w:p>
    <w:p>
      <w:pPr>
        <w:pStyle w:val="Heading1"/>
      </w:pPr>
      <w:r>
        <w:t>PROMPT EOS-S04C-P11</w:t>
      </w:r>
    </w:p>
    <w:p>
      <w:pPr>
        <w:pStyle w:val="Heading2"/>
      </w:pPr>
      <w:r>
        <w:t>Whole-slice hardening and independent-review package</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850"/>
        <w:gridCol w:w="7510"/>
      </w:tblGrid>
      <w:tr>
        <w:tc>
          <w:tcPr>
            <w:tcW w:type="dxa" w:w="1850"/>
            <w:vAlign w:val="center"/>
            <w:shd w:fill="E8EEF2"/>
          </w:tcPr>
          <w:p>
            <w:pPr>
              <w:spacing w:after="0"/>
            </w:pPr>
            <w:r>
              <w:rPr>
                <w:rFonts w:ascii="Arial" w:hAnsi="Arial"/>
                <w:b/>
                <w:color w:val="20262B"/>
                <w:sz w:val="17"/>
              </w:rPr>
              <w:t>Control</w:t>
            </w:r>
          </w:p>
        </w:tc>
        <w:tc>
          <w:tcPr>
            <w:tcW w:type="dxa" w:w="7510"/>
            <w:vAlign w:val="center"/>
            <w:shd w:fill="E8EEF2"/>
          </w:tcPr>
          <w:p>
            <w:pPr>
              <w:spacing w:after="0"/>
            </w:pPr>
            <w:r>
              <w:rPr>
                <w:rFonts w:ascii="Arial" w:hAnsi="Arial"/>
                <w:b/>
                <w:color w:val="20262B"/>
                <w:sz w:val="17"/>
              </w:rPr>
              <w:t>Instruction</w:t>
            </w:r>
          </w:p>
        </w:tc>
      </w:tr>
      <w:tr>
        <w:tc>
          <w:tcPr>
            <w:tcW w:type="dxa" w:w="1850"/>
            <w:vAlign w:val="center"/>
          </w:tcPr>
          <w:p>
            <w:pPr>
              <w:spacing w:after="0"/>
            </w:pPr>
            <w:r>
              <w:rPr>
                <w:rFonts w:ascii="Arial" w:hAnsi="Arial"/>
                <w:b w:val="0"/>
                <w:color w:val="20262B"/>
                <w:sz w:val="17"/>
              </w:rPr>
              <w:t>Run order</w:t>
            </w:r>
          </w:p>
        </w:tc>
        <w:tc>
          <w:tcPr>
            <w:tcW w:type="dxa" w:w="7510"/>
            <w:vAlign w:val="center"/>
          </w:tcPr>
          <w:p>
            <w:pPr>
              <w:spacing w:after="0"/>
            </w:pPr>
            <w:r>
              <w:rPr>
                <w:rFonts w:ascii="Arial" w:hAnsi="Arial"/>
                <w:b w:val="0"/>
                <w:color w:val="20262B"/>
                <w:sz w:val="17"/>
              </w:rPr>
              <w:t>Only after EOS-S04C-P10 passes</w:t>
            </w:r>
          </w:p>
        </w:tc>
      </w:tr>
      <w:tr>
        <w:tc>
          <w:tcPr>
            <w:tcW w:type="dxa" w:w="1850"/>
            <w:vAlign w:val="center"/>
          </w:tcPr>
          <w:p>
            <w:pPr>
              <w:spacing w:after="0"/>
            </w:pPr>
            <w:r>
              <w:rPr>
                <w:rFonts w:ascii="Arial" w:hAnsi="Arial"/>
                <w:b w:val="0"/>
                <w:color w:val="20262B"/>
                <w:sz w:val="17"/>
              </w:rPr>
              <w:t>Mode</w:t>
            </w:r>
          </w:p>
        </w:tc>
        <w:tc>
          <w:tcPr>
            <w:tcW w:type="dxa" w:w="7510"/>
            <w:vAlign w:val="center"/>
          </w:tcPr>
          <w:p>
            <w:pPr>
              <w:spacing w:after="0"/>
            </w:pPr>
            <w:r>
              <w:rPr>
                <w:rFonts w:ascii="Arial" w:hAnsi="Arial"/>
                <w:b w:val="0"/>
                <w:color w:val="20262B"/>
                <w:sz w:val="17"/>
              </w:rPr>
              <w:t>Implement, verify, focused local commit, then continue if green</w:t>
            </w:r>
          </w:p>
        </w:tc>
      </w:tr>
      <w:tr>
        <w:tc>
          <w:tcPr>
            <w:tcW w:type="dxa" w:w="1850"/>
            <w:vAlign w:val="center"/>
          </w:tcPr>
          <w:p>
            <w:pPr>
              <w:spacing w:after="0"/>
            </w:pPr>
            <w:r>
              <w:rPr>
                <w:rFonts w:ascii="Arial" w:hAnsi="Arial"/>
                <w:b w:val="0"/>
                <w:color w:val="20262B"/>
                <w:sz w:val="17"/>
              </w:rPr>
              <w:t>Source</w:t>
            </w:r>
          </w:p>
        </w:tc>
        <w:tc>
          <w:tcPr>
            <w:tcW w:type="dxa" w:w="7510"/>
            <w:vAlign w:val="center"/>
          </w:tcPr>
          <w:p>
            <w:pPr>
              <w:spacing w:after="0"/>
            </w:pPr>
            <w:r>
              <w:rPr>
                <w:rFonts w:ascii="Arial" w:hAnsi="Arial"/>
                <w:b w:val="0"/>
                <w:color w:val="20262B"/>
                <w:sz w:val="17"/>
              </w:rPr>
              <w:t>docs/control/Maison_Doclar_EOS-S04C_Controlled_Slice_Pack_v1.0_DRAFT.docx</w:t>
            </w:r>
          </w:p>
        </w:tc>
      </w:tr>
      <w:tr>
        <w:tc>
          <w:tcPr>
            <w:tcW w:type="dxa" w:w="1850"/>
            <w:vAlign w:val="center"/>
          </w:tcPr>
          <w:p>
            <w:pPr>
              <w:spacing w:after="0"/>
            </w:pPr>
            <w:r>
              <w:rPr>
                <w:rFonts w:ascii="Arial" w:hAnsi="Arial"/>
                <w:b w:val="0"/>
                <w:color w:val="20262B"/>
                <w:sz w:val="17"/>
              </w:rPr>
              <w:t>Continuation</w:t>
            </w:r>
          </w:p>
        </w:tc>
        <w:tc>
          <w:tcPr>
            <w:tcW w:type="dxa" w:w="7510"/>
            <w:vAlign w:val="center"/>
          </w:tcPr>
          <w:p>
            <w:pPr>
              <w:spacing w:after="0"/>
            </w:pPr>
            <w:r>
              <w:rPr>
                <w:rFonts w:ascii="Arial" w:hAnsi="Arial"/>
                <w:b w:val="0"/>
                <w:color w:val="20262B"/>
                <w:sz w:val="17"/>
              </w:rPr>
              <w:t>Automatic only when all gates pass</w:t>
            </w:r>
          </w:p>
        </w:tc>
      </w:tr>
      <w:tr>
        <w:tc>
          <w:tcPr>
            <w:tcW w:type="dxa" w:w="1850"/>
            <w:vAlign w:val="center"/>
          </w:tcPr>
          <w:p>
            <w:pPr>
              <w:spacing w:after="0"/>
            </w:pPr>
            <w:r>
              <w:rPr>
                <w:rFonts w:ascii="Arial" w:hAnsi="Arial"/>
                <w:b w:val="0"/>
                <w:color w:val="20262B"/>
                <w:sz w:val="17"/>
              </w:rPr>
              <w:t>Push/deploy</w:t>
            </w:r>
          </w:p>
        </w:tc>
        <w:tc>
          <w:tcPr>
            <w:tcW w:type="dxa" w:w="7510"/>
            <w:vAlign w:val="center"/>
          </w:tcPr>
          <w:p>
            <w:pPr>
              <w:spacing w:after="0"/>
            </w:pPr>
            <w:r>
              <w:rPr>
                <w:rFonts w:ascii="Arial" w:hAnsi="Arial"/>
                <w:b w:val="0"/>
                <w:color w:val="20262B"/>
                <w:sz w:val="17"/>
              </w:rPr>
              <w:t>Not authorised</w:t>
            </w:r>
          </w:p>
        </w:tc>
      </w:tr>
    </w:tbl>
    <w:p>
      <w:pPr>
        <w:spacing w:after="40"/>
      </w:pP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PASTE INTO CURSOR</w:t>
            </w:r>
          </w:p>
        </w:tc>
        <w:tc>
          <w:tcPr>
            <w:tcW w:type="dxa" w:w="7860"/>
            <w:vAlign w:val="center"/>
            <w:shd w:fill="F7F3EF"/>
          </w:tcPr>
          <w:p>
            <w:pPr>
              <w:spacing w:after="0"/>
            </w:pPr>
            <w:r>
              <w:rPr>
                <w:rFonts w:ascii="Arial" w:hAnsi="Arial"/>
                <w:b/>
                <w:color w:val="20262B"/>
                <w:sz w:val="17"/>
              </w:rPr>
              <w:t>You are executing Maison Doclar Event OS EOS-S04C: Aso-Ebi, Aso-Oke &amp; Event Merchandise Coordination. This is prompt 12 of 12. The ratified source pack controls every requirement. Follow the ordered sections below and do not work ahead of this prompt.</w:t>
            </w:r>
          </w:p>
        </w:tc>
      </w:tr>
    </w:tbl>
    <w:p>
      <w:pPr>
        <w:spacing w:after="40"/>
      </w:pPr>
    </w:p>
    <w:p>
      <w:pPr>
        <w:pStyle w:val="Heading3"/>
      </w:pPr>
      <w:r>
        <w:t>A. Pre-flight and scope lock</w:t>
      </w:r>
    </w:p>
    <w:p>
      <w:pPr>
        <w:pStyle w:val="ListBullet"/>
      </w:pPr>
      <w:r>
        <w:t>Confirm exact origin, branch, HEAD, origin/main and git status.</w:t>
      </w:r>
    </w:p>
    <w:p>
      <w:pPr>
        <w:pStyle w:val="ListBullet"/>
      </w:pPr>
      <w:r>
        <w:t>Confirm the worktree contains only expected earlier prompt commits and no unexplained changes.</w:t>
      </w:r>
    </w:p>
    <w:p>
      <w:pPr>
        <w:pStyle w:val="ListBullet"/>
      </w:pPr>
      <w:r>
        <w:t>List the prior prompt commits in this slice and verify their order.</w:t>
      </w:r>
    </w:p>
    <w:p>
      <w:pPr>
        <w:pStyle w:val="ListBullet"/>
      </w:pPr>
      <w:r>
        <w:t>Confirm productionAuthorised=false, protected gates unsigned, Railway untouched and next slice absent.</w:t>
      </w:r>
    </w:p>
    <w:p>
      <w:pPr>
        <w:pStyle w:val="ListBullet"/>
      </w:pPr>
      <w:r>
        <w:t>STOP on remote advance, dirty/unexplained state, wrong repository/branch, missing source or authority contradiction.</w:t>
      </w:r>
    </w:p>
    <w:p>
      <w:pPr>
        <w:pStyle w:val="Heading3"/>
      </w:pPr>
      <w:r>
        <w:t>B. Objective and required work</w:t>
      </w:r>
    </w:p>
    <w:p>
      <w:pPr>
        <w:pStyle w:val="ListBullet"/>
      </w:pPr>
      <w:r>
        <w:t>Review the complete commit range against every ratified acceptance criterion; close only defects inside this slice.</w:t>
      </w:r>
    </w:p>
    <w:p>
      <w:pPr>
        <w:pStyle w:val="ListBullet"/>
      </w:pPr>
      <w:r>
        <w:t>Run format/lint, typecheck, unit, contract, programme validation, build and full E2E plus slice-specific security/privacy scans.</w:t>
      </w:r>
    </w:p>
    <w:p>
      <w:pPr>
        <w:pStyle w:val="ListBullet"/>
      </w:pPr>
      <w:r>
        <w:t>Check all browser evidence and reject placeholder, inaccessible, generic, truncated, leaky or client-authoritative UI.</w:t>
      </w:r>
    </w:p>
    <w:p>
      <w:pPr>
        <w:pStyle w:val="ListBullet"/>
      </w:pPr>
      <w:r>
        <w:t>Produce one consolidated review pack: requirements matrix, commits, files, migrations, routes, permissions, audits, tests and residual risks.</w:t>
      </w:r>
    </w:p>
    <w:p>
      <w:pPr>
        <w:pStyle w:val="ListBullet"/>
      </w:pPr>
      <w:r>
        <w:t>Stop before push, deployment, production authority, gate signing or the next slice. Await independent review.</w:t>
      </w:r>
    </w:p>
    <w:p>
      <w:pPr>
        <w:pStyle w:val="Heading3"/>
      </w:pPr>
      <w:r>
        <w:t>C. Slice-specific requirements</w:t>
      </w:r>
    </w:p>
    <w:p>
      <w:pPr>
        <w:pStyle w:val="ListBullet"/>
      </w:pPr>
      <w:r>
        <w:t>Final acceptance proof: Every intended wearer or recipient resolves to an independent guestId.</w:t>
      </w:r>
    </w:p>
    <w:p>
      <w:pPr>
        <w:pStyle w:val="ListBullet"/>
      </w:pPr>
      <w:r>
        <w:t>Final acceptance proof: Host cohort rules materialise separate guest offers; they never alter guest tier or access.</w:t>
      </w:r>
    </w:p>
    <w:p>
      <w:pPr>
        <w:pStyle w:val="ListBullet"/>
      </w:pPr>
      <w:r>
        <w:t>Final acceptance proof: Only cap circumference may be captured when genuinely required for made-to-measure headwear.</w:t>
      </w:r>
    </w:p>
    <w:p>
      <w:pPr>
        <w:pStyle w:val="ListBullet"/>
      </w:pPr>
      <w:r>
        <w:t>Final acceptance proof: No other body measurements, fitting photographs, health inference or automated sizing.</w:t>
      </w:r>
    </w:p>
    <w:p>
      <w:pPr>
        <w:pStyle w:val="ListBullet"/>
      </w:pPr>
      <w:r>
        <w:t>Final acceptance proof: Maison Doclar never receives, reconciles, refunds or guarantees guest payment.</w:t>
      </w:r>
    </w:p>
    <w:p>
      <w:pPr>
        <w:pStyle w:val="ListBullet"/>
      </w:pPr>
      <w:r>
        <w:t>Final acceptance proof: Vendor assertions remain attributed and unverified until Maison Doclar review.</w:t>
      </w:r>
    </w:p>
    <w:p>
      <w:pPr>
        <w:pStyle w:val="ListBullet"/>
      </w:pPr>
      <w:r>
        <w:t>Final journey proof: Offer different items to named guests and confirmed cohorts.</w:t>
      </w:r>
    </w:p>
    <w:p>
      <w:pPr>
        <w:pStyle w:val="ListBullet"/>
      </w:pPr>
      <w:r>
        <w:t>Final journey proof: Record a guest choice without exposing another adult’s choice to a household member.</w:t>
      </w:r>
    </w:p>
    <w:p>
      <w:pPr>
        <w:pStyle w:val="ListBullet"/>
      </w:pPr>
      <w:r>
        <w:t>Final journey proof: Capture and withdraw cap circumference consent.</w:t>
      </w:r>
    </w:p>
    <w:p>
      <w:pPr>
        <w:pStyle w:val="ListBullet"/>
      </w:pPr>
      <w:r>
        <w:t>Final journey proof: Hand off to a vendor without disclosing an unrestricted guest list.</w:t>
      </w:r>
    </w:p>
    <w:p>
      <w:pPr>
        <w:pStyle w:val="ListBullet"/>
      </w:pPr>
      <w:r>
        <w:t>Final journey proof: Receive, verify or reject an attributed vendor update.</w:t>
      </w:r>
    </w:p>
    <w:p>
      <w:pPr>
        <w:pStyle w:val="ListBullet"/>
      </w:pPr>
      <w:r>
        <w:t>Final journey proof: Track collection/delivery exception without handling money.</w:t>
      </w:r>
    </w:p>
    <w:p>
      <w:pPr>
        <w:pStyle w:val="ListBullet"/>
      </w:pPr>
      <w:r>
        <w:t>Final negative proof: money-handling drift</w:t>
      </w:r>
    </w:p>
    <w:p>
      <w:pPr>
        <w:pStyle w:val="ListBullet"/>
      </w:pPr>
      <w:r>
        <w:t>Final negative proof: private choices leaking through household views</w:t>
      </w:r>
    </w:p>
    <w:p>
      <w:pPr>
        <w:pStyle w:val="ListBullet"/>
      </w:pPr>
      <w:r>
        <w:t>Final negative proof: measurement overcollection</w:t>
      </w:r>
    </w:p>
    <w:p>
      <w:pPr>
        <w:pStyle w:val="ListBullet"/>
      </w:pPr>
      <w:r>
        <w:t>Final negative proof: vendor cross-event access</w:t>
      </w:r>
    </w:p>
    <w:p>
      <w:pPr>
        <w:pStyle w:val="ListBullet"/>
      </w:pPr>
      <w:r>
        <w:t>Final negative proof: external payment status presented as Maison Doclar truth</w:t>
      </w:r>
    </w:p>
    <w:p>
      <w:pPr>
        <w:pStyle w:val="Heading3"/>
      </w:pPr>
      <w:r>
        <w:t>D. Engineering and experience quality</w:t>
      </w:r>
    </w:p>
    <w:p>
      <w:pPr>
        <w:pStyle w:val="ListBullet"/>
      </w:pPr>
      <w:r>
        <w:t>Backend invariants must hold without the UI; every mutation is validated, permissioned, event-scoped, versioned and audited.</w:t>
      </w:r>
    </w:p>
    <w:p>
      <w:pPr>
        <w:pStyle w:val="ListBullet"/>
      </w:pPr>
      <w:r>
        <w:t>Frontend may render only server-approved projections and may not infer authority or reconstruct truth.</w:t>
      </w:r>
    </w:p>
    <w:p>
      <w:pPr>
        <w:pStyle w:val="ListBullet"/>
      </w:pPr>
      <w:r>
        <w:t>Use shared schemas and inferred types across boundaries; validate external data at runtime.</w:t>
      </w:r>
    </w:p>
    <w:p>
      <w:pPr>
        <w:pStyle w:val="ListBullet"/>
      </w:pPr>
      <w:r>
        <w:t>No placeholders, TODO-only paths, mocked production behaviour, silent fallback, broad refactor or opportunistic dependency upgrade.</w:t>
      </w:r>
    </w:p>
    <w:p>
      <w:pPr>
        <w:pStyle w:val="ListBullet"/>
      </w:pPr>
      <w:r>
        <w:t>Implement complete success, loading, empty, partial, stale, forbidden, validation, conflict and system-error behaviour where applicable.</w:t>
      </w:r>
    </w:p>
    <w:p>
      <w:pPr>
        <w:pStyle w:val="ListBullet"/>
      </w:pPr>
      <w:r>
        <w:t>Preserve mobile-first responsiveness, keyboard access, visible focus, screen-reader semantics, 200% zoom and reduced motion.</w:t>
      </w:r>
    </w:p>
    <w:p>
      <w:pPr>
        <w:pStyle w:val="ListBullet"/>
      </w:pPr>
      <w:r>
        <w:t>Use ordinary-network and failure conditions, long Nigerian/Yoruba names, diacritics and deterministic time in verification.</w:t>
      </w:r>
    </w:p>
    <w:p>
      <w:pPr>
        <w:pStyle w:val="Heading3"/>
      </w:pPr>
      <w:r>
        <w:t>E. Verification gate</w:t>
      </w:r>
    </w:p>
    <w:p>
      <w:pPr>
        <w:pStyle w:val="ListBullet"/>
      </w:pPr>
      <w:r>
        <w:t>Run the narrow tests for this work plus repository-standard format/lint where configured.</w:t>
      </w:r>
    </w:p>
    <w:p>
      <w:pPr>
        <w:pStyle w:val="ListBullet"/>
      </w:pPr>
      <w:r>
        <w:t>Run pnpm typecheck, pnpm test and pnpm programme:validate unless this read-only prompt makes commands inapplicable.</w:t>
      </w:r>
    </w:p>
    <w:p>
      <w:pPr>
        <w:pStyle w:val="ListBullet"/>
      </w:pPr>
      <w:r>
        <w:t>For affected Event OS code run pnpm --filter @maison-doclar/event-os build.</w:t>
      </w:r>
    </w:p>
    <w:p>
      <w:pPr>
        <w:pStyle w:val="ListBullet"/>
      </w:pPr>
      <w:r>
        <w:t>For UI/integration work run targeted and full E2E; report exact commands, counts and failures.</w:t>
      </w:r>
    </w:p>
    <w:p>
      <w:pPr>
        <w:pStyle w:val="ListBullet"/>
      </w:pPr>
      <w:r>
        <w:t>Inspect git diff --check, changed files, staged files and generated/secret artefacts.</w:t>
      </w:r>
    </w:p>
    <w:p>
      <w:pPr>
        <w:pStyle w:val="ListBullet"/>
      </w:pPr>
      <w:r>
        <w:t>Do not describe verification as simply “tests pass”; preserve exact evidence in the build ledger.</w:t>
      </w:r>
    </w:p>
    <w:p>
      <w:pPr>
        <w:pStyle w:val="Heading3"/>
      </w:pPr>
      <w:r>
        <w:t>F. Commit and continuation</w:t>
      </w:r>
    </w:p>
    <w:p>
      <w:pPr>
        <w:pStyle w:val="ListBullet"/>
      </w:pPr>
      <w:r>
        <w:t>Create exactly one focused local commit with message: chore(event-os): complete EOS-S04C slice hardening.</w:t>
      </w:r>
    </w:p>
    <w:p>
      <w:pPr>
        <w:pStyle w:val="ListBullet"/>
      </w:pPr>
      <w:r>
        <w:t>Stage files explicitly; no git add ., git add -A, amend, force push, branch creation or pull/rebase.</w:t>
      </w:r>
    </w:p>
    <w:p>
      <w:pPr>
        <w:pStyle w:val="ListBullet"/>
      </w:pPr>
      <w:r>
        <w:t>Append commit SHA, files, migrations, tests, browser evidence, limitations and ITEMS BROUGHT FORWARD to the cumulative ledger.</w:t>
      </w:r>
    </w:p>
    <w:p>
      <w:pPr>
        <w:pStyle w:val="ListBullet"/>
      </w:pPr>
      <w:r>
        <w:t>Continue automatically to the next prompt only if the gate passes. P11 always stops before push and independent acceptance.</w:t>
      </w:r>
    </w:p>
    <w:p>
      <w:pPr>
        <w:pStyle w:val="Heading3"/>
      </w:pPr>
      <w:r>
        <w:t>G. Required report</w:t>
      </w:r>
    </w:p>
    <w:p>
      <w:pPr>
        <w:pStyle w:val="ListBullet"/>
      </w:pPr>
      <w:r>
        <w:t>Starting and ending HEAD; clean/dirty state; exact files changed.</w:t>
      </w:r>
    </w:p>
    <w:p>
      <w:pPr>
        <w:pStyle w:val="ListBullet"/>
      </w:pPr>
      <w:r>
        <w:t>Requirements implemented and exclusions preserved.</w:t>
      </w:r>
    </w:p>
    <w:p>
      <w:pPr>
        <w:pStyle w:val="ListBullet"/>
      </w:pPr>
      <w:r>
        <w:t>Schema, migration, API, permission, audit and UI effects as applicable.</w:t>
      </w:r>
    </w:p>
    <w:p>
      <w:pPr>
        <w:pStyle w:val="ListBullet"/>
      </w:pPr>
      <w:r>
        <w:t>Exact verification commands and outcomes.</w:t>
      </w:r>
    </w:p>
    <w:p>
      <w:pPr>
        <w:pStyle w:val="ListBullet"/>
      </w:pPr>
      <w:r>
        <w:t>Defects found and resolved; limitations; items brought forward with owner/reason/impact/target prompt.</w:t>
      </w:r>
    </w:p>
    <w:p>
      <w:pPr>
        <w:pStyle w:val="ListBullet"/>
      </w:pPr>
      <w:r>
        <w:t>Confirmation Railway/production/providers/next slice were untouched.</w:t>
      </w:r>
    </w:p>
    <w:tbl>
      <w:tblPr>
        <w:tblW w:type="dxa" w:w="9360"/>
        <w:jc w:val="left"/>
        <w:tblLayout w:type="fixed"/>
        <w:tblLook w:firstColumn="1" w:firstRow="1" w:lastColumn="0" w:lastRow="0" w:noHBand="0" w:noVBand="1" w:val="04A0"/>
        <w:tblInd w:w="120" w:type="dxa"/>
        <w:tblBorders>
          <w:top w:val="single" w:sz="4" w:color="CBD2D8"/>
          <w:left w:val="single" w:sz="4" w:color="CBD2D8"/>
          <w:bottom w:val="single" w:sz="4" w:color="CBD2D8"/>
          <w:right w:val="single" w:sz="4" w:color="CBD2D8"/>
          <w:insideH w:val="single" w:sz="4" w:color="CBD2D8"/>
          <w:insideV w:val="single" w:sz="4" w:color="CBD2D8"/>
        </w:tblBorders>
      </w:tblPr>
      <w:tblGrid>
        <w:gridCol w:w="1500"/>
        <w:gridCol w:w="7860"/>
      </w:tblGrid>
      <w:tr>
        <w:tc>
          <w:tcPr>
            <w:tcW w:type="dxa" w:w="1500"/>
            <w:vAlign w:val="center"/>
            <w:shd w:fill="B79F85"/>
          </w:tcPr>
          <w:p>
            <w:pPr>
              <w:spacing w:after="0"/>
            </w:pPr>
            <w:r>
              <w:rPr>
                <w:rFonts w:ascii="Arial" w:hAnsi="Arial"/>
                <w:b/>
                <w:color w:val="20262B"/>
                <w:sz w:val="17"/>
              </w:rPr>
              <w:t>END STATE</w:t>
            </w:r>
          </w:p>
        </w:tc>
        <w:tc>
          <w:tcPr>
            <w:tcW w:type="dxa" w:w="7860"/>
            <w:vAlign w:val="center"/>
            <w:shd w:fill="F2F4F6"/>
          </w:tcPr>
          <w:p>
            <w:pPr>
              <w:spacing w:after="0"/>
            </w:pPr>
            <w:r>
              <w:rPr>
                <w:rFonts w:ascii="Arial" w:hAnsi="Arial"/>
                <w:b/>
                <w:color w:val="20262B"/>
                <w:sz w:val="17"/>
              </w:rPr>
              <w:t>STOP — whole-slice review package ready; no push or deployment.</w:t>
            </w:r>
          </w:p>
        </w:tc>
      </w:tr>
    </w:tbl>
    <w:p>
      <w:pPr>
        <w:spacing w:after="40"/>
      </w:pP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7727A"/>
        <w:sz w:val="14"/>
      </w:rPr>
      <w:t xml:space="preserve">CONTROLLED EXECUTION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67727A"/>
        <w:sz w:val="14"/>
      </w:rPr>
      <w:t>MAISON DOCLAR  |  EVENT OS  |  EOS-S04C CURSOR PROMPT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315E78"/>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315E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2A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2A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772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18"/>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EOS-S04C Cursor Prompt Pack v1.0</dc:title>
  <dc:subject>Aso-Ebi, Aso-Oke &amp; Event Merchandise Coordination</dc:subject>
  <dc:creator>Maison Doclar</dc:creator>
  <cp:keywords>Maison Doclar, Event OS, Cursor, controlled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