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jc w:val="center"/>
      </w:pPr>
      <w:r>
        <w:rPr>
          <w:rFonts w:ascii="Arial" w:hAnsi="Arial"/>
          <w:b/>
          <w:i w:val="0"/>
          <w:color w:val="B79F55"/>
          <w:sz w:val="20"/>
        </w:rPr>
        <w:t>MAISON DOCLAR</w:t>
      </w:r>
    </w:p>
    <w:p>
      <w:pPr>
        <w:spacing w:after="160"/>
        <w:jc w:val="center"/>
      </w:pPr>
      <w:r>
        <w:rPr>
          <w:rFonts w:ascii="Arial" w:hAnsi="Arial"/>
          <w:b/>
          <w:i w:val="0"/>
          <w:color w:val="10233F"/>
          <w:sz w:val="58"/>
        </w:rPr>
        <w:t>Canonical Academy Blueprint</w:t>
      </w:r>
    </w:p>
    <w:p>
      <w:pPr>
        <w:spacing w:after="700"/>
        <w:jc w:val="center"/>
      </w:pPr>
      <w:r>
        <w:rPr>
          <w:rFonts w:ascii="Arial" w:hAnsi="Arial"/>
          <w:b w:val="0"/>
          <w:i w:val="0"/>
          <w:color w:val="667085"/>
          <w:sz w:val="26"/>
        </w:rPr>
        <w:t>Architecture, curriculum, assessment, certification, frontend, integration and production delivery</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cMar>
          </w:tcPr>
          <w:p>
            <w:pPr>
              <w:spacing w:after="0"/>
            </w:pPr>
            <w:r>
              <w:rPr>
                <w:rFonts w:ascii="Arial" w:hAnsi="Arial"/>
                <w:b/>
                <w:color w:val="B79F55"/>
                <w:sz w:val="19"/>
              </w:rPr>
              <w:t xml:space="preserve">CANONICAL PURPOSE  </w:t>
            </w:r>
            <w:r>
              <w:rPr>
                <w:rFonts w:ascii="Arial" w:hAnsi="Arial"/>
                <w:b/>
                <w:color w:val="10233F"/>
                <w:sz w:val="19"/>
              </w:rPr>
              <w:t>Convert the Maison Doclar Intelligence Specification into governed human competence, verified certification and event-level operational readiness.</w:t>
            </w:r>
          </w:p>
        </w:tc>
      </w:tr>
    </w:tbl>
    <w:p>
      <w:pPr>
        <w:spacing w:after="20"/>
      </w:pPr>
    </w:p>
    <w:p>
      <w:pPr>
        <w:spacing w:after="80"/>
        <w:jc w:val="center"/>
      </w:pPr>
      <w:r>
        <w:rPr>
          <w:rFonts w:ascii="Arial" w:hAnsi="Arial"/>
          <w:b/>
          <w:i w:val="0"/>
          <w:color w:val="10233F"/>
          <w:sz w:val="22"/>
        </w:rPr>
        <w:t>Version 1.0</w:t>
      </w:r>
    </w:p>
    <w:p>
      <w:pPr>
        <w:spacing w:after="80"/>
        <w:jc w:val="center"/>
      </w:pPr>
      <w:r>
        <w:rPr>
          <w:rFonts w:ascii="Arial" w:hAnsi="Arial"/>
          <w:b w:val="0"/>
          <w:i w:val="0"/>
          <w:color w:val="667085"/>
          <w:sz w:val="19"/>
        </w:rPr>
        <w:t>3 September 2026</w:t>
      </w:r>
    </w:p>
    <w:p>
      <w:pPr>
        <w:spacing w:after="1600"/>
        <w:jc w:val="center"/>
      </w:pPr>
      <w:r>
        <w:rPr>
          <w:rFonts w:ascii="Arial" w:hAnsi="Arial"/>
          <w:b w:val="0"/>
          <w:i w:val="0"/>
          <w:color w:val="667085"/>
          <w:sz w:val="19"/>
        </w:rPr>
        <w:t>Status: Draft for CEO ratification</w:t>
      </w:r>
    </w:p>
    <w:p>
      <w:pPr>
        <w:spacing w:after="100"/>
        <w:jc w:val="center"/>
      </w:pPr>
      <w:r>
        <w:rPr>
          <w:rFonts w:ascii="Arial" w:hAnsi="Arial"/>
          <w:b w:val="0"/>
          <w:i/>
          <w:color w:val="667085"/>
          <w:sz w:val="17"/>
        </w:rPr>
        <w:t>Maison Doclar | Internal and restricted</w:t>
      </w:r>
    </w:p>
    <w:p>
      <w:r>
        <w:br w:type="page"/>
      </w:r>
    </w:p>
    <w:p>
      <w:pPr>
        <w:pStyle w:val="Heading1"/>
      </w:pPr>
      <w:r>
        <w:t>Document control and ratification</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32"/>
        <w:gridCol w:w="7646"/>
      </w:tblGrid>
      <w:tr>
        <w:trPr>
          <w:tblHeader w:val="true"/>
          <w:cantSplit/>
        </w:trPr>
        <w:tc>
          <w:tcPr>
            <w:tcW w:type="dxa" w:w="2232"/>
            <w:shd w:fill="183A63"/>
            <w:vAlign w:val="center"/>
            <w:tcMar>
              <w:top w:w="80" w:type="dxa"/>
              <w:start w:w="120" w:type="dxa"/>
              <w:bottom w:w="80" w:type="dxa"/>
              <w:end w:w="120" w:type="dxa"/>
            </w:tcMar>
          </w:tcPr>
          <w:p>
            <w:r>
              <w:rPr>
                <w:rFonts w:ascii="Arial" w:hAnsi="Arial"/>
                <w:b/>
                <w:color w:val="FFFFFF"/>
                <w:sz w:val="16"/>
              </w:rPr>
              <w:t>Field</w:t>
            </w:r>
          </w:p>
        </w:tc>
        <w:tc>
          <w:tcPr>
            <w:tcW w:type="dxa" w:w="7646"/>
            <w:shd w:fill="183A63"/>
            <w:vAlign w:val="center"/>
            <w:tcMar>
              <w:top w:w="80" w:type="dxa"/>
              <w:start w:w="120" w:type="dxa"/>
              <w:bottom w:w="80" w:type="dxa"/>
              <w:end w:w="120" w:type="dxa"/>
            </w:tcMar>
          </w:tcPr>
          <w:p>
            <w:r>
              <w:rPr>
                <w:rFonts w:ascii="Arial" w:hAnsi="Arial"/>
                <w:b/>
                <w:color w:val="FFFFFF"/>
                <w:sz w:val="16"/>
              </w:rPr>
              <w:t>Canonical value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Document</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Maison Doclar Academy Canonical Blueprint</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Version</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1.0</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Owner</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CEO, Maison Doclar</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System</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Maison Doclar Academy</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Primary source</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Maison Doclar Intelligence Specification v1.0 Final Draft</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Related system</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Maison Doclar Event Operating System (MD-EOS)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Decision status</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Proposed for CEO ratification</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Change rule</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Material architecture, assessment, certification or authority changes require a recorded decision and new version.</w:t>
            </w:r>
          </w:p>
        </w:tc>
      </w:tr>
    </w:tbl>
    <w:p>
      <w:pPr>
        <w:spacing w:after="20"/>
      </w:pPr>
    </w:p>
    <w:p>
      <w:pPr>
        <w:pStyle w:val="Heading2"/>
      </w:pPr>
      <w:r>
        <w:t>Ratification effect</w:t>
      </w:r>
    </w:p>
    <w:p>
      <w:pPr>
        <w:spacing w:after="100"/>
      </w:pPr>
      <w:r>
        <w:rPr>
          <w:rFonts w:ascii="Arial" w:hAnsi="Arial"/>
          <w:b w:val="0"/>
          <w:i w:val="0"/>
          <w:color w:val="172033"/>
          <w:sz w:val="19"/>
        </w:rPr>
        <w:t>Once ratified, this blueprint governs the Academy build. Implementation specifications may add detail but may not weaken or contradict its laws. A contradiction must stop the affected build slice until the blueprint is formally amended.</w:t>
      </w:r>
    </w:p>
    <w:p>
      <w:pPr>
        <w:pStyle w:val="Heading2"/>
      </w:pPr>
      <w:r>
        <w:t>How to use this blueprint</w:t>
      </w:r>
    </w:p>
    <w:p>
      <w:pPr>
        <w:pStyle w:val="ListBullet"/>
      </w:pPr>
      <w:r>
        <w:t>Product and engineering use it to define system boundaries and implementation contracts.</w:t>
      </w:r>
    </w:p>
    <w:p>
      <w:pPr>
        <w:pStyle w:val="ListBullet"/>
      </w:pPr>
      <w:r>
        <w:t>Curriculum authors use it to convert the 30 modules into versioned learning content.</w:t>
      </w:r>
    </w:p>
    <w:p>
      <w:pPr>
        <w:pStyle w:val="ListBullet"/>
      </w:pPr>
      <w:r>
        <w:t>Assessment authors use it to produce difficult, traceable and defensible evaluations.</w:t>
      </w:r>
    </w:p>
    <w:p>
      <w:pPr>
        <w:pStyle w:val="ListBullet"/>
      </w:pPr>
      <w:r>
        <w:t>Operations use it to determine whether a person may be assigned to a particular event role.</w:t>
      </w:r>
    </w:p>
    <w:p>
      <w:pPr>
        <w:pStyle w:val="ListBullet"/>
      </w:pPr>
      <w:r>
        <w:t>Independent reviewers use it as the acceptance baseline.</w:t>
      </w:r>
    </w:p>
    <w:p>
      <w:pPr>
        <w:pStyle w:val="ListBullet"/>
      </w:pPr>
      <w:r>
        <w:t>The CEO uses it to approve material policy, risk and production decisions.</w:t>
      </w:r>
    </w:p>
    <w:p>
      <w:r>
        <w:br w:type="page"/>
      </w:r>
    </w:p>
    <w:p>
      <w:pPr>
        <w:pStyle w:val="Heading1"/>
      </w:pPr>
      <w:r>
        <w:t>Contents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4939"/>
        <w:gridCol w:w="4939"/>
      </w:tblGrid>
      <w:tr>
        <w:trPr>
          <w:tblHeader w:val="true"/>
          <w:cantSplit/>
        </w:trPr>
        <w:tc>
          <w:tcPr>
            <w:tcW w:type="dxa" w:w="4939"/>
            <w:shd w:fill="183A63"/>
            <w:vAlign w:val="center"/>
            <w:tcMar>
              <w:top w:w="80" w:type="dxa"/>
              <w:start w:w="120" w:type="dxa"/>
              <w:bottom w:w="80" w:type="dxa"/>
              <w:end w:w="120" w:type="dxa"/>
            </w:tcMar>
          </w:tcPr>
          <w:p>
            <w:r>
              <w:rPr>
                <w:rFonts w:ascii="Arial" w:hAnsi="Arial"/>
                <w:b/>
                <w:color w:val="FFFFFF"/>
                <w:sz w:val="17"/>
              </w:rPr>
              <w:t>Part I</w:t>
            </w:r>
          </w:p>
        </w:tc>
        <w:tc>
          <w:tcPr>
            <w:tcW w:type="dxa" w:w="4939"/>
            <w:shd w:fill="183A63"/>
            <w:vAlign w:val="center"/>
            <w:tcMar>
              <w:top w:w="80" w:type="dxa"/>
              <w:start w:w="120" w:type="dxa"/>
              <w:bottom w:w="80" w:type="dxa"/>
              <w:end w:w="120" w:type="dxa"/>
            </w:tcMar>
          </w:tcPr>
          <w:p>
            <w:r>
              <w:rPr>
                <w:rFonts w:ascii="Arial" w:hAnsi="Arial"/>
                <w:b/>
                <w:color w:val="FFFFFF"/>
                <w:sz w:val="17"/>
              </w:rPr>
              <w:t>Part II</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 Executive system definition</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13. Complete frontend architecture</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2. Outcomes, scope and exclusions</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14. Intelligence, reporting and alerts</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3. Canonical laws</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15. Content governance and versioning</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4. System architecture and repository boundaries</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16. Security, privacy and assessment integrity</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5. Users, roles and authority</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17. Reliability and operations</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6. Curriculum and knowledge architecture</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18. Technical stack and repository structure</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7. Competency and learning-path architecture</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19. Production build sequence</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8. Assessment architecture</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20. Acceptance and release gates</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9. Certification and operational authorisation</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Appendix A. Canonical status models</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10. Event-specific training</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Appendix B. Core API contracts</w:t>
            </w:r>
          </w:p>
        </w:tc>
      </w:tr>
      <w:tr>
        <w:trPr>
          <w:cantSplit/>
        </w:trPr>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11. OS-Academy integration</w:t>
            </w:r>
          </w:p>
        </w:tc>
        <w:tc>
          <w:tcPr>
            <w:tcW w:type="dxa" w:w="4939"/>
            <w:vAlign w:val="top"/>
            <w:tcMar>
              <w:top w:w="80" w:type="dxa"/>
              <w:start w:w="120" w:type="dxa"/>
              <w:bottom w:w="80" w:type="dxa"/>
              <w:end w:w="120" w:type="dxa"/>
            </w:tcMar>
          </w:tcPr>
          <w:p>
            <w:pPr>
              <w:spacing w:after="40" w:line="252" w:lineRule="auto"/>
            </w:pPr>
            <w:r>
              <w:rPr>
                <w:rFonts w:ascii="Arial" w:hAnsi="Arial"/>
                <w:b w:val="0"/>
                <w:color w:val="172033"/>
                <w:sz w:val="17"/>
              </w:rPr>
              <w:t>Appendix C. Traceability and definition of done</w:t>
            </w:r>
          </w:p>
        </w:tc>
      </w:tr>
      <w:tr>
        <w:trPr>
          <w:cantSplit/>
        </w:trPr>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t>12. Canonical data model</w:t>
            </w:r>
          </w:p>
        </w:tc>
        <w:tc>
          <w:tcPr>
            <w:tcW w:type="dxa" w:w="4939"/>
            <w:vAlign w:val="top"/>
            <w:shd w:fill="F5F7FA"/>
            <w:tcMar>
              <w:top w:w="80" w:type="dxa"/>
              <w:start w:w="120" w:type="dxa"/>
              <w:bottom w:w="80" w:type="dxa"/>
              <w:end w:w="120" w:type="dxa"/>
            </w:tcMar>
          </w:tcPr>
          <w:p>
            <w:pPr>
              <w:spacing w:after="40" w:line="252" w:lineRule="auto"/>
            </w:pPr>
            <w:r>
              <w:rPr>
                <w:rFonts w:ascii="Arial" w:hAnsi="Arial"/>
                <w:b w:val="0"/>
                <w:color w:val="172033"/>
                <w:sz w:val="17"/>
              </w:rPr>
            </w:r>
          </w:p>
        </w:tc>
      </w:tr>
    </w:tbl>
    <w:p>
      <w:pPr>
        <w:spacing w:after="20"/>
      </w:pPr>
    </w:p>
    <w:p>
      <w:r>
        <w:br w:type="page"/>
      </w:r>
    </w:p>
    <w:p>
      <w:pPr>
        <w:pStyle w:val="Heading1"/>
      </w:pPr>
      <w:r>
        <w:t>1. Executive system definition</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cMar>
          </w:tcPr>
          <w:p>
            <w:pPr>
              <w:spacing w:after="0"/>
            </w:pPr>
            <w:r>
              <w:rPr>
                <w:rFonts w:ascii="Arial" w:hAnsi="Arial"/>
                <w:b/>
                <w:color w:val="B79F55"/>
                <w:sz w:val="19"/>
              </w:rPr>
              <w:t xml:space="preserve">SYSTEM DEFINITION  </w:t>
            </w:r>
            <w:r>
              <w:rPr>
                <w:rFonts w:ascii="Arial" w:hAnsi="Arial"/>
                <w:b/>
                <w:color w:val="10233F"/>
                <w:sz w:val="19"/>
              </w:rPr>
              <w:t>Maison Doclar Academy is a production competency system that teaches the Maison Doclar operating standard, tests applied judgment, certifies role competence and returns event-readiness evidence to MD-EOS.</w:t>
            </w:r>
          </w:p>
        </w:tc>
      </w:tr>
    </w:tbl>
    <w:p>
      <w:pPr>
        <w:spacing w:after="20"/>
      </w:pPr>
    </w:p>
    <w:p>
      <w:pPr>
        <w:spacing w:after="100"/>
      </w:pPr>
      <w:r>
        <w:rPr>
          <w:rFonts w:ascii="Arial" w:hAnsi="Arial"/>
          <w:b w:val="0"/>
          <w:i w:val="0"/>
          <w:color w:val="172033"/>
          <w:sz w:val="19"/>
        </w:rPr>
        <w:t>It is not a document library, a generic learning-management system or a substitute for supervised performance. Its job is to make the Maison Doclar standard learnable, assessable, deployable and auditable across permanent staff, temporary teams, vendors and leadership.</w:t>
      </w:r>
    </w:p>
    <w:p>
      <w:pPr>
        <w:pStyle w:val="Heading2"/>
      </w:pPr>
      <w:r>
        <w:t>1.1 The competence chain</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440"/>
        <w:gridCol w:w="4392"/>
        <w:gridCol w:w="4046"/>
      </w:tblGrid>
      <w:tr>
        <w:trPr>
          <w:tblHeader w:val="true"/>
          <w:cantSplit/>
        </w:trPr>
        <w:tc>
          <w:tcPr>
            <w:tcW w:type="dxa" w:w="1440"/>
            <w:shd w:fill="183A63"/>
            <w:vAlign w:val="center"/>
            <w:tcMar>
              <w:top w:w="80" w:type="dxa"/>
              <w:start w:w="120" w:type="dxa"/>
              <w:bottom w:w="80" w:type="dxa"/>
              <w:end w:w="120" w:type="dxa"/>
            </w:tcMar>
          </w:tcPr>
          <w:p>
            <w:r>
              <w:rPr>
                <w:rFonts w:ascii="Arial" w:hAnsi="Arial"/>
                <w:b/>
                <w:color w:val="FFFFFF"/>
                <w:sz w:val="16"/>
              </w:rPr>
              <w:t>Stage</w:t>
            </w:r>
          </w:p>
        </w:tc>
        <w:tc>
          <w:tcPr>
            <w:tcW w:type="dxa" w:w="4392"/>
            <w:shd w:fill="183A63"/>
            <w:vAlign w:val="center"/>
            <w:tcMar>
              <w:top w:w="80" w:type="dxa"/>
              <w:start w:w="120" w:type="dxa"/>
              <w:bottom w:w="80" w:type="dxa"/>
              <w:end w:w="120" w:type="dxa"/>
            </w:tcMar>
          </w:tcPr>
          <w:p>
            <w:r>
              <w:rPr>
                <w:rFonts w:ascii="Arial" w:hAnsi="Arial"/>
                <w:b/>
                <w:color w:val="FFFFFF"/>
                <w:sz w:val="16"/>
              </w:rPr>
              <w:t>Meaning</w:t>
            </w:r>
          </w:p>
        </w:tc>
        <w:tc>
          <w:tcPr>
            <w:tcW w:type="dxa" w:w="4046"/>
            <w:shd w:fill="183A63"/>
            <w:vAlign w:val="center"/>
            <w:tcMar>
              <w:top w:w="80" w:type="dxa"/>
              <w:start w:w="120" w:type="dxa"/>
              <w:bottom w:w="80" w:type="dxa"/>
              <w:end w:w="120" w:type="dxa"/>
            </w:tcMar>
          </w:tcPr>
          <w:p>
            <w:r>
              <w:rPr>
                <w:rFonts w:ascii="Arial" w:hAnsi="Arial"/>
                <w:b/>
                <w:color w:val="FFFFFF"/>
                <w:sz w:val="16"/>
              </w:rPr>
              <w:t>System evidence</w:t>
            </w:r>
          </w:p>
        </w:tc>
      </w:tr>
      <w:tr>
        <w:trPr>
          <w:cantSplit/>
        </w:trPr>
        <w:tc>
          <w:tcPr>
            <w:tcW w:type="dxa" w:w="1440"/>
            <w:vAlign w:val="top"/>
            <w:tcMar>
              <w:top w:w="80" w:type="dxa"/>
              <w:start w:w="120" w:type="dxa"/>
              <w:bottom w:w="80" w:type="dxa"/>
              <w:end w:w="120" w:type="dxa"/>
            </w:tcMar>
          </w:tcPr>
          <w:p>
            <w:pPr>
              <w:spacing w:after="40" w:line="252" w:lineRule="auto"/>
            </w:pPr>
            <w:r>
              <w:rPr>
                <w:rFonts w:ascii="Arial" w:hAnsi="Arial"/>
                <w:b/>
                <w:color w:val="172033"/>
                <w:sz w:val="16"/>
              </w:rPr>
              <w:t>Know</w:t>
            </w:r>
          </w:p>
        </w:tc>
        <w:tc>
          <w:tcPr>
            <w:tcW w:type="dxa" w:w="4392"/>
            <w:vAlign w:val="top"/>
            <w:tcMar>
              <w:top w:w="80" w:type="dxa"/>
              <w:start w:w="120" w:type="dxa"/>
              <w:bottom w:w="80" w:type="dxa"/>
              <w:end w:w="120" w:type="dxa"/>
            </w:tcMar>
          </w:tcPr>
          <w:p>
            <w:pPr>
              <w:spacing w:after="40" w:line="252" w:lineRule="auto"/>
            </w:pPr>
            <w:r>
              <w:rPr>
                <w:rFonts w:ascii="Arial" w:hAnsi="Arial"/>
                <w:b w:val="0"/>
                <w:color w:val="172033"/>
                <w:sz w:val="16"/>
              </w:rPr>
              <w:t>The learner understands the rule and its rationale.</w:t>
            </w:r>
          </w:p>
        </w:tc>
        <w:tc>
          <w:tcPr>
            <w:tcW w:type="dxa" w:w="4046"/>
            <w:vAlign w:val="top"/>
            <w:tcMar>
              <w:top w:w="80" w:type="dxa"/>
              <w:start w:w="120" w:type="dxa"/>
              <w:bottom w:w="80" w:type="dxa"/>
              <w:end w:w="120" w:type="dxa"/>
            </w:tcMar>
          </w:tcPr>
          <w:p>
            <w:pPr>
              <w:spacing w:after="40" w:line="252" w:lineRule="auto"/>
            </w:pPr>
            <w:r>
              <w:rPr>
                <w:rFonts w:ascii="Arial" w:hAnsi="Arial"/>
                <w:b w:val="0"/>
                <w:color w:val="172033"/>
                <w:sz w:val="16"/>
              </w:rPr>
              <w:t>Completed learning activities and knowledge checks</w:t>
            </w:r>
          </w:p>
        </w:tc>
      </w:tr>
      <w:tr>
        <w:trPr>
          <w:cantSplit/>
        </w:trPr>
        <w:tc>
          <w:tcPr>
            <w:tcW w:type="dxa" w:w="1440"/>
            <w:vAlign w:val="top"/>
            <w:shd w:fill="F5F7FA"/>
            <w:tcMar>
              <w:top w:w="80" w:type="dxa"/>
              <w:start w:w="120" w:type="dxa"/>
              <w:bottom w:w="80" w:type="dxa"/>
              <w:end w:w="120" w:type="dxa"/>
            </w:tcMar>
          </w:tcPr>
          <w:p>
            <w:pPr>
              <w:spacing w:after="40" w:line="252" w:lineRule="auto"/>
            </w:pPr>
            <w:r>
              <w:rPr>
                <w:rFonts w:ascii="Arial" w:hAnsi="Arial"/>
                <w:b/>
                <w:color w:val="172033"/>
                <w:sz w:val="16"/>
              </w:rPr>
              <w:t>Judge</w:t>
            </w:r>
          </w:p>
        </w:tc>
        <w:tc>
          <w:tcPr>
            <w:tcW w:type="dxa" w:w="4392"/>
            <w:vAlign w:val="top"/>
            <w:shd w:fill="F5F7FA"/>
            <w:tcMar>
              <w:top w:w="80" w:type="dxa"/>
              <w:start w:w="120" w:type="dxa"/>
              <w:bottom w:w="80" w:type="dxa"/>
              <w:end w:w="120" w:type="dxa"/>
            </w:tcMar>
          </w:tcPr>
          <w:p>
            <w:pPr>
              <w:spacing w:after="40" w:line="252" w:lineRule="auto"/>
            </w:pPr>
            <w:r>
              <w:rPr>
                <w:rFonts w:ascii="Arial" w:hAnsi="Arial"/>
                <w:b w:val="0"/>
                <w:color w:val="172033"/>
                <w:sz w:val="16"/>
              </w:rPr>
              <w:t>The learner selects the right action in realistic ambiguity.</w:t>
            </w:r>
          </w:p>
        </w:tc>
        <w:tc>
          <w:tcPr>
            <w:tcW w:type="dxa" w:w="4046"/>
            <w:vAlign w:val="top"/>
            <w:shd w:fill="F5F7FA"/>
            <w:tcMar>
              <w:top w:w="80" w:type="dxa"/>
              <w:start w:w="120" w:type="dxa"/>
              <w:bottom w:w="80" w:type="dxa"/>
              <w:end w:w="120" w:type="dxa"/>
            </w:tcMar>
          </w:tcPr>
          <w:p>
            <w:pPr>
              <w:spacing w:after="40" w:line="252" w:lineRule="auto"/>
            </w:pPr>
            <w:r>
              <w:rPr>
                <w:rFonts w:ascii="Arial" w:hAnsi="Arial"/>
                <w:b w:val="0"/>
                <w:color w:val="172033"/>
                <w:sz w:val="16"/>
              </w:rPr>
              <w:t>Scenario and branching-assessment results</w:t>
            </w:r>
          </w:p>
        </w:tc>
      </w:tr>
      <w:tr>
        <w:trPr>
          <w:cantSplit/>
        </w:trPr>
        <w:tc>
          <w:tcPr>
            <w:tcW w:type="dxa" w:w="1440"/>
            <w:vAlign w:val="top"/>
            <w:tcMar>
              <w:top w:w="80" w:type="dxa"/>
              <w:start w:w="120" w:type="dxa"/>
              <w:bottom w:w="80" w:type="dxa"/>
              <w:end w:w="120" w:type="dxa"/>
            </w:tcMar>
          </w:tcPr>
          <w:p>
            <w:pPr>
              <w:spacing w:after="40" w:line="252" w:lineRule="auto"/>
            </w:pPr>
            <w:r>
              <w:rPr>
                <w:rFonts w:ascii="Arial" w:hAnsi="Arial"/>
                <w:b/>
                <w:color w:val="172033"/>
                <w:sz w:val="16"/>
              </w:rPr>
              <w:t>Demonstrate</w:t>
            </w:r>
          </w:p>
        </w:tc>
        <w:tc>
          <w:tcPr>
            <w:tcW w:type="dxa" w:w="4392"/>
            <w:vAlign w:val="top"/>
            <w:tcMar>
              <w:top w:w="80" w:type="dxa"/>
              <w:start w:w="120" w:type="dxa"/>
              <w:bottom w:w="80" w:type="dxa"/>
              <w:end w:w="120" w:type="dxa"/>
            </w:tcMar>
          </w:tcPr>
          <w:p>
            <w:pPr>
              <w:spacing w:after="40" w:line="252" w:lineRule="auto"/>
            </w:pPr>
            <w:r>
              <w:rPr>
                <w:rFonts w:ascii="Arial" w:hAnsi="Arial"/>
                <w:b w:val="0"/>
                <w:color w:val="172033"/>
                <w:sz w:val="16"/>
              </w:rPr>
              <w:t>The learner performs the responsibility under observation.</w:t>
            </w:r>
          </w:p>
        </w:tc>
        <w:tc>
          <w:tcPr>
            <w:tcW w:type="dxa" w:w="4046"/>
            <w:vAlign w:val="top"/>
            <w:tcMar>
              <w:top w:w="80" w:type="dxa"/>
              <w:start w:w="120" w:type="dxa"/>
              <w:bottom w:w="80" w:type="dxa"/>
              <w:end w:w="120" w:type="dxa"/>
            </w:tcMar>
          </w:tcPr>
          <w:p>
            <w:pPr>
              <w:spacing w:after="40" w:line="252" w:lineRule="auto"/>
            </w:pPr>
            <w:r>
              <w:rPr>
                <w:rFonts w:ascii="Arial" w:hAnsi="Arial"/>
                <w:b w:val="0"/>
                <w:color w:val="172033"/>
                <w:sz w:val="16"/>
              </w:rPr>
              <w:t>Practical assessment and assessor rubric</w:t>
            </w:r>
          </w:p>
        </w:tc>
      </w:tr>
      <w:tr>
        <w:trPr>
          <w:cantSplit/>
        </w:trPr>
        <w:tc>
          <w:tcPr>
            <w:tcW w:type="dxa" w:w="1440"/>
            <w:vAlign w:val="top"/>
            <w:shd w:fill="F5F7FA"/>
            <w:tcMar>
              <w:top w:w="80" w:type="dxa"/>
              <w:start w:w="120" w:type="dxa"/>
              <w:bottom w:w="80" w:type="dxa"/>
              <w:end w:w="120" w:type="dxa"/>
            </w:tcMar>
          </w:tcPr>
          <w:p>
            <w:pPr>
              <w:spacing w:after="40" w:line="252" w:lineRule="auto"/>
            </w:pPr>
            <w:r>
              <w:rPr>
                <w:rFonts w:ascii="Arial" w:hAnsi="Arial"/>
                <w:b/>
                <w:color w:val="172033"/>
                <w:sz w:val="16"/>
              </w:rPr>
              <w:t>Certify</w:t>
            </w:r>
          </w:p>
        </w:tc>
        <w:tc>
          <w:tcPr>
            <w:tcW w:type="dxa" w:w="4392"/>
            <w:vAlign w:val="top"/>
            <w:shd w:fill="F5F7FA"/>
            <w:tcMar>
              <w:top w:w="80" w:type="dxa"/>
              <w:start w:w="120" w:type="dxa"/>
              <w:bottom w:w="80" w:type="dxa"/>
              <w:end w:w="120" w:type="dxa"/>
            </w:tcMar>
          </w:tcPr>
          <w:p>
            <w:pPr>
              <w:spacing w:after="40" w:line="252" w:lineRule="auto"/>
            </w:pPr>
            <w:r>
              <w:rPr>
                <w:rFonts w:ascii="Arial" w:hAnsi="Arial"/>
                <w:b w:val="0"/>
                <w:color w:val="172033"/>
                <w:sz w:val="16"/>
              </w:rPr>
              <w:t>Maison Doclar confirms role competence for a defined period.</w:t>
            </w:r>
          </w:p>
        </w:tc>
        <w:tc>
          <w:tcPr>
            <w:tcW w:type="dxa" w:w="4046"/>
            <w:vAlign w:val="top"/>
            <w:shd w:fill="F5F7FA"/>
            <w:tcMar>
              <w:top w:w="80" w:type="dxa"/>
              <w:start w:w="120" w:type="dxa"/>
              <w:bottom w:w="80" w:type="dxa"/>
              <w:end w:w="120" w:type="dxa"/>
            </w:tcMar>
          </w:tcPr>
          <w:p>
            <w:pPr>
              <w:spacing w:after="40" w:line="252" w:lineRule="auto"/>
            </w:pPr>
            <w:r>
              <w:rPr>
                <w:rFonts w:ascii="Arial" w:hAnsi="Arial"/>
                <w:b w:val="0"/>
                <w:color w:val="172033"/>
                <w:sz w:val="16"/>
              </w:rPr>
              <w:t>Versioned certificate with scope and expiry</w:t>
            </w:r>
          </w:p>
        </w:tc>
      </w:tr>
      <w:tr>
        <w:trPr>
          <w:cantSplit/>
        </w:trPr>
        <w:tc>
          <w:tcPr>
            <w:tcW w:type="dxa" w:w="1440"/>
            <w:vAlign w:val="top"/>
            <w:tcMar>
              <w:top w:w="80" w:type="dxa"/>
              <w:start w:w="120" w:type="dxa"/>
              <w:bottom w:w="80" w:type="dxa"/>
              <w:end w:w="120" w:type="dxa"/>
            </w:tcMar>
          </w:tcPr>
          <w:p>
            <w:pPr>
              <w:spacing w:after="40" w:line="252" w:lineRule="auto"/>
            </w:pPr>
            <w:r>
              <w:rPr>
                <w:rFonts w:ascii="Arial" w:hAnsi="Arial"/>
                <w:b/>
                <w:color w:val="172033"/>
                <w:sz w:val="16"/>
              </w:rPr>
              <w:t>Authorise</w:t>
            </w:r>
          </w:p>
        </w:tc>
        <w:tc>
          <w:tcPr>
            <w:tcW w:type="dxa" w:w="4392"/>
            <w:vAlign w:val="top"/>
            <w:tcMar>
              <w:top w:w="80" w:type="dxa"/>
              <w:start w:w="120" w:type="dxa"/>
              <w:bottom w:w="80" w:type="dxa"/>
              <w:end w:w="120" w:type="dxa"/>
            </w:tcMar>
          </w:tcPr>
          <w:p>
            <w:pPr>
              <w:spacing w:after="40" w:line="252" w:lineRule="auto"/>
            </w:pPr>
            <w:r>
              <w:rPr>
                <w:rFonts w:ascii="Arial" w:hAnsi="Arial"/>
                <w:b w:val="0"/>
                <w:color w:val="172033"/>
                <w:sz w:val="16"/>
              </w:rPr>
              <w:t>The person may perform a defined role for a specific event.</w:t>
            </w:r>
          </w:p>
        </w:tc>
        <w:tc>
          <w:tcPr>
            <w:tcW w:type="dxa" w:w="4046"/>
            <w:vAlign w:val="top"/>
            <w:tcMar>
              <w:top w:w="80" w:type="dxa"/>
              <w:start w:w="120" w:type="dxa"/>
              <w:bottom w:w="80" w:type="dxa"/>
              <w:end w:w="120" w:type="dxa"/>
            </w:tcMar>
          </w:tcPr>
          <w:p>
            <w:pPr>
              <w:spacing w:after="40" w:line="252" w:lineRule="auto"/>
            </w:pPr>
            <w:r>
              <w:rPr>
                <w:rFonts w:ascii="Arial" w:hAnsi="Arial"/>
                <w:b w:val="0"/>
                <w:color w:val="172033"/>
                <w:sz w:val="16"/>
              </w:rPr>
              <w:t>Event-readiness decision returned to MD-EOS</w:t>
            </w:r>
          </w:p>
        </w:tc>
      </w:tr>
      <w:tr>
        <w:trPr>
          <w:cantSplit/>
        </w:trPr>
        <w:tc>
          <w:tcPr>
            <w:tcW w:type="dxa" w:w="1440"/>
            <w:vAlign w:val="top"/>
            <w:shd w:fill="F5F7FA"/>
            <w:tcMar>
              <w:top w:w="80" w:type="dxa"/>
              <w:start w:w="120" w:type="dxa"/>
              <w:bottom w:w="80" w:type="dxa"/>
              <w:end w:w="120" w:type="dxa"/>
            </w:tcMar>
          </w:tcPr>
          <w:p>
            <w:pPr>
              <w:spacing w:after="40" w:line="252" w:lineRule="auto"/>
            </w:pPr>
            <w:r>
              <w:rPr>
                <w:rFonts w:ascii="Arial" w:hAnsi="Arial"/>
                <w:b/>
                <w:color w:val="172033"/>
                <w:sz w:val="16"/>
              </w:rPr>
              <w:t>Learn</w:t>
            </w:r>
          </w:p>
        </w:tc>
        <w:tc>
          <w:tcPr>
            <w:tcW w:type="dxa" w:w="4392"/>
            <w:vAlign w:val="top"/>
            <w:shd w:fill="F5F7FA"/>
            <w:tcMar>
              <w:top w:w="80" w:type="dxa"/>
              <w:start w:w="120" w:type="dxa"/>
              <w:bottom w:w="80" w:type="dxa"/>
              <w:end w:w="120" w:type="dxa"/>
            </w:tcMar>
          </w:tcPr>
          <w:p>
            <w:pPr>
              <w:spacing w:after="40" w:line="252" w:lineRule="auto"/>
            </w:pPr>
            <w:r>
              <w:rPr>
                <w:rFonts w:ascii="Arial" w:hAnsi="Arial"/>
                <w:b w:val="0"/>
                <w:color w:val="172033"/>
                <w:sz w:val="16"/>
              </w:rPr>
              <w:t>Performance and incidents improve future training.</w:t>
            </w:r>
          </w:p>
        </w:tc>
        <w:tc>
          <w:tcPr>
            <w:tcW w:type="dxa" w:w="4046"/>
            <w:vAlign w:val="top"/>
            <w:shd w:fill="F5F7FA"/>
            <w:tcMar>
              <w:top w:w="80" w:type="dxa"/>
              <w:start w:w="120" w:type="dxa"/>
              <w:bottom w:w="80" w:type="dxa"/>
              <w:end w:w="120" w:type="dxa"/>
            </w:tcMar>
          </w:tcPr>
          <w:p>
            <w:pPr>
              <w:spacing w:after="40" w:line="252" w:lineRule="auto"/>
            </w:pPr>
            <w:r>
              <w:rPr>
                <w:rFonts w:ascii="Arial" w:hAnsi="Arial"/>
                <w:b w:val="0"/>
                <w:color w:val="172033"/>
                <w:sz w:val="16"/>
              </w:rPr>
              <w:t>Approved curriculum change and reassignment record</w:t>
            </w:r>
          </w:p>
        </w:tc>
      </w:tr>
    </w:tbl>
    <w:p>
      <w:pPr>
        <w:spacing w:after="20"/>
      </w:pPr>
    </w:p>
    <w:p>
      <w:pPr>
        <w:pStyle w:val="Heading2"/>
      </w:pPr>
      <w:r>
        <w:t>1.2 Success measures</w:t>
      </w:r>
    </w:p>
    <w:p>
      <w:pPr>
        <w:pStyle w:val="ListBullet"/>
      </w:pPr>
      <w:r>
        <w:t>No controlled event role is staffed without valid competence and event readiness.</w:t>
      </w:r>
    </w:p>
    <w:p>
      <w:pPr>
        <w:pStyle w:val="ListBullet"/>
      </w:pPr>
      <w:r>
        <w:t>Every curriculum claim and assessment answer traces to approved knowledge.</w:t>
      </w:r>
    </w:p>
    <w:p>
      <w:pPr>
        <w:pStyle w:val="ListBullet"/>
      </w:pPr>
      <w:r>
        <w:t>Learners can complete assigned work effectively on a mobile phone.</w:t>
      </w:r>
    </w:p>
    <w:p>
      <w:pPr>
        <w:pStyle w:val="ListBullet"/>
      </w:pPr>
      <w:r>
        <w:t>Managers see readiness gaps early enough to correct staffing or training.</w:t>
      </w:r>
    </w:p>
    <w:p>
      <w:pPr>
        <w:pStyle w:val="ListBullet"/>
      </w:pPr>
      <w:r>
        <w:t>Material operational lessons become governed curriculum improvements.</w:t>
      </w:r>
    </w:p>
    <w:p>
      <w:pPr>
        <w:pStyle w:val="ListBullet"/>
      </w:pPr>
      <w:r>
        <w:t>The Academy does not expose guest or event information beyond genuine training need.</w:t>
      </w:r>
    </w:p>
    <w:p>
      <w:pPr>
        <w:pStyle w:val="Heading1"/>
      </w:pPr>
      <w:r>
        <w:t>2. Outcomes, scope and exclusions</w:t>
      </w:r>
    </w:p>
    <w:p>
      <w:pPr>
        <w:pStyle w:val="Heading2"/>
      </w:pPr>
      <w:r>
        <w:t>2.1 Included</w:t>
      </w:r>
    </w:p>
    <w:p>
      <w:pPr>
        <w:pStyle w:val="ListBullet"/>
      </w:pPr>
      <w:r>
        <w:t>Staff identity and Academy profile</w:t>
      </w:r>
    </w:p>
    <w:p>
      <w:pPr>
        <w:pStyle w:val="ListBullet"/>
      </w:pPr>
      <w:r>
        <w:t>Roles, departments and competence profiles</w:t>
      </w:r>
    </w:p>
    <w:p>
      <w:pPr>
        <w:pStyle w:val="ListBullet"/>
      </w:pPr>
      <w:r>
        <w:t>Thirty-module canonical knowledge base</w:t>
      </w:r>
    </w:p>
    <w:p>
      <w:pPr>
        <w:pStyle w:val="ListBullet"/>
      </w:pPr>
      <w:r>
        <w:t>Courses, lessons, scenarios and learning activities</w:t>
      </w:r>
    </w:p>
    <w:p>
      <w:pPr>
        <w:pStyle w:val="ListBullet"/>
      </w:pPr>
      <w:r>
        <w:t>Role learning paths and prerequisites</w:t>
      </w:r>
    </w:p>
    <w:p>
      <w:pPr>
        <w:pStyle w:val="ListBullet"/>
      </w:pPr>
      <w:r>
        <w:t>Question banks and assessment assemblies</w:t>
      </w:r>
    </w:p>
    <w:p>
      <w:pPr>
        <w:pStyle w:val="ListBullet"/>
      </w:pPr>
      <w:r>
        <w:t>Automated and manual marking</w:t>
      </w:r>
    </w:p>
    <w:p>
      <w:pPr>
        <w:pStyle w:val="ListBullet"/>
      </w:pPr>
      <w:r>
        <w:t>Unlimited governed retakes</w:t>
      </w:r>
    </w:p>
    <w:p>
      <w:pPr>
        <w:pStyle w:val="ListBullet"/>
      </w:pPr>
      <w:r>
        <w:t>Practical observation and sign-off</w:t>
      </w:r>
    </w:p>
    <w:p>
      <w:pPr>
        <w:pStyle w:val="ListBullet"/>
      </w:pPr>
      <w:r>
        <w:t>Certificates, renewal, suspension and revocation</w:t>
      </w:r>
    </w:p>
    <w:p>
      <w:pPr>
        <w:pStyle w:val="ListBullet"/>
      </w:pPr>
      <w:r>
        <w:t>Event-specific training and acknowledgements</w:t>
      </w:r>
    </w:p>
    <w:p>
      <w:pPr>
        <w:pStyle w:val="ListBullet"/>
      </w:pPr>
      <w:r>
        <w:t>OS integration and readiness return</w:t>
      </w:r>
    </w:p>
    <w:p>
      <w:pPr>
        <w:pStyle w:val="ListBullet"/>
      </w:pPr>
      <w:r>
        <w:t>Manager, assessor, author, administrator and CEO workspaces</w:t>
      </w:r>
    </w:p>
    <w:p>
      <w:pPr>
        <w:pStyle w:val="ListBullet"/>
      </w:pPr>
      <w:r>
        <w:t>Notifications, audit, reporting and learning intelligence</w:t>
      </w:r>
    </w:p>
    <w:p>
      <w:pPr>
        <w:pStyle w:val="Heading2"/>
      </w:pPr>
      <w:r>
        <w:t>2.2 Explicit exclusions</w:t>
      </w:r>
    </w:p>
    <w:p>
      <w:pPr>
        <w:pStyle w:val="ListBullet"/>
      </w:pPr>
      <w:r>
        <w:t>The Academy does not become the master staff-employment or payroll system.</w:t>
      </w:r>
    </w:p>
    <w:p>
      <w:pPr>
        <w:pStyle w:val="ListBullet"/>
      </w:pPr>
      <w:r>
        <w:t>It does not own event plans, guest records, seating, credentials or live-event command.</w:t>
      </w:r>
    </w:p>
    <w:p>
      <w:pPr>
        <w:pStyle w:val="ListBullet"/>
      </w:pPr>
      <w:r>
        <w:t>It does not automatically publish draft OS information into training.</w:t>
      </w:r>
    </w:p>
    <w:p>
      <w:pPr>
        <w:pStyle w:val="ListBullet"/>
      </w:pPr>
      <w:r>
        <w:t>It does not certify a person solely because content was opened or a video was played.</w:t>
      </w:r>
    </w:p>
    <w:p>
      <w:pPr>
        <w:pStyle w:val="ListBullet"/>
      </w:pPr>
      <w:r>
        <w:t>It does not allow AI to invent doctrine, mark subjective judgment without review, or issue certificates.</w:t>
      </w:r>
    </w:p>
    <w:p>
      <w:pPr>
        <w:pStyle w:val="ListBullet"/>
      </w:pPr>
      <w:r>
        <w:t>It does not treat a job-title change as proof of competence.</w:t>
      </w:r>
    </w:p>
    <w:p>
      <w:pPr>
        <w:pStyle w:val="Heading2"/>
      </w:pPr>
      <w:r>
        <w:t>2.3 Production-fidelity principle</w:t>
      </w:r>
    </w:p>
    <w:p>
      <w:pPr>
        <w:spacing w:after="100"/>
      </w:pPr>
      <w:r>
        <w:rPr>
          <w:rFonts w:ascii="Arial" w:hAnsi="Arial"/>
          <w:b w:val="0"/>
          <w:i w:val="0"/>
          <w:color w:val="172033"/>
          <w:sz w:val="19"/>
        </w:rPr>
        <w:t>The build is not an MVP. Every released slice must include its complete user journey, permissions, error states, responsive frontend, accessibility, audit trail, tests and operational controls. Scope economy comes from eliminating duplication and keeping bounded modules, not from deferring essential quality.</w:t>
      </w:r>
    </w:p>
    <w:p>
      <w:pPr>
        <w:pStyle w:val="Heading1"/>
      </w:pPr>
      <w:r>
        <w:t>3. Canonical laws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951"/>
        <w:gridCol w:w="6926"/>
      </w:tblGrid>
      <w:tr>
        <w:trPr>
          <w:tblHeader w:val="true"/>
          <w:cantSplit/>
        </w:trPr>
        <w:tc>
          <w:tcPr>
            <w:tcW w:type="dxa" w:w="2951"/>
            <w:shd w:fill="183A63"/>
            <w:vAlign w:val="center"/>
            <w:tcMar>
              <w:top w:w="80" w:type="dxa"/>
              <w:start w:w="120" w:type="dxa"/>
              <w:bottom w:w="80" w:type="dxa"/>
              <w:end w:w="120" w:type="dxa"/>
            </w:tcMar>
          </w:tcPr>
          <w:p>
            <w:r>
              <w:rPr>
                <w:rFonts w:ascii="Arial" w:hAnsi="Arial"/>
                <w:b/>
                <w:color w:val="FFFFFF"/>
                <w:sz w:val="16"/>
              </w:rPr>
              <w:t>Law</w:t>
            </w:r>
          </w:p>
        </w:tc>
        <w:tc>
          <w:tcPr>
            <w:tcW w:type="dxa" w:w="6926"/>
            <w:shd w:fill="183A63"/>
            <w:vAlign w:val="center"/>
            <w:tcMar>
              <w:top w:w="80" w:type="dxa"/>
              <w:start w:w="120" w:type="dxa"/>
              <w:bottom w:w="80" w:type="dxa"/>
              <w:end w:w="120" w:type="dxa"/>
            </w:tcMar>
          </w:tcPr>
          <w:p>
            <w:r>
              <w:rPr>
                <w:rFonts w:ascii="Arial" w:hAnsi="Arial"/>
                <w:b/>
                <w:color w:val="FFFFFF"/>
                <w:sz w:val="16"/>
              </w:rPr>
              <w:t>Binding meaning</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Knowledge provenance</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Every teachable rule and every scored answer must trace to an approved source item and version.</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Competence is not attendance</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Completion, assessment, certification and authorisation are different states.</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Least necessary learning data</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Learners receive only the event and guest information needed for their role.</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Critical knowledge cannot average out</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Failure of a designated critical competency prevents certification even where the total score is 80% or more.</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Role change creates a gap analysis</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Vertical or horizontal movement reuses valid competence and assigns only missing requirements.</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Event readiness is event-scoped</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A general certificate does not by itself authorise event deployment.</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Published versions are immutable</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Approved content and assessment versions are superseded, never silently rewritten.</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Author and approver are separated</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A person cannot solely approve their own high-risk content, question bank, practical result or exception.</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Retakes remain possible</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Learners may retake when ready, while every attempt remains auditable and fresh forms protect integrity.</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Sensitive capabilities require explicit competence</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AI, FaceGate, biometrics, privacy, child safeguarding and high-risk command duties require separate, current authority.</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OS and Academy remain independently operable</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Integration failure does not corrupt either system; reconciliation restores truth.</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Frontend is operational infrastructure</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Mobile usability, clarity, accessibility and safe recovery are release requirements, not decoration.</w:t>
            </w:r>
          </w:p>
        </w:tc>
      </w:tr>
    </w:tbl>
    <w:p>
      <w:pPr>
        <w:spacing w:after="20"/>
      </w:pPr>
    </w:p>
    <w:p>
      <w:pPr>
        <w:pStyle w:val="Heading1"/>
      </w:pPr>
      <w:r>
        <w:t>4. System architecture and repository boundaries</w:t>
      </w:r>
    </w:p>
    <w:p>
      <w:pPr>
        <w:pStyle w:val="Heading2"/>
      </w:pPr>
      <w:r>
        <w:t>4.1 Recommended deployment model</w:t>
      </w:r>
    </w:p>
    <w:p>
      <w:pPr>
        <w:spacing w:after="100"/>
      </w:pPr>
      <w:r>
        <w:rPr>
          <w:rFonts w:ascii="Arial" w:hAnsi="Arial"/>
          <w:b w:val="0"/>
          <w:i w:val="0"/>
          <w:color w:val="172033"/>
          <w:sz w:val="19"/>
        </w:rPr>
        <w:t>Build the Academy in a separate repository and deploy it independently. Use the same identity provider and organisation model as MD-EOS where practicable, but give the Academy its own database, release cycle and operational ownership.</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4104"/>
        <w:gridCol w:w="3830"/>
      </w:tblGrid>
      <w:tr>
        <w:trPr>
          <w:tblHeader w:val="true"/>
          <w:cantSplit/>
        </w:trPr>
        <w:tc>
          <w:tcPr>
            <w:tcW w:type="dxa" w:w="1944"/>
            <w:shd w:fill="183A63"/>
            <w:vAlign w:val="center"/>
            <w:tcMar>
              <w:top w:w="80" w:type="dxa"/>
              <w:start w:w="120" w:type="dxa"/>
              <w:bottom w:w="80" w:type="dxa"/>
              <w:end w:w="120" w:type="dxa"/>
            </w:tcMar>
          </w:tcPr>
          <w:p>
            <w:r>
              <w:rPr>
                <w:rFonts w:ascii="Arial" w:hAnsi="Arial"/>
                <w:b/>
                <w:color w:val="FFFFFF"/>
                <w:sz w:val="16"/>
              </w:rPr>
              <w:t>System</w:t>
            </w:r>
          </w:p>
        </w:tc>
        <w:tc>
          <w:tcPr>
            <w:tcW w:type="dxa" w:w="4104"/>
            <w:shd w:fill="183A63"/>
            <w:vAlign w:val="center"/>
            <w:tcMar>
              <w:top w:w="80" w:type="dxa"/>
              <w:start w:w="120" w:type="dxa"/>
              <w:bottom w:w="80" w:type="dxa"/>
              <w:end w:w="120" w:type="dxa"/>
            </w:tcMar>
          </w:tcPr>
          <w:p>
            <w:r>
              <w:rPr>
                <w:rFonts w:ascii="Arial" w:hAnsi="Arial"/>
                <w:b/>
                <w:color w:val="FFFFFF"/>
                <w:sz w:val="16"/>
              </w:rPr>
              <w:t>Owns</w:t>
            </w:r>
          </w:p>
        </w:tc>
        <w:tc>
          <w:tcPr>
            <w:tcW w:type="dxa" w:w="3830"/>
            <w:shd w:fill="183A63"/>
            <w:vAlign w:val="center"/>
            <w:tcMar>
              <w:top w:w="80" w:type="dxa"/>
              <w:start w:w="120" w:type="dxa"/>
              <w:bottom w:w="80" w:type="dxa"/>
              <w:end w:w="120" w:type="dxa"/>
            </w:tcMar>
          </w:tcPr>
          <w:p>
            <w:r>
              <w:rPr>
                <w:rFonts w:ascii="Arial" w:hAnsi="Arial"/>
                <w:b/>
                <w:color w:val="FFFFFF"/>
                <w:sz w:val="16"/>
              </w:rPr>
              <w:t>Must not own</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6"/>
              </w:rPr>
              <w:t>MD-EOS</w:t>
            </w:r>
          </w:p>
        </w:tc>
        <w:tc>
          <w:tcPr>
            <w:tcW w:type="dxa" w:w="4104"/>
            <w:vAlign w:val="top"/>
            <w:tcMar>
              <w:top w:w="80" w:type="dxa"/>
              <w:start w:w="120" w:type="dxa"/>
              <w:bottom w:w="80" w:type="dxa"/>
              <w:end w:w="120" w:type="dxa"/>
            </w:tcMar>
          </w:tcPr>
          <w:p>
            <w:pPr>
              <w:spacing w:after="40" w:line="252" w:lineRule="auto"/>
            </w:pPr>
            <w:r>
              <w:rPr>
                <w:rFonts w:ascii="Arial" w:hAnsi="Arial"/>
                <w:b w:val="0"/>
                <w:color w:val="172033"/>
                <w:sz w:val="16"/>
              </w:rPr>
              <w:t>Events, assignments, approved event plans, guests, operational permissions, live readiness and event decisions</w:t>
            </w:r>
          </w:p>
        </w:tc>
        <w:tc>
          <w:tcPr>
            <w:tcW w:type="dxa" w:w="3830"/>
            <w:vAlign w:val="top"/>
            <w:tcMar>
              <w:top w:w="80" w:type="dxa"/>
              <w:start w:w="120" w:type="dxa"/>
              <w:bottom w:w="80" w:type="dxa"/>
              <w:end w:w="120" w:type="dxa"/>
            </w:tcMar>
          </w:tcPr>
          <w:p>
            <w:pPr>
              <w:spacing w:after="40" w:line="252" w:lineRule="auto"/>
            </w:pPr>
            <w:r>
              <w:rPr>
                <w:rFonts w:ascii="Arial" w:hAnsi="Arial"/>
                <w:b w:val="0"/>
                <w:color w:val="172033"/>
                <w:sz w:val="16"/>
              </w:rPr>
              <w:t>Curriculum, assessment attempts or certificates</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6"/>
              </w:rPr>
              <w:t>Academy</w:t>
            </w:r>
          </w:p>
        </w:tc>
        <w:tc>
          <w:tcPr>
            <w:tcW w:type="dxa" w:w="4104"/>
            <w:vAlign w:val="top"/>
            <w:shd w:fill="F5F7FA"/>
            <w:tcMar>
              <w:top w:w="80" w:type="dxa"/>
              <w:start w:w="120" w:type="dxa"/>
              <w:bottom w:w="80" w:type="dxa"/>
              <w:end w:w="120" w:type="dxa"/>
            </w:tcMar>
          </w:tcPr>
          <w:p>
            <w:pPr>
              <w:spacing w:after="40" w:line="252" w:lineRule="auto"/>
            </w:pPr>
            <w:r>
              <w:rPr>
                <w:rFonts w:ascii="Arial" w:hAnsi="Arial"/>
                <w:b w:val="0"/>
                <w:color w:val="172033"/>
                <w:sz w:val="16"/>
              </w:rPr>
              <w:t>Learning content, competencies, enrolments, attempts, practical evidence, certificates and training readiness</w:t>
            </w:r>
          </w:p>
        </w:tc>
        <w:tc>
          <w:tcPr>
            <w:tcW w:type="dxa" w:w="3830"/>
            <w:vAlign w:val="top"/>
            <w:shd w:fill="F5F7FA"/>
            <w:tcMar>
              <w:top w:w="80" w:type="dxa"/>
              <w:start w:w="120" w:type="dxa"/>
              <w:bottom w:w="80" w:type="dxa"/>
              <w:end w:w="120" w:type="dxa"/>
            </w:tcMar>
          </w:tcPr>
          <w:p>
            <w:pPr>
              <w:spacing w:after="40" w:line="252" w:lineRule="auto"/>
            </w:pPr>
            <w:r>
              <w:rPr>
                <w:rFonts w:ascii="Arial" w:hAnsi="Arial"/>
                <w:b w:val="0"/>
                <w:color w:val="172033"/>
                <w:sz w:val="16"/>
              </w:rPr>
              <w:t>Canonical event plans, guest master data or final event staffing authority</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6"/>
              </w:rPr>
              <w:t>Identity service</w:t>
            </w:r>
          </w:p>
        </w:tc>
        <w:tc>
          <w:tcPr>
            <w:tcW w:type="dxa" w:w="4104"/>
            <w:vAlign w:val="top"/>
            <w:tcMar>
              <w:top w:w="80" w:type="dxa"/>
              <w:start w:w="120" w:type="dxa"/>
              <w:bottom w:w="80" w:type="dxa"/>
              <w:end w:w="120" w:type="dxa"/>
            </w:tcMar>
          </w:tcPr>
          <w:p>
            <w:pPr>
              <w:spacing w:after="40" w:line="252" w:lineRule="auto"/>
            </w:pPr>
            <w:r>
              <w:rPr>
                <w:rFonts w:ascii="Arial" w:hAnsi="Arial"/>
                <w:b w:val="0"/>
                <w:color w:val="172033"/>
                <w:sz w:val="16"/>
              </w:rPr>
              <w:t>Authentication, organisation membership and durable person identity</w:t>
            </w:r>
          </w:p>
        </w:tc>
        <w:tc>
          <w:tcPr>
            <w:tcW w:type="dxa" w:w="3830"/>
            <w:vAlign w:val="top"/>
            <w:tcMar>
              <w:top w:w="80" w:type="dxa"/>
              <w:start w:w="120" w:type="dxa"/>
              <w:bottom w:w="80" w:type="dxa"/>
              <w:end w:w="120" w:type="dxa"/>
            </w:tcMar>
          </w:tcPr>
          <w:p>
            <w:pPr>
              <w:spacing w:after="40" w:line="252" w:lineRule="auto"/>
            </w:pPr>
            <w:r>
              <w:rPr>
                <w:rFonts w:ascii="Arial" w:hAnsi="Arial"/>
                <w:b w:val="0"/>
                <w:color w:val="172033"/>
                <w:sz w:val="16"/>
              </w:rPr>
              <w:t>Business-specific competence or event data</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6"/>
              </w:rPr>
              <w:t>Integration layer</w:t>
            </w:r>
          </w:p>
        </w:tc>
        <w:tc>
          <w:tcPr>
            <w:tcW w:type="dxa" w:w="4104"/>
            <w:vAlign w:val="top"/>
            <w:shd w:fill="F5F7FA"/>
            <w:tcMar>
              <w:top w:w="80" w:type="dxa"/>
              <w:start w:w="120" w:type="dxa"/>
              <w:bottom w:w="80" w:type="dxa"/>
              <w:end w:w="120" w:type="dxa"/>
            </w:tcMar>
          </w:tcPr>
          <w:p>
            <w:pPr>
              <w:spacing w:after="40" w:line="252" w:lineRule="auto"/>
            </w:pPr>
            <w:r>
              <w:rPr>
                <w:rFonts w:ascii="Arial" w:hAnsi="Arial"/>
                <w:b w:val="0"/>
                <w:color w:val="172033"/>
                <w:sz w:val="16"/>
              </w:rPr>
              <w:t>Versioned package delivery, status return, retries and reconciliation</w:t>
            </w:r>
          </w:p>
        </w:tc>
        <w:tc>
          <w:tcPr>
            <w:tcW w:type="dxa" w:w="3830"/>
            <w:vAlign w:val="top"/>
            <w:shd w:fill="F5F7FA"/>
            <w:tcMar>
              <w:top w:w="80" w:type="dxa"/>
              <w:start w:w="120" w:type="dxa"/>
              <w:bottom w:w="80" w:type="dxa"/>
              <w:end w:w="120" w:type="dxa"/>
            </w:tcMar>
          </w:tcPr>
          <w:p>
            <w:pPr>
              <w:spacing w:after="40" w:line="252" w:lineRule="auto"/>
            </w:pPr>
            <w:r>
              <w:rPr>
                <w:rFonts w:ascii="Arial" w:hAnsi="Arial"/>
                <w:b w:val="0"/>
                <w:color w:val="172033"/>
                <w:sz w:val="16"/>
              </w:rPr>
              <w:t>Independent business truth</w:t>
            </w:r>
          </w:p>
        </w:tc>
      </w:tr>
    </w:tbl>
    <w:p>
      <w:pPr>
        <w:spacing w:after="20"/>
      </w:pPr>
    </w:p>
    <w:p>
      <w:pPr>
        <w:pStyle w:val="Heading2"/>
      </w:pPr>
      <w:r>
        <w:t>4.2 Logical components</w:t>
      </w:r>
    </w:p>
    <w:p>
      <w:pPr>
        <w:pStyle w:val="ListBullet"/>
      </w:pPr>
      <w:r>
        <w:t>Learner application: mobile-first learning, assessment, certificates and event briefings.</w:t>
      </w:r>
    </w:p>
    <w:p>
      <w:pPr>
        <w:pStyle w:val="ListBullet"/>
      </w:pPr>
      <w:r>
        <w:t>Management application: enrolment, readiness, interventions and team analysis.</w:t>
      </w:r>
    </w:p>
    <w:p>
      <w:pPr>
        <w:pStyle w:val="ListBullet"/>
      </w:pPr>
      <w:r>
        <w:t>Authoring studio: structured knowledge, courses, question banks and approval workflow.</w:t>
      </w:r>
    </w:p>
    <w:p>
      <w:pPr>
        <w:pStyle w:val="ListBullet"/>
      </w:pPr>
      <w:r>
        <w:t>Assessment service: secure assembly, attempt control, marking and result calculation.</w:t>
      </w:r>
    </w:p>
    <w:p>
      <w:pPr>
        <w:pStyle w:val="ListBullet"/>
      </w:pPr>
      <w:r>
        <w:t>Certification service: issue, renew, suspend, revoke and verify certificates.</w:t>
      </w:r>
    </w:p>
    <w:p>
      <w:pPr>
        <w:pStyle w:val="ListBullet"/>
      </w:pPr>
      <w:r>
        <w:t>Event-training service: ingest approved packages, assign deltas and publish readiness.</w:t>
      </w:r>
    </w:p>
    <w:p>
      <w:pPr>
        <w:pStyle w:val="ListBullet"/>
      </w:pPr>
      <w:r>
        <w:t>Intelligence service: deterministic alerts and governed analytics; AI only assists bounded drafting or analysis.</w:t>
      </w:r>
    </w:p>
    <w:p>
      <w:pPr>
        <w:pStyle w:val="ListBullet"/>
      </w:pPr>
      <w:r>
        <w:t>Audit and evidence service: immutable business events and durable supporting artefacts.</w:t>
      </w:r>
    </w:p>
    <w:p>
      <w:pPr>
        <w:pStyle w:val="Heading2"/>
      </w:pPr>
      <w:r>
        <w:t>4.3 Separation test</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FF4D6"/>
            <w:tcMar>
              <w:top w:w="80" w:type="dxa"/>
              <w:start w:w="120" w:type="dxa"/>
              <w:bottom w:w="80" w:type="dxa"/>
              <w:end w:w="120" w:type="dxa"/>
            </w:tcMar>
          </w:tcPr>
          <w:p>
            <w:pPr>
              <w:spacing w:after="0"/>
            </w:pPr>
            <w:r>
              <w:rPr>
                <w:rFonts w:ascii="Arial" w:hAnsi="Arial"/>
                <w:b/>
                <w:color w:val="B79F55"/>
                <w:sz w:val="19"/>
              </w:rPr>
              <w:t xml:space="preserve">BOUNDARY TEST  </w:t>
            </w:r>
            <w:r>
              <w:rPr>
                <w:rFonts w:ascii="Arial" w:hAnsi="Arial"/>
                <w:b/>
                <w:color w:val="10233F"/>
                <w:sz w:val="19"/>
              </w:rPr>
              <w:t>If MD-EOS is unavailable, existing Academy learning and certificates remain usable. If the Academy is unavailable, MD-EOS retains its event truth and fails closed for assignments requiring current training verification.</w:t>
            </w:r>
          </w:p>
        </w:tc>
      </w:tr>
    </w:tbl>
    <w:p>
      <w:pPr>
        <w:spacing w:after="20"/>
      </w:pPr>
    </w:p>
    <w:p>
      <w:pPr>
        <w:pStyle w:val="Heading1"/>
      </w:pPr>
      <w:r>
        <w:t>5. Users, roles and authority</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32"/>
        <w:gridCol w:w="4320"/>
        <w:gridCol w:w="3326"/>
      </w:tblGrid>
      <w:tr>
        <w:trPr>
          <w:tblHeader w:val="true"/>
          <w:cantSplit/>
        </w:trPr>
        <w:tc>
          <w:tcPr>
            <w:tcW w:type="dxa" w:w="2232"/>
            <w:shd w:fill="183A63"/>
            <w:vAlign w:val="center"/>
            <w:tcMar>
              <w:top w:w="80" w:type="dxa"/>
              <w:start w:w="120" w:type="dxa"/>
              <w:bottom w:w="80" w:type="dxa"/>
              <w:end w:w="120" w:type="dxa"/>
            </w:tcMar>
          </w:tcPr>
          <w:p>
            <w:r>
              <w:rPr>
                <w:rFonts w:ascii="Arial" w:hAnsi="Arial"/>
                <w:b/>
                <w:color w:val="FFFFFF"/>
                <w:sz w:val="15"/>
              </w:rPr>
              <w:t>Role</w:t>
            </w:r>
          </w:p>
        </w:tc>
        <w:tc>
          <w:tcPr>
            <w:tcW w:type="dxa" w:w="4320"/>
            <w:shd w:fill="183A63"/>
            <w:vAlign w:val="center"/>
            <w:tcMar>
              <w:top w:w="80" w:type="dxa"/>
              <w:start w:w="120" w:type="dxa"/>
              <w:bottom w:w="80" w:type="dxa"/>
              <w:end w:w="120" w:type="dxa"/>
            </w:tcMar>
          </w:tcPr>
          <w:p>
            <w:r>
              <w:rPr>
                <w:rFonts w:ascii="Arial" w:hAnsi="Arial"/>
                <w:b/>
                <w:color w:val="FFFFFF"/>
                <w:sz w:val="15"/>
              </w:rPr>
              <w:t>Primary authority</w:t>
            </w:r>
          </w:p>
        </w:tc>
        <w:tc>
          <w:tcPr>
            <w:tcW w:type="dxa" w:w="3326"/>
            <w:shd w:fill="183A63"/>
            <w:vAlign w:val="center"/>
            <w:tcMar>
              <w:top w:w="80" w:type="dxa"/>
              <w:start w:w="120" w:type="dxa"/>
              <w:bottom w:w="80" w:type="dxa"/>
              <w:end w:w="120" w:type="dxa"/>
            </w:tcMar>
          </w:tcPr>
          <w:p>
            <w:r>
              <w:rPr>
                <w:rFonts w:ascii="Arial" w:hAnsi="Arial"/>
                <w:b/>
                <w:color w:val="FFFFFF"/>
                <w:sz w:val="15"/>
              </w:rPr>
              <w:t>Key prohibition</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Learner</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Complete assigned learning, attempts and acknowledgements</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Cannot change results or requirements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Line Manager</w:t>
            </w:r>
          </w:p>
        </w:tc>
        <w:tc>
          <w:tcPr>
            <w:tcW w:type="dxa" w:w="4320"/>
            <w:vAlign w:val="top"/>
            <w:shd w:fill="F5F7FA"/>
            <w:tcMar>
              <w:top w:w="80" w:type="dxa"/>
              <w:start w:w="120" w:type="dxa"/>
              <w:bottom w:w="80" w:type="dxa"/>
              <w:end w:w="120" w:type="dxa"/>
            </w:tcMar>
          </w:tcPr>
          <w:p>
            <w:pPr>
              <w:spacing w:after="40" w:line="252" w:lineRule="auto"/>
            </w:pPr>
            <w:r>
              <w:rPr>
                <w:rFonts w:ascii="Arial" w:hAnsi="Arial"/>
                <w:b w:val="0"/>
                <w:color w:val="172033"/>
                <w:sz w:val="15"/>
              </w:rPr>
              <w:t>View team readiness, assign permitted learning, request intervention</w:t>
            </w:r>
          </w:p>
        </w:tc>
        <w:tc>
          <w:tcPr>
            <w:tcW w:type="dxa" w:w="3326"/>
            <w:vAlign w:val="top"/>
            <w:shd w:fill="F5F7FA"/>
            <w:tcMar>
              <w:top w:w="80" w:type="dxa"/>
              <w:start w:w="120" w:type="dxa"/>
              <w:bottom w:w="80" w:type="dxa"/>
              <w:end w:w="120" w:type="dxa"/>
            </w:tcMar>
          </w:tcPr>
          <w:p>
            <w:pPr>
              <w:spacing w:after="40" w:line="252" w:lineRule="auto"/>
            </w:pPr>
            <w:r>
              <w:rPr>
                <w:rFonts w:ascii="Arial" w:hAnsi="Arial"/>
                <w:b w:val="0"/>
                <w:color w:val="172033"/>
                <w:sz w:val="15"/>
              </w:rPr>
              <w:t>Cannot mark their own high-risk practical evidence without policy permission</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Assessor</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Conduct and score practical or written assessments</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Cannot alter source doctrine</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Curriculum Author</w:t>
            </w:r>
          </w:p>
        </w:tc>
        <w:tc>
          <w:tcPr>
            <w:tcW w:type="dxa" w:w="4320"/>
            <w:vAlign w:val="top"/>
            <w:shd w:fill="F5F7FA"/>
            <w:tcMar>
              <w:top w:w="80" w:type="dxa"/>
              <w:start w:w="120" w:type="dxa"/>
              <w:bottom w:w="80" w:type="dxa"/>
              <w:end w:w="120" w:type="dxa"/>
            </w:tcMar>
          </w:tcPr>
          <w:p>
            <w:pPr>
              <w:spacing w:after="40" w:line="252" w:lineRule="auto"/>
            </w:pPr>
            <w:r>
              <w:rPr>
                <w:rFonts w:ascii="Arial" w:hAnsi="Arial"/>
                <w:b w:val="0"/>
                <w:color w:val="172033"/>
                <w:sz w:val="15"/>
              </w:rPr>
              <w:t>Draft structured knowledge, lessons and questions</w:t>
            </w:r>
          </w:p>
        </w:tc>
        <w:tc>
          <w:tcPr>
            <w:tcW w:type="dxa" w:w="3326"/>
            <w:vAlign w:val="top"/>
            <w:shd w:fill="F5F7FA"/>
            <w:tcMar>
              <w:top w:w="80" w:type="dxa"/>
              <w:start w:w="120" w:type="dxa"/>
              <w:bottom w:w="80" w:type="dxa"/>
              <w:end w:w="120" w:type="dxa"/>
            </w:tcMar>
          </w:tcPr>
          <w:p>
            <w:pPr>
              <w:spacing w:after="40" w:line="252" w:lineRule="auto"/>
            </w:pPr>
            <w:r>
              <w:rPr>
                <w:rFonts w:ascii="Arial" w:hAnsi="Arial"/>
                <w:b w:val="0"/>
                <w:color w:val="172033"/>
                <w:sz w:val="15"/>
              </w:rPr>
              <w:t>Cannot publish alone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Curriculum Reviewer</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Review accuracy, pedagogy and source traceability</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Cannot silently edit published content</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Certification Authority</w:t>
            </w:r>
          </w:p>
        </w:tc>
        <w:tc>
          <w:tcPr>
            <w:tcW w:type="dxa" w:w="4320"/>
            <w:vAlign w:val="top"/>
            <w:shd w:fill="F5F7FA"/>
            <w:tcMar>
              <w:top w:w="80" w:type="dxa"/>
              <w:start w:w="120" w:type="dxa"/>
              <w:bottom w:w="80" w:type="dxa"/>
              <w:end w:w="120" w:type="dxa"/>
            </w:tcMar>
          </w:tcPr>
          <w:p>
            <w:pPr>
              <w:spacing w:after="40" w:line="252" w:lineRule="auto"/>
            </w:pPr>
            <w:r>
              <w:rPr>
                <w:rFonts w:ascii="Arial" w:hAnsi="Arial"/>
                <w:b w:val="0"/>
                <w:color w:val="172033"/>
                <w:sz w:val="15"/>
              </w:rPr>
              <w:t>Approve controlled certifications, suspensions and revocations</w:t>
            </w:r>
          </w:p>
        </w:tc>
        <w:tc>
          <w:tcPr>
            <w:tcW w:type="dxa" w:w="3326"/>
            <w:vAlign w:val="top"/>
            <w:shd w:fill="F5F7FA"/>
            <w:tcMar>
              <w:top w:w="80" w:type="dxa"/>
              <w:start w:w="120" w:type="dxa"/>
              <w:bottom w:w="80" w:type="dxa"/>
              <w:end w:w="120" w:type="dxa"/>
            </w:tcMar>
          </w:tcPr>
          <w:p>
            <w:pPr>
              <w:spacing w:after="40" w:line="252" w:lineRule="auto"/>
            </w:pPr>
            <w:r>
              <w:rPr>
                <w:rFonts w:ascii="Arial" w:hAnsi="Arial"/>
                <w:b w:val="0"/>
                <w:color w:val="172033"/>
                <w:sz w:val="15"/>
              </w:rPr>
              <w:t>Cannot bypass missing critical competence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Event Director</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Own event-training completion and operational recommendation</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Cannot grant corporate certification</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Academy Administrator</w:t>
            </w:r>
          </w:p>
        </w:tc>
        <w:tc>
          <w:tcPr>
            <w:tcW w:type="dxa" w:w="4320"/>
            <w:vAlign w:val="top"/>
            <w:shd w:fill="F5F7FA"/>
            <w:tcMar>
              <w:top w:w="80" w:type="dxa"/>
              <w:start w:w="120" w:type="dxa"/>
              <w:bottom w:w="80" w:type="dxa"/>
              <w:end w:w="120" w:type="dxa"/>
            </w:tcMar>
          </w:tcPr>
          <w:p>
            <w:pPr>
              <w:spacing w:after="40" w:line="252" w:lineRule="auto"/>
            </w:pPr>
            <w:r>
              <w:rPr>
                <w:rFonts w:ascii="Arial" w:hAnsi="Arial"/>
                <w:b w:val="0"/>
                <w:color w:val="172033"/>
                <w:sz w:val="15"/>
              </w:rPr>
              <w:t>Manage configuration, enrolments and support</w:t>
            </w:r>
          </w:p>
        </w:tc>
        <w:tc>
          <w:tcPr>
            <w:tcW w:type="dxa" w:w="3326"/>
            <w:vAlign w:val="top"/>
            <w:shd w:fill="F5F7FA"/>
            <w:tcMar>
              <w:top w:w="80" w:type="dxa"/>
              <w:start w:w="120" w:type="dxa"/>
              <w:bottom w:w="80" w:type="dxa"/>
              <w:end w:w="120" w:type="dxa"/>
            </w:tcMar>
          </w:tcPr>
          <w:p>
            <w:pPr>
              <w:spacing w:after="40" w:line="252" w:lineRule="auto"/>
            </w:pPr>
            <w:r>
              <w:rPr>
                <w:rFonts w:ascii="Arial" w:hAnsi="Arial"/>
                <w:b w:val="0"/>
                <w:color w:val="172033"/>
                <w:sz w:val="15"/>
              </w:rPr>
              <w:t>Administrative access is not academic approval</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Security / Privacy Reviewer</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Approve restricted content and sensitive-capability training</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Cannot approve unrelated operational competence</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CEO</w:t>
            </w:r>
          </w:p>
        </w:tc>
        <w:tc>
          <w:tcPr>
            <w:tcW w:type="dxa" w:w="4320"/>
            <w:vAlign w:val="top"/>
            <w:shd w:fill="F5F7FA"/>
            <w:tcMar>
              <w:top w:w="80" w:type="dxa"/>
              <w:start w:w="120" w:type="dxa"/>
              <w:bottom w:w="80" w:type="dxa"/>
              <w:end w:w="120" w:type="dxa"/>
            </w:tcMar>
          </w:tcPr>
          <w:p>
            <w:pPr>
              <w:spacing w:after="40" w:line="252" w:lineRule="auto"/>
            </w:pPr>
            <w:r>
              <w:rPr>
                <w:rFonts w:ascii="Arial" w:hAnsi="Arial"/>
                <w:b w:val="0"/>
                <w:color w:val="172033"/>
                <w:sz w:val="15"/>
              </w:rPr>
              <w:t>Ratify standards, reserved curricula, exceptions and production release</w:t>
            </w:r>
          </w:p>
        </w:tc>
        <w:tc>
          <w:tcPr>
            <w:tcW w:type="dxa" w:w="3326"/>
            <w:vAlign w:val="top"/>
            <w:shd w:fill="F5F7FA"/>
            <w:tcMar>
              <w:top w:w="80" w:type="dxa"/>
              <w:start w:w="120" w:type="dxa"/>
              <w:bottom w:w="80" w:type="dxa"/>
              <w:end w:w="120" w:type="dxa"/>
            </w:tcMar>
          </w:tcPr>
          <w:p>
            <w:pPr>
              <w:spacing w:after="40" w:line="252" w:lineRule="auto"/>
            </w:pPr>
            <w:r>
              <w:rPr>
                <w:rFonts w:ascii="Arial" w:hAnsi="Arial"/>
                <w:b w:val="0"/>
                <w:color w:val="172033"/>
                <w:sz w:val="15"/>
              </w:rPr>
              <w:t>Cannot self-verify technical or academic evidence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System Integration Principal</w:t>
            </w:r>
          </w:p>
        </w:tc>
        <w:tc>
          <w:tcPr>
            <w:tcW w:type="dxa" w:w="4320"/>
            <w:vAlign w:val="top"/>
            <w:tcMar>
              <w:top w:w="80" w:type="dxa"/>
              <w:start w:w="120" w:type="dxa"/>
              <w:bottom w:w="80" w:type="dxa"/>
              <w:end w:w="120" w:type="dxa"/>
            </w:tcMar>
          </w:tcPr>
          <w:p>
            <w:pPr>
              <w:spacing w:after="40" w:line="252" w:lineRule="auto"/>
            </w:pPr>
            <w:r>
              <w:rPr>
                <w:rFonts w:ascii="Arial" w:hAnsi="Arial"/>
                <w:b w:val="0"/>
                <w:color w:val="172033"/>
                <w:sz w:val="15"/>
              </w:rPr>
              <w:t>Authenticated service account for bounded data exchange</w:t>
            </w:r>
          </w:p>
        </w:tc>
        <w:tc>
          <w:tcPr>
            <w:tcW w:type="dxa" w:w="3326"/>
            <w:vAlign w:val="top"/>
            <w:tcMar>
              <w:top w:w="80" w:type="dxa"/>
              <w:start w:w="120" w:type="dxa"/>
              <w:bottom w:w="80" w:type="dxa"/>
              <w:end w:w="120" w:type="dxa"/>
            </w:tcMar>
          </w:tcPr>
          <w:p>
            <w:pPr>
              <w:spacing w:after="40" w:line="252" w:lineRule="auto"/>
            </w:pPr>
            <w:r>
              <w:rPr>
                <w:rFonts w:ascii="Arial" w:hAnsi="Arial"/>
                <w:b w:val="0"/>
                <w:color w:val="172033"/>
                <w:sz w:val="15"/>
              </w:rPr>
              <w:t>No interactive learner or approver authority</w:t>
            </w:r>
          </w:p>
        </w:tc>
      </w:tr>
    </w:tbl>
    <w:p>
      <w:pPr>
        <w:spacing w:after="20"/>
      </w:pPr>
    </w:p>
    <w:p>
      <w:pPr>
        <w:pStyle w:val="Heading2"/>
      </w:pPr>
      <w:r>
        <w:t>5.1 Permission model</w:t>
      </w:r>
    </w:p>
    <w:p>
      <w:pPr>
        <w:spacing w:after="100"/>
      </w:pPr>
      <w:r>
        <w:rPr>
          <w:rFonts w:ascii="Arial" w:hAnsi="Arial"/>
          <w:b w:val="0"/>
          <w:i w:val="0"/>
          <w:color w:val="172033"/>
          <w:sz w:val="19"/>
        </w:rPr>
        <w:t>Authorisation uses organisation, role, resource, action, scope and context. Context includes event, department, confidentiality, content state, learner relationship and separation-of-duty rules. UI hiding is never the enforcement layer; every server action repeats the permission decision.</w:t>
      </w:r>
    </w:p>
    <w:p>
      <w:pPr>
        <w:pStyle w:val="Heading1"/>
      </w:pPr>
      <w:r>
        <w:t>6. Curriculum and knowledge architecture</w:t>
      </w:r>
    </w:p>
    <w:p>
      <w:pPr>
        <w:pStyle w:val="Heading2"/>
      </w:pPr>
      <w:r>
        <w:t>6.1 Canonical source model</w:t>
      </w:r>
    </w:p>
    <w:p>
      <w:pPr>
        <w:spacing w:after="100"/>
      </w:pPr>
      <w:r>
        <w:rPr>
          <w:rFonts w:ascii="Arial" w:hAnsi="Arial"/>
          <w:b w:val="0"/>
          <w:i w:val="0"/>
          <w:color w:val="172033"/>
          <w:sz w:val="19"/>
        </w:rPr>
        <w:t>The Intelligence Specification is imported by controlled editorial work, not copied as undifferentiated prose. Each rule becomes a structured Knowledge Item. The first production knowledge base must cover all 30 modules and retain Lagos-specific context alongside globally reusable doctrine.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951"/>
        <w:gridCol w:w="6926"/>
      </w:tblGrid>
      <w:tr>
        <w:trPr>
          <w:tblHeader w:val="true"/>
          <w:cantSplit/>
        </w:trPr>
        <w:tc>
          <w:tcPr>
            <w:tcW w:type="dxa" w:w="2951"/>
            <w:shd w:fill="183A63"/>
            <w:vAlign w:val="center"/>
            <w:tcMar>
              <w:top w:w="80" w:type="dxa"/>
              <w:start w:w="120" w:type="dxa"/>
              <w:bottom w:w="80" w:type="dxa"/>
              <w:end w:w="120" w:type="dxa"/>
            </w:tcMar>
          </w:tcPr>
          <w:p>
            <w:r>
              <w:rPr>
                <w:rFonts w:ascii="Arial" w:hAnsi="Arial"/>
                <w:b/>
                <w:color w:val="FFFFFF"/>
                <w:sz w:val="16"/>
              </w:rPr>
              <w:t>Knowledge Item field</w:t>
            </w:r>
          </w:p>
        </w:tc>
        <w:tc>
          <w:tcPr>
            <w:tcW w:type="dxa" w:w="6926"/>
            <w:shd w:fill="183A63"/>
            <w:vAlign w:val="center"/>
            <w:tcMar>
              <w:top w:w="80" w:type="dxa"/>
              <w:start w:w="120" w:type="dxa"/>
              <w:bottom w:w="80" w:type="dxa"/>
              <w:end w:w="120" w:type="dxa"/>
            </w:tcMar>
          </w:tcPr>
          <w:p>
            <w:r>
              <w:rPr>
                <w:rFonts w:ascii="Arial" w:hAnsi="Arial"/>
                <w:b/>
                <w:color w:val="FFFFFF"/>
                <w:sz w:val="16"/>
              </w:rPr>
              <w:t>Purpose</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Knowledge ID</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Stable identifier</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Module and source locator</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Exact provenance</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Title and statement</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What is taught</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Knowledge type</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Doctrine, standard, rule, procedure, checklist, example, warning or judgment pattern</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Applicability</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Role, geography, event type, lifecycle stage and capability</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Criticality</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Normal, important, critical or stop-authority</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Decision / action</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Expected application</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Exceptions and escalation</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When the normal rule is insufficient</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Version and state</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Draft, review, approved, published, superseded or retired</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Owner and approver</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6"/>
              </w:rPr>
              <w:t>Accountability</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Assessment links</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6"/>
              </w:rPr>
              <w:t>Questions and practical criteria that test it</w:t>
            </w:r>
          </w:p>
        </w:tc>
      </w:tr>
    </w:tbl>
    <w:p>
      <w:pPr>
        <w:spacing w:after="20"/>
      </w:pPr>
    </w:p>
    <w:p>
      <w:pPr>
        <w:pStyle w:val="Heading2"/>
      </w:pPr>
      <w:r>
        <w:t>6.2 Learning content hierarchy</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015"/>
        <w:gridCol w:w="7862"/>
      </w:tblGrid>
      <w:tr>
        <w:trPr>
          <w:tblHeader w:val="true"/>
          <w:cantSplit/>
        </w:trPr>
        <w:tc>
          <w:tcPr>
            <w:tcW w:type="dxa" w:w="2015"/>
            <w:shd w:fill="183A63"/>
            <w:vAlign w:val="center"/>
            <w:tcMar>
              <w:top w:w="80" w:type="dxa"/>
              <w:start w:w="120" w:type="dxa"/>
              <w:bottom w:w="80" w:type="dxa"/>
              <w:end w:w="120" w:type="dxa"/>
            </w:tcMar>
          </w:tcPr>
          <w:p>
            <w:r>
              <w:rPr>
                <w:rFonts w:ascii="Arial" w:hAnsi="Arial"/>
                <w:b/>
                <w:color w:val="FFFFFF"/>
                <w:sz w:val="16"/>
              </w:rPr>
              <w:t>Level</w:t>
            </w:r>
          </w:p>
        </w:tc>
        <w:tc>
          <w:tcPr>
            <w:tcW w:type="dxa" w:w="7862"/>
            <w:shd w:fill="183A63"/>
            <w:vAlign w:val="center"/>
            <w:tcMar>
              <w:top w:w="80" w:type="dxa"/>
              <w:start w:w="120" w:type="dxa"/>
              <w:bottom w:w="80" w:type="dxa"/>
              <w:end w:w="120" w:type="dxa"/>
            </w:tcMar>
          </w:tcPr>
          <w:p>
            <w:r>
              <w:rPr>
                <w:rFonts w:ascii="Arial" w:hAnsi="Arial"/>
                <w:b/>
                <w:color w:val="FFFFFF"/>
                <w:sz w:val="16"/>
              </w:rPr>
              <w:t>Meaning</w:t>
            </w:r>
          </w:p>
        </w:tc>
      </w:tr>
      <w:tr>
        <w:trPr>
          <w:cantSplit/>
        </w:trPr>
        <w:tc>
          <w:tcPr>
            <w:tcW w:type="dxa" w:w="2015"/>
            <w:vAlign w:val="top"/>
            <w:tcMar>
              <w:top w:w="80" w:type="dxa"/>
              <w:start w:w="120" w:type="dxa"/>
              <w:bottom w:w="80" w:type="dxa"/>
              <w:end w:w="120" w:type="dxa"/>
            </w:tcMar>
          </w:tcPr>
          <w:p>
            <w:pPr>
              <w:spacing w:after="40" w:line="252" w:lineRule="auto"/>
            </w:pPr>
            <w:r>
              <w:rPr>
                <w:rFonts w:ascii="Arial" w:hAnsi="Arial"/>
                <w:b/>
                <w:color w:val="172033"/>
                <w:sz w:val="16"/>
              </w:rPr>
              <w:t>Academy</w:t>
            </w:r>
          </w:p>
        </w:tc>
        <w:tc>
          <w:tcPr>
            <w:tcW w:type="dxa" w:w="7862"/>
            <w:vAlign w:val="top"/>
            <w:tcMar>
              <w:top w:w="80" w:type="dxa"/>
              <w:start w:w="120" w:type="dxa"/>
              <w:bottom w:w="80" w:type="dxa"/>
              <w:end w:w="120" w:type="dxa"/>
            </w:tcMar>
          </w:tcPr>
          <w:p>
            <w:pPr>
              <w:spacing w:after="40" w:line="252" w:lineRule="auto"/>
            </w:pPr>
            <w:r>
              <w:rPr>
                <w:rFonts w:ascii="Arial" w:hAnsi="Arial"/>
                <w:b w:val="0"/>
                <w:color w:val="172033"/>
                <w:sz w:val="16"/>
              </w:rPr>
              <w:t>Organisation-wide learning environment</w:t>
            </w:r>
          </w:p>
        </w:tc>
      </w:tr>
      <w:tr>
        <w:trPr>
          <w:cantSplit/>
        </w:trPr>
        <w:tc>
          <w:tcPr>
            <w:tcW w:type="dxa" w:w="2015"/>
            <w:vAlign w:val="top"/>
            <w:shd w:fill="F5F7FA"/>
            <w:tcMar>
              <w:top w:w="80" w:type="dxa"/>
              <w:start w:w="120" w:type="dxa"/>
              <w:bottom w:w="80" w:type="dxa"/>
              <w:end w:w="120" w:type="dxa"/>
            </w:tcMar>
          </w:tcPr>
          <w:p>
            <w:pPr>
              <w:spacing w:after="40" w:line="252" w:lineRule="auto"/>
            </w:pPr>
            <w:r>
              <w:rPr>
                <w:rFonts w:ascii="Arial" w:hAnsi="Arial"/>
                <w:b/>
                <w:color w:val="172033"/>
                <w:sz w:val="16"/>
              </w:rPr>
              <w:t>Programme</w:t>
            </w:r>
          </w:p>
        </w:tc>
        <w:tc>
          <w:tcPr>
            <w:tcW w:type="dxa" w:w="7862"/>
            <w:vAlign w:val="top"/>
            <w:shd w:fill="F5F7FA"/>
            <w:tcMar>
              <w:top w:w="80" w:type="dxa"/>
              <w:start w:w="120" w:type="dxa"/>
              <w:bottom w:w="80" w:type="dxa"/>
              <w:end w:w="120" w:type="dxa"/>
            </w:tcMar>
          </w:tcPr>
          <w:p>
            <w:pPr>
              <w:spacing w:after="40" w:line="252" w:lineRule="auto"/>
            </w:pPr>
            <w:r>
              <w:rPr>
                <w:rFonts w:ascii="Arial" w:hAnsi="Arial"/>
                <w:b w:val="0"/>
                <w:color w:val="172033"/>
                <w:sz w:val="16"/>
              </w:rPr>
              <w:t>A coherent professional pathway, such as Event Leadership</w:t>
            </w:r>
          </w:p>
        </w:tc>
      </w:tr>
      <w:tr>
        <w:trPr>
          <w:cantSplit/>
        </w:trPr>
        <w:tc>
          <w:tcPr>
            <w:tcW w:type="dxa" w:w="2015"/>
            <w:vAlign w:val="top"/>
            <w:tcMar>
              <w:top w:w="80" w:type="dxa"/>
              <w:start w:w="120" w:type="dxa"/>
              <w:bottom w:w="80" w:type="dxa"/>
              <w:end w:w="120" w:type="dxa"/>
            </w:tcMar>
          </w:tcPr>
          <w:p>
            <w:pPr>
              <w:spacing w:after="40" w:line="252" w:lineRule="auto"/>
            </w:pPr>
            <w:r>
              <w:rPr>
                <w:rFonts w:ascii="Arial" w:hAnsi="Arial"/>
                <w:b/>
                <w:color w:val="172033"/>
                <w:sz w:val="16"/>
              </w:rPr>
              <w:t>Course</w:t>
            </w:r>
          </w:p>
        </w:tc>
        <w:tc>
          <w:tcPr>
            <w:tcW w:type="dxa" w:w="7862"/>
            <w:vAlign w:val="top"/>
            <w:tcMar>
              <w:top w:w="80" w:type="dxa"/>
              <w:start w:w="120" w:type="dxa"/>
              <w:bottom w:w="80" w:type="dxa"/>
              <w:end w:w="120" w:type="dxa"/>
            </w:tcMar>
          </w:tcPr>
          <w:p>
            <w:pPr>
              <w:spacing w:after="40" w:line="252" w:lineRule="auto"/>
            </w:pPr>
            <w:r>
              <w:rPr>
                <w:rFonts w:ascii="Arial" w:hAnsi="Arial"/>
                <w:b w:val="0"/>
                <w:color w:val="172033"/>
                <w:sz w:val="16"/>
              </w:rPr>
              <w:t>Certifiable body of competence</w:t>
            </w:r>
          </w:p>
        </w:tc>
      </w:tr>
      <w:tr>
        <w:trPr>
          <w:cantSplit/>
        </w:trPr>
        <w:tc>
          <w:tcPr>
            <w:tcW w:type="dxa" w:w="2015"/>
            <w:vAlign w:val="top"/>
            <w:shd w:fill="F5F7FA"/>
            <w:tcMar>
              <w:top w:w="80" w:type="dxa"/>
              <w:start w:w="120" w:type="dxa"/>
              <w:bottom w:w="80" w:type="dxa"/>
              <w:end w:w="120" w:type="dxa"/>
            </w:tcMar>
          </w:tcPr>
          <w:p>
            <w:pPr>
              <w:spacing w:after="40" w:line="252" w:lineRule="auto"/>
            </w:pPr>
            <w:r>
              <w:rPr>
                <w:rFonts w:ascii="Arial" w:hAnsi="Arial"/>
                <w:b/>
                <w:color w:val="172033"/>
                <w:sz w:val="16"/>
              </w:rPr>
              <w:t>Module</w:t>
            </w:r>
          </w:p>
        </w:tc>
        <w:tc>
          <w:tcPr>
            <w:tcW w:type="dxa" w:w="7862"/>
            <w:vAlign w:val="top"/>
            <w:shd w:fill="F5F7FA"/>
            <w:tcMar>
              <w:top w:w="80" w:type="dxa"/>
              <w:start w:w="120" w:type="dxa"/>
              <w:bottom w:w="80" w:type="dxa"/>
              <w:end w:w="120" w:type="dxa"/>
            </w:tcMar>
          </w:tcPr>
          <w:p>
            <w:pPr>
              <w:spacing w:after="40" w:line="252" w:lineRule="auto"/>
            </w:pPr>
            <w:r>
              <w:rPr>
                <w:rFonts w:ascii="Arial" w:hAnsi="Arial"/>
                <w:b w:val="0"/>
                <w:color w:val="172033"/>
                <w:sz w:val="16"/>
              </w:rPr>
              <w:t>Major subject mapped to source knowledge</w:t>
            </w:r>
          </w:p>
        </w:tc>
      </w:tr>
      <w:tr>
        <w:trPr>
          <w:cantSplit/>
        </w:trPr>
        <w:tc>
          <w:tcPr>
            <w:tcW w:type="dxa" w:w="2015"/>
            <w:vAlign w:val="top"/>
            <w:tcMar>
              <w:top w:w="80" w:type="dxa"/>
              <w:start w:w="120" w:type="dxa"/>
              <w:bottom w:w="80" w:type="dxa"/>
              <w:end w:w="120" w:type="dxa"/>
            </w:tcMar>
          </w:tcPr>
          <w:p>
            <w:pPr>
              <w:spacing w:after="40" w:line="252" w:lineRule="auto"/>
            </w:pPr>
            <w:r>
              <w:rPr>
                <w:rFonts w:ascii="Arial" w:hAnsi="Arial"/>
                <w:b/>
                <w:color w:val="172033"/>
                <w:sz w:val="16"/>
              </w:rPr>
              <w:t>Lesson</w:t>
            </w:r>
          </w:p>
        </w:tc>
        <w:tc>
          <w:tcPr>
            <w:tcW w:type="dxa" w:w="7862"/>
            <w:vAlign w:val="top"/>
            <w:tcMar>
              <w:top w:w="80" w:type="dxa"/>
              <w:start w:w="120" w:type="dxa"/>
              <w:bottom w:w="80" w:type="dxa"/>
              <w:end w:w="120" w:type="dxa"/>
            </w:tcMar>
          </w:tcPr>
          <w:p>
            <w:pPr>
              <w:spacing w:after="40" w:line="252" w:lineRule="auto"/>
            </w:pPr>
            <w:r>
              <w:rPr>
                <w:rFonts w:ascii="Arial" w:hAnsi="Arial"/>
                <w:b w:val="0"/>
                <w:color w:val="172033"/>
                <w:sz w:val="16"/>
              </w:rPr>
              <w:t>Short instructional unit with objectives</w:t>
            </w:r>
          </w:p>
        </w:tc>
      </w:tr>
      <w:tr>
        <w:trPr>
          <w:cantSplit/>
        </w:trPr>
        <w:tc>
          <w:tcPr>
            <w:tcW w:type="dxa" w:w="2015"/>
            <w:vAlign w:val="top"/>
            <w:shd w:fill="F5F7FA"/>
            <w:tcMar>
              <w:top w:w="80" w:type="dxa"/>
              <w:start w:w="120" w:type="dxa"/>
              <w:bottom w:w="80" w:type="dxa"/>
              <w:end w:w="120" w:type="dxa"/>
            </w:tcMar>
          </w:tcPr>
          <w:p>
            <w:pPr>
              <w:spacing w:after="40" w:line="252" w:lineRule="auto"/>
            </w:pPr>
            <w:r>
              <w:rPr>
                <w:rFonts w:ascii="Arial" w:hAnsi="Arial"/>
                <w:b/>
                <w:color w:val="172033"/>
                <w:sz w:val="16"/>
              </w:rPr>
              <w:t>Activity</w:t>
            </w:r>
          </w:p>
        </w:tc>
        <w:tc>
          <w:tcPr>
            <w:tcW w:type="dxa" w:w="7862"/>
            <w:vAlign w:val="top"/>
            <w:shd w:fill="F5F7FA"/>
            <w:tcMar>
              <w:top w:w="80" w:type="dxa"/>
              <w:start w:w="120" w:type="dxa"/>
              <w:bottom w:w="80" w:type="dxa"/>
              <w:end w:w="120" w:type="dxa"/>
            </w:tcMar>
          </w:tcPr>
          <w:p>
            <w:pPr>
              <w:spacing w:after="40" w:line="252" w:lineRule="auto"/>
            </w:pPr>
            <w:r>
              <w:rPr>
                <w:rFonts w:ascii="Arial" w:hAnsi="Arial"/>
                <w:b w:val="0"/>
                <w:color w:val="172033"/>
                <w:sz w:val="16"/>
              </w:rPr>
              <w:t>Reading, video, demonstration, scenario, reflection or practice</w:t>
            </w:r>
          </w:p>
        </w:tc>
      </w:tr>
      <w:tr>
        <w:trPr>
          <w:cantSplit/>
        </w:trPr>
        <w:tc>
          <w:tcPr>
            <w:tcW w:type="dxa" w:w="2015"/>
            <w:vAlign w:val="top"/>
            <w:tcMar>
              <w:top w:w="80" w:type="dxa"/>
              <w:start w:w="120" w:type="dxa"/>
              <w:bottom w:w="80" w:type="dxa"/>
              <w:end w:w="120" w:type="dxa"/>
            </w:tcMar>
          </w:tcPr>
          <w:p>
            <w:pPr>
              <w:spacing w:after="40" w:line="252" w:lineRule="auto"/>
            </w:pPr>
            <w:r>
              <w:rPr>
                <w:rFonts w:ascii="Arial" w:hAnsi="Arial"/>
                <w:b/>
                <w:color w:val="172033"/>
                <w:sz w:val="16"/>
              </w:rPr>
              <w:t>Knowledge check</w:t>
            </w:r>
          </w:p>
        </w:tc>
        <w:tc>
          <w:tcPr>
            <w:tcW w:type="dxa" w:w="7862"/>
            <w:vAlign w:val="top"/>
            <w:tcMar>
              <w:top w:w="80" w:type="dxa"/>
              <w:start w:w="120" w:type="dxa"/>
              <w:bottom w:w="80" w:type="dxa"/>
              <w:end w:w="120" w:type="dxa"/>
            </w:tcMar>
          </w:tcPr>
          <w:p>
            <w:pPr>
              <w:spacing w:after="40" w:line="252" w:lineRule="auto"/>
            </w:pPr>
            <w:r>
              <w:rPr>
                <w:rFonts w:ascii="Arial" w:hAnsi="Arial"/>
                <w:b w:val="0"/>
                <w:color w:val="172033"/>
                <w:sz w:val="16"/>
              </w:rPr>
              <w:t>Low-stakes formative check</w:t>
            </w:r>
          </w:p>
        </w:tc>
      </w:tr>
      <w:tr>
        <w:trPr>
          <w:cantSplit/>
        </w:trPr>
        <w:tc>
          <w:tcPr>
            <w:tcW w:type="dxa" w:w="2015"/>
            <w:vAlign w:val="top"/>
            <w:shd w:fill="F5F7FA"/>
            <w:tcMar>
              <w:top w:w="80" w:type="dxa"/>
              <w:start w:w="120" w:type="dxa"/>
              <w:bottom w:w="80" w:type="dxa"/>
              <w:end w:w="120" w:type="dxa"/>
            </w:tcMar>
          </w:tcPr>
          <w:p>
            <w:pPr>
              <w:spacing w:after="40" w:line="252" w:lineRule="auto"/>
            </w:pPr>
            <w:r>
              <w:rPr>
                <w:rFonts w:ascii="Arial" w:hAnsi="Arial"/>
                <w:b/>
                <w:color w:val="172033"/>
                <w:sz w:val="16"/>
              </w:rPr>
              <w:t>Assessment</w:t>
            </w:r>
          </w:p>
        </w:tc>
        <w:tc>
          <w:tcPr>
            <w:tcW w:type="dxa" w:w="7862"/>
            <w:vAlign w:val="top"/>
            <w:shd w:fill="F5F7FA"/>
            <w:tcMar>
              <w:top w:w="80" w:type="dxa"/>
              <w:start w:w="120" w:type="dxa"/>
              <w:bottom w:w="80" w:type="dxa"/>
              <w:end w:w="120" w:type="dxa"/>
            </w:tcMar>
          </w:tcPr>
          <w:p>
            <w:pPr>
              <w:spacing w:after="40" w:line="252" w:lineRule="auto"/>
            </w:pPr>
            <w:r>
              <w:rPr>
                <w:rFonts w:ascii="Arial" w:hAnsi="Arial"/>
                <w:b w:val="0"/>
                <w:color w:val="172033"/>
                <w:sz w:val="16"/>
              </w:rPr>
              <w:t>Controlled evidence used for a certification decision</w:t>
            </w:r>
          </w:p>
        </w:tc>
      </w:tr>
    </w:tbl>
    <w:p>
      <w:pPr>
        <w:spacing w:after="20"/>
      </w:pPr>
    </w:p>
    <w:p>
      <w:pPr>
        <w:pStyle w:val="Heading2"/>
      </w:pPr>
      <w:r>
        <w:t>6.3 Content requirements</w:t>
      </w:r>
    </w:p>
    <w:p>
      <w:pPr>
        <w:pStyle w:val="ListBullet"/>
      </w:pPr>
      <w:r>
        <w:t>Learning objectives written as observable capability</w:t>
      </w:r>
    </w:p>
    <w:p>
      <w:pPr>
        <w:pStyle w:val="ListBullet"/>
      </w:pPr>
      <w:r>
        <w:t>Plain-English instruction without weakening operational precision</w:t>
      </w:r>
    </w:p>
    <w:p>
      <w:pPr>
        <w:pStyle w:val="ListBullet"/>
      </w:pPr>
      <w:r>
        <w:t>Relevant examples and counterexamples</w:t>
      </w:r>
    </w:p>
    <w:p>
      <w:pPr>
        <w:pStyle w:val="ListBullet"/>
      </w:pPr>
      <w:r>
        <w:t>Common failure modes and escalation triggers</w:t>
      </w:r>
    </w:p>
    <w:p>
      <w:pPr>
        <w:pStyle w:val="ListBullet"/>
      </w:pPr>
      <w:r>
        <w:t>Lagos context clearly labelled, not treated as universal fact</w:t>
      </w:r>
    </w:p>
    <w:p>
      <w:pPr>
        <w:pStyle w:val="ListBullet"/>
      </w:pPr>
      <w:r>
        <w:t>Role variants where actions or visibility differ</w:t>
      </w:r>
    </w:p>
    <w:p>
      <w:pPr>
        <w:pStyle w:val="ListBullet"/>
      </w:pPr>
      <w:r>
        <w:t>Source and version metadata invisible to casual reading but available for audit</w:t>
      </w:r>
    </w:p>
    <w:p>
      <w:pPr>
        <w:pStyle w:val="ListBullet"/>
      </w:pPr>
      <w:r>
        <w:t>Accessibility alternatives for audiovisual content</w:t>
      </w:r>
    </w:p>
    <w:p>
      <w:pPr>
        <w:pStyle w:val="Heading1"/>
      </w:pPr>
      <w:r>
        <w:t>7. Competency and learning-path architecture</w:t>
      </w:r>
    </w:p>
    <w:p>
      <w:pPr>
        <w:pStyle w:val="Heading2"/>
      </w:pPr>
      <w:r>
        <w:t>7.1 Competency model</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088"/>
        <w:gridCol w:w="7790"/>
      </w:tblGrid>
      <w:tr>
        <w:trPr>
          <w:tblHeader w:val="true"/>
          <w:cantSplit/>
        </w:trPr>
        <w:tc>
          <w:tcPr>
            <w:tcW w:type="dxa" w:w="2088"/>
            <w:shd w:fill="183A63"/>
            <w:vAlign w:val="center"/>
            <w:tcMar>
              <w:top w:w="80" w:type="dxa"/>
              <w:start w:w="120" w:type="dxa"/>
              <w:bottom w:w="80" w:type="dxa"/>
              <w:end w:w="120" w:type="dxa"/>
            </w:tcMar>
          </w:tcPr>
          <w:p>
            <w:r>
              <w:rPr>
                <w:rFonts w:ascii="Arial" w:hAnsi="Arial"/>
                <w:b/>
                <w:color w:val="FFFFFF"/>
                <w:sz w:val="16"/>
              </w:rPr>
              <w:t>Dimension</w:t>
            </w:r>
          </w:p>
        </w:tc>
        <w:tc>
          <w:tcPr>
            <w:tcW w:type="dxa" w:w="7790"/>
            <w:shd w:fill="183A63"/>
            <w:vAlign w:val="center"/>
            <w:tcMar>
              <w:top w:w="80" w:type="dxa"/>
              <w:start w:w="120" w:type="dxa"/>
              <w:bottom w:w="80" w:type="dxa"/>
              <w:end w:w="120" w:type="dxa"/>
            </w:tcMar>
          </w:tcPr>
          <w:p>
            <w:r>
              <w:rPr>
                <w:rFonts w:ascii="Arial" w:hAnsi="Arial"/>
                <w:b/>
                <w:color w:val="FFFFFF"/>
                <w:sz w:val="16"/>
              </w:rPr>
              <w:t>Evidence</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Knowledge</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Objective and constructed-response assessment</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Judgment</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Scenario, branching and best/worst-response performance</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Procedure</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Sequencing, simulation or observed execution</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Behaviour</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Supervisor or assessor observation against anchored rubric</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Leadership</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Decision quality, delegation, escalation and debrief evidence</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Currency</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Valid version, time period and required refresher completion</w:t>
            </w:r>
          </w:p>
        </w:tc>
      </w:tr>
    </w:tbl>
    <w:p>
      <w:pPr>
        <w:spacing w:after="20"/>
      </w:pPr>
    </w:p>
    <w:p>
      <w:pPr>
        <w:pStyle w:val="Heading2"/>
      </w:pPr>
      <w:r>
        <w:t>7.2 Initial learning paths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vAlign w:val="center"/>
            <w:tcMar>
              <w:top w:w="80" w:type="dxa"/>
              <w:start w:w="120" w:type="dxa"/>
              <w:bottom w:w="80" w:type="dxa"/>
              <w:end w:w="120" w:type="dxa"/>
            </w:tcMar>
          </w:tcPr>
          <w:p>
            <w:r>
              <w:rPr>
                <w:rFonts w:ascii="Arial" w:hAnsi="Arial"/>
                <w:b/>
                <w:color w:val="FFFFFF"/>
                <w:sz w:val="16"/>
              </w:rPr>
              <w:t>Path</w:t>
            </w:r>
          </w:p>
        </w:tc>
        <w:tc>
          <w:tcPr>
            <w:tcW w:type="dxa" w:w="7502"/>
            <w:shd w:fill="183A63"/>
            <w:vAlign w:val="center"/>
            <w:tcMar>
              <w:top w:w="80" w:type="dxa"/>
              <w:start w:w="120" w:type="dxa"/>
              <w:bottom w:w="80" w:type="dxa"/>
              <w:end w:w="120" w:type="dxa"/>
            </w:tcMar>
          </w:tcPr>
          <w:p>
            <w:r>
              <w:rPr>
                <w:rFonts w:ascii="Arial" w:hAnsi="Arial"/>
                <w:b/>
                <w:color w:val="FFFFFF"/>
                <w:sz w:val="16"/>
              </w:rPr>
              <w:t>Default scope</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CEO</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All 30 modules; governance, commercial judgment, crisis, privacy, AI and release authority</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Event Director</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Full operational command, standards, teams, vendors, guest journey, risk and recovery</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Department Lead</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Core standard plus complete departmental, supervisory and escalation competence</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Concierge / Protocol Lead</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Guest intelligence, culture, protocol, communication, discretion and recovery</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Concierge / Host</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Guest recognition, service language, assistance, recovery and escalation</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Usher</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Arrival, access, seating, wayfinding, conduct, safeguarding and escalation</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Check-in / Access</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Identity verification, credentials, exception handling, privacy and device workflow</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Vendor / Temporary Staff</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Essential conduct, safety, confidentiality and task-specific responsibilities</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Academy / System Administrator</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Administration, security and support without automatic academic authority</w:t>
            </w:r>
          </w:p>
        </w:tc>
      </w:tr>
    </w:tbl>
    <w:p>
      <w:pPr>
        <w:spacing w:after="20"/>
      </w:pPr>
    </w:p>
    <w:p>
      <w:pPr>
        <w:pStyle w:val="Heading2"/>
      </w:pPr>
      <w:r>
        <w:t>7.3 Vertical and horizontal changes</w:t>
      </w:r>
    </w:p>
    <w:p>
      <w:pPr>
        <w:spacing w:after="100"/>
      </w:pPr>
      <w:r>
        <w:rPr>
          <w:rFonts w:ascii="Arial" w:hAnsi="Arial"/>
          <w:b w:val="0"/>
          <w:i w:val="0"/>
          <w:color w:val="172033"/>
          <w:sz w:val="19"/>
        </w:rPr>
        <w:t>A role change triggers a deterministic gap analysis. The system compares the learner's current, unexpired competency evidence with the target role profile, credits true equivalence and enrols the learner only into missing or superseded requirements. The new role remains provisional until all required knowledge, practical and event-specific conditions are satisfied.</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cMar>
          </w:tcPr>
          <w:p>
            <w:pPr>
              <w:spacing w:after="0"/>
            </w:pPr>
            <w:r>
              <w:rPr>
                <w:rFonts w:ascii="Arial" w:hAnsi="Arial"/>
                <w:b/>
                <w:color w:val="B79F55"/>
                <w:sz w:val="19"/>
              </w:rPr>
              <w:t xml:space="preserve">NO WASTE, NO ASSUMPTION  </w:t>
            </w:r>
            <w:r>
              <w:rPr>
                <w:rFonts w:ascii="Arial" w:hAnsi="Arial"/>
                <w:b/>
                <w:color w:val="10233F"/>
                <w:sz w:val="19"/>
              </w:rPr>
              <w:t>Valid shared competence is reused; a new title never grants competence automatically.</w:t>
            </w:r>
          </w:p>
        </w:tc>
      </w:tr>
    </w:tbl>
    <w:p>
      <w:pPr>
        <w:spacing w:after="20"/>
      </w:pPr>
    </w:p>
    <w:p>
      <w:pPr>
        <w:pStyle w:val="Heading1"/>
      </w:pPr>
      <w:r>
        <w:t>8. Assessment architecture</w:t>
      </w:r>
    </w:p>
    <w:p>
      <w:pPr>
        <w:pStyle w:val="Heading2"/>
      </w:pPr>
      <w:r>
        <w:t>8.1 Scoring law</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160"/>
        <w:gridCol w:w="1944"/>
        <w:gridCol w:w="5774"/>
      </w:tblGrid>
      <w:tr>
        <w:trPr>
          <w:tblHeader w:val="true"/>
          <w:cantSplit/>
        </w:trPr>
        <w:tc>
          <w:tcPr>
            <w:tcW w:type="dxa" w:w="2160"/>
            <w:shd w:fill="183A63"/>
            <w:vAlign w:val="center"/>
            <w:tcMar>
              <w:top w:w="80" w:type="dxa"/>
              <w:start w:w="120" w:type="dxa"/>
              <w:bottom w:w="80" w:type="dxa"/>
              <w:end w:w="120" w:type="dxa"/>
            </w:tcMar>
          </w:tcPr>
          <w:p>
            <w:r>
              <w:rPr>
                <w:rFonts w:ascii="Arial" w:hAnsi="Arial"/>
                <w:b/>
                <w:color w:val="FFFFFF"/>
                <w:sz w:val="16"/>
              </w:rPr>
              <w:t>Outcome</w:t>
            </w:r>
          </w:p>
        </w:tc>
        <w:tc>
          <w:tcPr>
            <w:tcW w:type="dxa" w:w="1944"/>
            <w:shd w:fill="183A63"/>
            <w:vAlign w:val="center"/>
            <w:tcMar>
              <w:top w:w="80" w:type="dxa"/>
              <w:start w:w="120" w:type="dxa"/>
              <w:bottom w:w="80" w:type="dxa"/>
              <w:end w:w="120" w:type="dxa"/>
            </w:tcMar>
          </w:tcPr>
          <w:p>
            <w:r>
              <w:rPr>
                <w:rFonts w:ascii="Arial" w:hAnsi="Arial"/>
                <w:b/>
                <w:color w:val="FFFFFF"/>
                <w:sz w:val="16"/>
              </w:rPr>
              <w:t>Score</w:t>
            </w:r>
          </w:p>
        </w:tc>
        <w:tc>
          <w:tcPr>
            <w:tcW w:type="dxa" w:w="5774"/>
            <w:shd w:fill="183A63"/>
            <w:vAlign w:val="center"/>
            <w:tcMar>
              <w:top w:w="80" w:type="dxa"/>
              <w:start w:w="120" w:type="dxa"/>
              <w:bottom w:w="80" w:type="dxa"/>
              <w:end w:w="120" w:type="dxa"/>
            </w:tcMar>
          </w:tcPr>
          <w:p>
            <w:r>
              <w:rPr>
                <w:rFonts w:ascii="Arial" w:hAnsi="Arial"/>
                <w:b/>
                <w:color w:val="FFFFFF"/>
                <w:sz w:val="16"/>
              </w:rPr>
              <w:t>Additional condition</w:t>
            </w:r>
          </w:p>
        </w:tc>
      </w:tr>
      <w:tr>
        <w:trPr>
          <w:cantSplit/>
        </w:trPr>
        <w:tc>
          <w:tcPr>
            <w:tcW w:type="dxa" w:w="2160"/>
            <w:vAlign w:val="top"/>
            <w:tcMar>
              <w:top w:w="80" w:type="dxa"/>
              <w:start w:w="120" w:type="dxa"/>
              <w:bottom w:w="80" w:type="dxa"/>
              <w:end w:w="120" w:type="dxa"/>
            </w:tcMar>
          </w:tcPr>
          <w:p>
            <w:pPr>
              <w:spacing w:after="40" w:line="252" w:lineRule="auto"/>
            </w:pPr>
            <w:r>
              <w:rPr>
                <w:rFonts w:ascii="Arial" w:hAnsi="Arial"/>
                <w:b/>
                <w:color w:val="172033"/>
                <w:sz w:val="16"/>
              </w:rPr>
              <w:t>Pass with distinction</w:t>
            </w:r>
          </w:p>
        </w:tc>
        <w:tc>
          <w:tcPr>
            <w:tcW w:type="dxa" w:w="1944"/>
            <w:vAlign w:val="top"/>
            <w:tcMar>
              <w:top w:w="80" w:type="dxa"/>
              <w:start w:w="120" w:type="dxa"/>
              <w:bottom w:w="80" w:type="dxa"/>
              <w:end w:w="120" w:type="dxa"/>
            </w:tcMar>
          </w:tcPr>
          <w:p>
            <w:pPr>
              <w:spacing w:after="40" w:line="252" w:lineRule="auto"/>
            </w:pPr>
            <w:r>
              <w:rPr>
                <w:rFonts w:ascii="Arial" w:hAnsi="Arial"/>
                <w:b w:val="0"/>
                <w:color w:val="172033"/>
                <w:sz w:val="16"/>
              </w:rPr>
              <w:t>90–100%</w:t>
            </w:r>
          </w:p>
        </w:tc>
        <w:tc>
          <w:tcPr>
            <w:tcW w:type="dxa" w:w="5774"/>
            <w:vAlign w:val="top"/>
            <w:tcMar>
              <w:top w:w="80" w:type="dxa"/>
              <w:start w:w="120" w:type="dxa"/>
              <w:bottom w:w="80" w:type="dxa"/>
              <w:end w:w="120" w:type="dxa"/>
            </w:tcMar>
          </w:tcPr>
          <w:p>
            <w:pPr>
              <w:spacing w:after="40" w:line="252" w:lineRule="auto"/>
            </w:pPr>
            <w:r>
              <w:rPr>
                <w:rFonts w:ascii="Arial" w:hAnsi="Arial"/>
                <w:b w:val="0"/>
                <w:color w:val="172033"/>
                <w:sz w:val="16"/>
              </w:rPr>
              <w:t>Every critical competency passed</w:t>
            </w:r>
          </w:p>
        </w:tc>
      </w:tr>
      <w:tr>
        <w:trPr>
          <w:cantSplit/>
        </w:trPr>
        <w:tc>
          <w:tcPr>
            <w:tcW w:type="dxa" w:w="2160"/>
            <w:vAlign w:val="top"/>
            <w:shd w:fill="F5F7FA"/>
            <w:tcMar>
              <w:top w:w="80" w:type="dxa"/>
              <w:start w:w="120" w:type="dxa"/>
              <w:bottom w:w="80" w:type="dxa"/>
              <w:end w:w="120" w:type="dxa"/>
            </w:tcMar>
          </w:tcPr>
          <w:p>
            <w:pPr>
              <w:spacing w:after="40" w:line="252" w:lineRule="auto"/>
            </w:pPr>
            <w:r>
              <w:rPr>
                <w:rFonts w:ascii="Arial" w:hAnsi="Arial"/>
                <w:b/>
                <w:color w:val="172033"/>
                <w:sz w:val="16"/>
              </w:rPr>
              <w:t>Pass</w:t>
            </w:r>
          </w:p>
        </w:tc>
        <w:tc>
          <w:tcPr>
            <w:tcW w:type="dxa" w:w="1944"/>
            <w:vAlign w:val="top"/>
            <w:shd w:fill="F5F7FA"/>
            <w:tcMar>
              <w:top w:w="80" w:type="dxa"/>
              <w:start w:w="120" w:type="dxa"/>
              <w:bottom w:w="80" w:type="dxa"/>
              <w:end w:w="120" w:type="dxa"/>
            </w:tcMar>
          </w:tcPr>
          <w:p>
            <w:pPr>
              <w:spacing w:after="40" w:line="252" w:lineRule="auto"/>
            </w:pPr>
            <w:r>
              <w:rPr>
                <w:rFonts w:ascii="Arial" w:hAnsi="Arial"/>
                <w:b w:val="0"/>
                <w:color w:val="172033"/>
                <w:sz w:val="16"/>
              </w:rPr>
              <w:t>80–89%</w:t>
            </w:r>
          </w:p>
        </w:tc>
        <w:tc>
          <w:tcPr>
            <w:tcW w:type="dxa" w:w="5774"/>
            <w:vAlign w:val="top"/>
            <w:shd w:fill="F5F7FA"/>
            <w:tcMar>
              <w:top w:w="80" w:type="dxa"/>
              <w:start w:w="120" w:type="dxa"/>
              <w:bottom w:w="80" w:type="dxa"/>
              <w:end w:w="120" w:type="dxa"/>
            </w:tcMar>
          </w:tcPr>
          <w:p>
            <w:pPr>
              <w:spacing w:after="40" w:line="252" w:lineRule="auto"/>
            </w:pPr>
            <w:r>
              <w:rPr>
                <w:rFonts w:ascii="Arial" w:hAnsi="Arial"/>
                <w:b w:val="0"/>
                <w:color w:val="172033"/>
                <w:sz w:val="16"/>
              </w:rPr>
              <w:t>Every critical competency passed</w:t>
            </w:r>
          </w:p>
        </w:tc>
      </w:tr>
      <w:tr>
        <w:trPr>
          <w:cantSplit/>
        </w:trPr>
        <w:tc>
          <w:tcPr>
            <w:tcW w:type="dxa" w:w="2160"/>
            <w:vAlign w:val="top"/>
            <w:tcMar>
              <w:top w:w="80" w:type="dxa"/>
              <w:start w:w="120" w:type="dxa"/>
              <w:bottom w:w="80" w:type="dxa"/>
              <w:end w:w="120" w:type="dxa"/>
            </w:tcMar>
          </w:tcPr>
          <w:p>
            <w:pPr>
              <w:spacing w:after="40" w:line="252" w:lineRule="auto"/>
            </w:pPr>
            <w:r>
              <w:rPr>
                <w:rFonts w:ascii="Arial" w:hAnsi="Arial"/>
                <w:b/>
                <w:color w:val="172033"/>
                <w:sz w:val="16"/>
              </w:rPr>
              <w:t>Retake required</w:t>
            </w:r>
          </w:p>
        </w:tc>
        <w:tc>
          <w:tcPr>
            <w:tcW w:type="dxa" w:w="1944"/>
            <w:vAlign w:val="top"/>
            <w:tcMar>
              <w:top w:w="80" w:type="dxa"/>
              <w:start w:w="120" w:type="dxa"/>
              <w:bottom w:w="80" w:type="dxa"/>
              <w:end w:w="120" w:type="dxa"/>
            </w:tcMar>
          </w:tcPr>
          <w:p>
            <w:pPr>
              <w:spacing w:after="40" w:line="252" w:lineRule="auto"/>
            </w:pPr>
            <w:r>
              <w:rPr>
                <w:rFonts w:ascii="Arial" w:hAnsi="Arial"/>
                <w:b w:val="0"/>
                <w:color w:val="172033"/>
                <w:sz w:val="16"/>
              </w:rPr>
              <w:t>Below 80%</w:t>
            </w:r>
          </w:p>
        </w:tc>
        <w:tc>
          <w:tcPr>
            <w:tcW w:type="dxa" w:w="5774"/>
            <w:vAlign w:val="top"/>
            <w:tcMar>
              <w:top w:w="80" w:type="dxa"/>
              <w:start w:w="120" w:type="dxa"/>
              <w:bottom w:w="80" w:type="dxa"/>
              <w:end w:w="120" w:type="dxa"/>
            </w:tcMar>
          </w:tcPr>
          <w:p>
            <w:pPr>
              <w:spacing w:after="40" w:line="252" w:lineRule="auto"/>
            </w:pPr>
            <w:r>
              <w:rPr>
                <w:rFonts w:ascii="Arial" w:hAnsi="Arial"/>
                <w:b w:val="0"/>
                <w:color w:val="172033"/>
                <w:sz w:val="16"/>
              </w:rPr>
              <w:t>New attempt permitted when learner is ready</w:t>
            </w:r>
          </w:p>
        </w:tc>
      </w:tr>
      <w:tr>
        <w:trPr>
          <w:cantSplit/>
        </w:trPr>
        <w:tc>
          <w:tcPr>
            <w:tcW w:type="dxa" w:w="2160"/>
            <w:vAlign w:val="top"/>
            <w:shd w:fill="F5F7FA"/>
            <w:tcMar>
              <w:top w:w="80" w:type="dxa"/>
              <w:start w:w="120" w:type="dxa"/>
              <w:bottom w:w="80" w:type="dxa"/>
              <w:end w:w="120" w:type="dxa"/>
            </w:tcMar>
          </w:tcPr>
          <w:p>
            <w:pPr>
              <w:spacing w:after="40" w:line="252" w:lineRule="auto"/>
            </w:pPr>
            <w:r>
              <w:rPr>
                <w:rFonts w:ascii="Arial" w:hAnsi="Arial"/>
                <w:b/>
                <w:color w:val="172033"/>
                <w:sz w:val="16"/>
              </w:rPr>
              <w:t>Critical fail</w:t>
            </w:r>
          </w:p>
        </w:tc>
        <w:tc>
          <w:tcPr>
            <w:tcW w:type="dxa" w:w="1944"/>
            <w:vAlign w:val="top"/>
            <w:shd w:fill="F5F7FA"/>
            <w:tcMar>
              <w:top w:w="80" w:type="dxa"/>
              <w:start w:w="120" w:type="dxa"/>
              <w:bottom w:w="80" w:type="dxa"/>
              <w:end w:w="120" w:type="dxa"/>
            </w:tcMar>
          </w:tcPr>
          <w:p>
            <w:pPr>
              <w:spacing w:after="40" w:line="252" w:lineRule="auto"/>
            </w:pPr>
            <w:r>
              <w:rPr>
                <w:rFonts w:ascii="Arial" w:hAnsi="Arial"/>
                <w:b w:val="0"/>
                <w:color w:val="172033"/>
                <w:sz w:val="16"/>
              </w:rPr>
              <w:t>Any total</w:t>
            </w:r>
          </w:p>
        </w:tc>
        <w:tc>
          <w:tcPr>
            <w:tcW w:type="dxa" w:w="5774"/>
            <w:vAlign w:val="top"/>
            <w:shd w:fill="F5F7FA"/>
            <w:tcMar>
              <w:top w:w="80" w:type="dxa"/>
              <w:start w:w="120" w:type="dxa"/>
              <w:bottom w:w="80" w:type="dxa"/>
              <w:end w:w="120" w:type="dxa"/>
            </w:tcMar>
          </w:tcPr>
          <w:p>
            <w:pPr>
              <w:spacing w:after="40" w:line="252" w:lineRule="auto"/>
            </w:pPr>
            <w:r>
              <w:rPr>
                <w:rFonts w:ascii="Arial" w:hAnsi="Arial"/>
                <w:b w:val="0"/>
                <w:color w:val="172033"/>
                <w:sz w:val="16"/>
              </w:rPr>
              <w:t>One or more mandatory critical conditions failed</w:t>
            </w:r>
          </w:p>
        </w:tc>
      </w:tr>
    </w:tbl>
    <w:p>
      <w:pPr>
        <w:spacing w:after="20"/>
      </w:pPr>
    </w:p>
    <w:p>
      <w:pPr>
        <w:pStyle w:val="Heading2"/>
      </w:pPr>
      <w:r>
        <w:t>8.2 Supported question formats</w:t>
      </w:r>
    </w:p>
    <w:p>
      <w:pPr>
        <w:pStyle w:val="ListBullet"/>
      </w:pPr>
      <w:r>
        <w:t>Single-answer multiple choice</w:t>
      </w:r>
    </w:p>
    <w:p>
      <w:pPr>
        <w:pStyle w:val="ListBullet"/>
      </w:pPr>
      <w:r>
        <w:t>Multiple selection with partial-credit policy defined per item</w:t>
      </w:r>
    </w:p>
    <w:p>
      <w:pPr>
        <w:pStyle w:val="ListBullet"/>
      </w:pPr>
      <w:r>
        <w:t>True/false with required reasoning</w:t>
      </w:r>
    </w:p>
    <w:p>
      <w:pPr>
        <w:pStyle w:val="ListBullet"/>
      </w:pPr>
      <w:r>
        <w:t>Matching</w:t>
      </w:r>
    </w:p>
    <w:p>
      <w:pPr>
        <w:pStyle w:val="ListBullet"/>
      </w:pPr>
      <w:r>
        <w:t>Ordering and sequencing</w:t>
      </w:r>
    </w:p>
    <w:p>
      <w:pPr>
        <w:pStyle w:val="ListBullet"/>
      </w:pPr>
      <w:r>
        <w:t>Identify-the-error</w:t>
      </w:r>
    </w:p>
    <w:p>
      <w:pPr>
        <w:pStyle w:val="ListBullet"/>
      </w:pPr>
      <w:r>
        <w:t>Best-response and worst-response</w:t>
      </w:r>
    </w:p>
    <w:p>
      <w:pPr>
        <w:pStyle w:val="ListBullet"/>
      </w:pPr>
      <w:r>
        <w:t>Scenario and branching decision</w:t>
      </w:r>
    </w:p>
    <w:p>
      <w:pPr>
        <w:pStyle w:val="ListBullet"/>
      </w:pPr>
      <w:r>
        <w:t>Short constructed response</w:t>
      </w:r>
    </w:p>
    <w:p>
      <w:pPr>
        <w:pStyle w:val="ListBullet"/>
      </w:pPr>
      <w:r>
        <w:t>Operational calculation</w:t>
      </w:r>
    </w:p>
    <w:p>
      <w:pPr>
        <w:pStyle w:val="ListBullet"/>
      </w:pPr>
      <w:r>
        <w:t>File or evidence submission</w:t>
      </w:r>
    </w:p>
    <w:p>
      <w:pPr>
        <w:pStyle w:val="ListBullet"/>
      </w:pPr>
      <w:r>
        <w:t>Observed practical task with rubric</w:t>
      </w:r>
    </w:p>
    <w:p>
      <w:pPr>
        <w:pStyle w:val="Heading2"/>
      </w:pPr>
      <w:r>
        <w:t>8.3 Question contract</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088"/>
        <w:gridCol w:w="7790"/>
      </w:tblGrid>
      <w:tr>
        <w:trPr>
          <w:tblHeader w:val="true"/>
          <w:cantSplit/>
        </w:trPr>
        <w:tc>
          <w:tcPr>
            <w:tcW w:type="dxa" w:w="2088"/>
            <w:shd w:fill="183A63"/>
            <w:vAlign w:val="center"/>
            <w:tcMar>
              <w:top w:w="80" w:type="dxa"/>
              <w:start w:w="120" w:type="dxa"/>
              <w:bottom w:w="80" w:type="dxa"/>
              <w:end w:w="120" w:type="dxa"/>
            </w:tcMar>
          </w:tcPr>
          <w:p>
            <w:r>
              <w:rPr>
                <w:rFonts w:ascii="Arial" w:hAnsi="Arial"/>
                <w:b/>
                <w:color w:val="FFFFFF"/>
                <w:sz w:val="16"/>
              </w:rPr>
              <w:t>Field group</w:t>
            </w:r>
          </w:p>
        </w:tc>
        <w:tc>
          <w:tcPr>
            <w:tcW w:type="dxa" w:w="7790"/>
            <w:shd w:fill="183A63"/>
            <w:vAlign w:val="center"/>
            <w:tcMar>
              <w:top w:w="80" w:type="dxa"/>
              <w:start w:w="120" w:type="dxa"/>
              <w:bottom w:w="80" w:type="dxa"/>
              <w:end w:w="120" w:type="dxa"/>
            </w:tcMar>
          </w:tcPr>
          <w:p>
            <w:r>
              <w:rPr>
                <w:rFonts w:ascii="Arial" w:hAnsi="Arial"/>
                <w:b/>
                <w:color w:val="FFFFFF"/>
                <w:sz w:val="16"/>
              </w:rPr>
              <w:t>Required content</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Identity</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Question ID, bank, version, language and status</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Traceability</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Knowledge IDs, competencies, module and learning objective</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Delivery</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Format, stem, media, options, randomisation and time expectation</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Scoring</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Correct response, points, partial credit, critical flag and negative-scoring rule</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Pedagogy</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Difficulty, cognitive level, rationale and distractor explanations</w:t>
            </w:r>
          </w:p>
        </w:tc>
      </w:tr>
      <w:tr>
        <w:trPr>
          <w:cantSplit/>
        </w:trPr>
        <w:tc>
          <w:tcPr>
            <w:tcW w:type="dxa" w:w="2088"/>
            <w:vAlign w:val="top"/>
            <w:shd w:fill="F5F7FA"/>
            <w:tcMar>
              <w:top w:w="80" w:type="dxa"/>
              <w:start w:w="120" w:type="dxa"/>
              <w:bottom w:w="80" w:type="dxa"/>
              <w:end w:w="120" w:type="dxa"/>
            </w:tcMar>
          </w:tcPr>
          <w:p>
            <w:pPr>
              <w:spacing w:after="40" w:line="252" w:lineRule="auto"/>
            </w:pPr>
            <w:r>
              <w:rPr>
                <w:rFonts w:ascii="Arial" w:hAnsi="Arial"/>
                <w:b/>
                <w:color w:val="172033"/>
                <w:sz w:val="16"/>
              </w:rPr>
              <w:t>Governance</w:t>
            </w:r>
          </w:p>
        </w:tc>
        <w:tc>
          <w:tcPr>
            <w:tcW w:type="dxa" w:w="7790"/>
            <w:vAlign w:val="top"/>
            <w:shd w:fill="F5F7FA"/>
            <w:tcMar>
              <w:top w:w="80" w:type="dxa"/>
              <w:start w:w="120" w:type="dxa"/>
              <w:bottom w:w="80" w:type="dxa"/>
              <w:end w:w="120" w:type="dxa"/>
            </w:tcMar>
          </w:tcPr>
          <w:p>
            <w:pPr>
              <w:spacing w:after="40" w:line="252" w:lineRule="auto"/>
            </w:pPr>
            <w:r>
              <w:rPr>
                <w:rFonts w:ascii="Arial" w:hAnsi="Arial"/>
                <w:b w:val="0"/>
                <w:color w:val="172033"/>
                <w:sz w:val="16"/>
              </w:rPr>
              <w:t>Author, reviewers, approval, use history and retirement reason</w:t>
            </w:r>
          </w:p>
        </w:tc>
      </w:tr>
      <w:tr>
        <w:trPr>
          <w:cantSplit/>
        </w:trPr>
        <w:tc>
          <w:tcPr>
            <w:tcW w:type="dxa" w:w="2088"/>
            <w:vAlign w:val="top"/>
            <w:tcMar>
              <w:top w:w="80" w:type="dxa"/>
              <w:start w:w="120" w:type="dxa"/>
              <w:bottom w:w="80" w:type="dxa"/>
              <w:end w:w="120" w:type="dxa"/>
            </w:tcMar>
          </w:tcPr>
          <w:p>
            <w:pPr>
              <w:spacing w:after="40" w:line="252" w:lineRule="auto"/>
            </w:pPr>
            <w:r>
              <w:rPr>
                <w:rFonts w:ascii="Arial" w:hAnsi="Arial"/>
                <w:b/>
                <w:color w:val="172033"/>
                <w:sz w:val="16"/>
              </w:rPr>
              <w:t>Integrity</w:t>
            </w:r>
          </w:p>
        </w:tc>
        <w:tc>
          <w:tcPr>
            <w:tcW w:type="dxa" w:w="7790"/>
            <w:vAlign w:val="top"/>
            <w:tcMar>
              <w:top w:w="80" w:type="dxa"/>
              <w:start w:w="120" w:type="dxa"/>
              <w:bottom w:w="80" w:type="dxa"/>
              <w:end w:w="120" w:type="dxa"/>
            </w:tcMar>
          </w:tcPr>
          <w:p>
            <w:pPr>
              <w:spacing w:after="40" w:line="252" w:lineRule="auto"/>
            </w:pPr>
            <w:r>
              <w:rPr>
                <w:rFonts w:ascii="Arial" w:hAnsi="Arial"/>
                <w:b w:val="0"/>
                <w:color w:val="172033"/>
                <w:sz w:val="16"/>
              </w:rPr>
              <w:t>Exposure controls, similarity group and permitted feedback timing</w:t>
            </w:r>
          </w:p>
        </w:tc>
      </w:tr>
    </w:tbl>
    <w:p>
      <w:pPr>
        <w:spacing w:after="20"/>
      </w:pPr>
    </w:p>
    <w:p>
      <w:pPr>
        <w:pStyle w:val="Heading2"/>
      </w:pPr>
      <w:r>
        <w:t>8.4 Assembly and retake rules</w:t>
      </w:r>
    </w:p>
    <w:p>
      <w:pPr>
        <w:pStyle w:val="ListBullet"/>
      </w:pPr>
      <w:r>
        <w:t>Every assessment blueprint sets minimum coverage by competency, criticality, format and difficulty.</w:t>
      </w:r>
    </w:p>
    <w:p>
      <w:pPr>
        <w:pStyle w:val="ListBullet"/>
      </w:pPr>
      <w:r>
        <w:t>Questions and answer order are randomised where appropriate.</w:t>
      </w:r>
    </w:p>
    <w:p>
      <w:pPr>
        <w:pStyle w:val="ListBullet"/>
      </w:pPr>
      <w:r>
        <w:t>Equivalent forms draw from a bank materially larger than one examination.</w:t>
      </w:r>
    </w:p>
    <w:p>
      <w:pPr>
        <w:pStyle w:val="ListBullet"/>
      </w:pPr>
      <w:r>
        <w:t>A retake creates a fresh immutable Attempt and normally avoids recently seen items.</w:t>
      </w:r>
    </w:p>
    <w:p>
      <w:pPr>
        <w:pStyle w:val="ListBullet"/>
      </w:pPr>
      <w:r>
        <w:t>Unlimited retakes are allowed, but policy may require a study interval or targeted remediation.</w:t>
      </w:r>
    </w:p>
    <w:p>
      <w:pPr>
        <w:pStyle w:val="ListBullet"/>
      </w:pPr>
      <w:r>
        <w:t>Written and practical responses enter a blinded or separated review workflow where feasible.</w:t>
      </w:r>
    </w:p>
    <w:p>
      <w:pPr>
        <w:pStyle w:val="ListBullet"/>
      </w:pPr>
      <w:r>
        <w:t>Result calculation is deterministic and reproducible from the saved assessment snapshot.</w:t>
      </w:r>
    </w:p>
    <w:p>
      <w:pPr>
        <w:pStyle w:val="Heading2"/>
      </w:pPr>
      <w:r>
        <w:t>8.5 Difficulty standard</w:t>
      </w:r>
    </w:p>
    <w:p>
      <w:pPr>
        <w:spacing w:after="100"/>
      </w:pPr>
      <w:r>
        <w:rPr>
          <w:rFonts w:ascii="Arial" w:hAnsi="Arial"/>
          <w:b w:val="0"/>
          <w:i w:val="0"/>
          <w:color w:val="172033"/>
          <w:sz w:val="19"/>
        </w:rPr>
        <w:t>High difficulty means applied judgment under realistic constraints, not obscure wording. CEO and leadership assessments must test conflicting priorities, incomplete information, authority boundaries, escalation, reputational risk and the difference between advice and decision authority.</w:t>
      </w:r>
    </w:p>
    <w:p>
      <w:pPr>
        <w:pStyle w:val="Heading1"/>
      </w:pPr>
      <w:r>
        <w:t>9. Certification and operational authorisation</w:t>
      </w:r>
    </w:p>
    <w:p>
      <w:pPr>
        <w:pStyle w:val="Heading2"/>
      </w:pPr>
      <w:r>
        <w:t>9.1 Separate records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6998"/>
      </w:tblGrid>
      <w:tr>
        <w:trPr>
          <w:tblHeader w:val="true"/>
          <w:cantSplit/>
        </w:trPr>
        <w:tc>
          <w:tcPr>
            <w:tcW w:type="dxa" w:w="2880"/>
            <w:shd w:fill="183A63"/>
            <w:vAlign w:val="center"/>
            <w:tcMar>
              <w:top w:w="80" w:type="dxa"/>
              <w:start w:w="120" w:type="dxa"/>
              <w:bottom w:w="80" w:type="dxa"/>
              <w:end w:w="120" w:type="dxa"/>
            </w:tcMar>
          </w:tcPr>
          <w:p>
            <w:r>
              <w:rPr>
                <w:rFonts w:ascii="Arial" w:hAnsi="Arial"/>
                <w:b/>
                <w:color w:val="FFFFFF"/>
                <w:sz w:val="16"/>
              </w:rPr>
              <w:t>Record</w:t>
            </w:r>
          </w:p>
        </w:tc>
        <w:tc>
          <w:tcPr>
            <w:tcW w:type="dxa" w:w="6998"/>
            <w:shd w:fill="183A63"/>
            <w:vAlign w:val="center"/>
            <w:tcMar>
              <w:top w:w="80" w:type="dxa"/>
              <w:start w:w="120" w:type="dxa"/>
              <w:bottom w:w="80" w:type="dxa"/>
              <w:end w:w="120" w:type="dxa"/>
            </w:tcMar>
          </w:tcPr>
          <w:p>
            <w:r>
              <w:rPr>
                <w:rFonts w:ascii="Arial" w:hAnsi="Arial"/>
                <w:b/>
                <w:color w:val="FFFFFF"/>
                <w:sz w:val="16"/>
              </w:rPr>
              <w:t>Question answered</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Employment / organisational role</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What position does the person hold?</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Enrolment</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What learning must they complete?</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Competency evidence</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What can they demonstrably do?</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Certificate</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For which role and period has Maison Doclar certified them?</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Event assignment</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What are they scheduled to do?</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Operational authorisation</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May they perform that duty at this event now?</w:t>
            </w:r>
          </w:p>
        </w:tc>
      </w:tr>
    </w:tbl>
    <w:p>
      <w:pPr>
        <w:spacing w:after="20"/>
      </w:pPr>
    </w:p>
    <w:p>
      <w:pPr>
        <w:pStyle w:val="Heading2"/>
      </w:pPr>
      <w:r>
        <w:t>9.2 Default recertification policy</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6480"/>
        <w:gridCol w:w="3398"/>
      </w:tblGrid>
      <w:tr>
        <w:trPr>
          <w:tblHeader w:val="true"/>
          <w:cantSplit/>
        </w:trPr>
        <w:tc>
          <w:tcPr>
            <w:tcW w:type="dxa" w:w="6480"/>
            <w:shd w:fill="183A63"/>
            <w:vAlign w:val="center"/>
            <w:tcMar>
              <w:top w:w="80" w:type="dxa"/>
              <w:start w:w="120" w:type="dxa"/>
              <w:bottom w:w="80" w:type="dxa"/>
              <w:end w:w="120" w:type="dxa"/>
            </w:tcMar>
          </w:tcPr>
          <w:p>
            <w:r>
              <w:rPr>
                <w:rFonts w:ascii="Arial" w:hAnsi="Arial"/>
                <w:b/>
                <w:color w:val="FFFFFF"/>
                <w:sz w:val="16"/>
              </w:rPr>
              <w:t>Requirement</w:t>
            </w:r>
          </w:p>
        </w:tc>
        <w:tc>
          <w:tcPr>
            <w:tcW w:type="dxa" w:w="3398"/>
            <w:shd w:fill="183A63"/>
            <w:vAlign w:val="center"/>
            <w:tcMar>
              <w:top w:w="80" w:type="dxa"/>
              <w:start w:w="120" w:type="dxa"/>
              <w:bottom w:w="80" w:type="dxa"/>
              <w:end w:w="120" w:type="dxa"/>
            </w:tcMar>
          </w:tcPr>
          <w:p>
            <w:r>
              <w:rPr>
                <w:rFonts w:ascii="Arial" w:hAnsi="Arial"/>
                <w:b/>
                <w:color w:val="FFFFFF"/>
                <w:sz w:val="16"/>
              </w:rPr>
              <w:t>Default cycle</w:t>
            </w:r>
          </w:p>
        </w:tc>
      </w:tr>
      <w:tr>
        <w:trPr>
          <w:cantSplit/>
        </w:trPr>
        <w:tc>
          <w:tcPr>
            <w:tcW w:type="dxa" w:w="6480"/>
            <w:vAlign w:val="top"/>
            <w:tcMar>
              <w:top w:w="80" w:type="dxa"/>
              <w:start w:w="120" w:type="dxa"/>
              <w:bottom w:w="80" w:type="dxa"/>
              <w:end w:w="120" w:type="dxa"/>
            </w:tcMar>
          </w:tcPr>
          <w:p>
            <w:pPr>
              <w:spacing w:after="40" w:line="252" w:lineRule="auto"/>
            </w:pPr>
            <w:r>
              <w:rPr>
                <w:rFonts w:ascii="Arial" w:hAnsi="Arial"/>
                <w:b/>
                <w:color w:val="172033"/>
                <w:sz w:val="16"/>
              </w:rPr>
              <w:t>Core Maison Doclar standard</w:t>
            </w:r>
          </w:p>
        </w:tc>
        <w:tc>
          <w:tcPr>
            <w:tcW w:type="dxa" w:w="3398"/>
            <w:vAlign w:val="top"/>
            <w:tcMar>
              <w:top w:w="80" w:type="dxa"/>
              <w:start w:w="120" w:type="dxa"/>
              <w:bottom w:w="80" w:type="dxa"/>
              <w:end w:w="120" w:type="dxa"/>
            </w:tcMar>
          </w:tcPr>
          <w:p>
            <w:pPr>
              <w:spacing w:after="40" w:line="252" w:lineRule="auto"/>
            </w:pPr>
            <w:r>
              <w:rPr>
                <w:rFonts w:ascii="Arial" w:hAnsi="Arial"/>
                <w:b w:val="0"/>
                <w:color w:val="172033"/>
                <w:sz w:val="16"/>
              </w:rPr>
              <w:t>12 months</w:t>
            </w:r>
          </w:p>
        </w:tc>
      </w:tr>
      <w:tr>
        <w:trPr>
          <w:cantSplit/>
        </w:trPr>
        <w:tc>
          <w:tcPr>
            <w:tcW w:type="dxa" w:w="6480"/>
            <w:vAlign w:val="top"/>
            <w:shd w:fill="F5F7FA"/>
            <w:tcMar>
              <w:top w:w="80" w:type="dxa"/>
              <w:start w:w="120" w:type="dxa"/>
              <w:bottom w:w="80" w:type="dxa"/>
              <w:end w:w="120" w:type="dxa"/>
            </w:tcMar>
          </w:tcPr>
          <w:p>
            <w:pPr>
              <w:spacing w:after="40" w:line="252" w:lineRule="auto"/>
            </w:pPr>
            <w:r>
              <w:rPr>
                <w:rFonts w:ascii="Arial" w:hAnsi="Arial"/>
                <w:b/>
                <w:color w:val="172033"/>
                <w:sz w:val="16"/>
              </w:rPr>
              <w:t>Role-specific operations</w:t>
            </w:r>
          </w:p>
        </w:tc>
        <w:tc>
          <w:tcPr>
            <w:tcW w:type="dxa" w:w="3398"/>
            <w:vAlign w:val="top"/>
            <w:shd w:fill="F5F7FA"/>
            <w:tcMar>
              <w:top w:w="80" w:type="dxa"/>
              <w:start w:w="120" w:type="dxa"/>
              <w:bottom w:w="80" w:type="dxa"/>
              <w:end w:w="120" w:type="dxa"/>
            </w:tcMar>
          </w:tcPr>
          <w:p>
            <w:pPr>
              <w:spacing w:after="40" w:line="252" w:lineRule="auto"/>
            </w:pPr>
            <w:r>
              <w:rPr>
                <w:rFonts w:ascii="Arial" w:hAnsi="Arial"/>
                <w:b w:val="0"/>
                <w:color w:val="172033"/>
                <w:sz w:val="16"/>
              </w:rPr>
              <w:t>12 months</w:t>
            </w:r>
          </w:p>
        </w:tc>
      </w:tr>
      <w:tr>
        <w:trPr>
          <w:cantSplit/>
        </w:trPr>
        <w:tc>
          <w:tcPr>
            <w:tcW w:type="dxa" w:w="6480"/>
            <w:vAlign w:val="top"/>
            <w:tcMar>
              <w:top w:w="80" w:type="dxa"/>
              <w:start w:w="120" w:type="dxa"/>
              <w:bottom w:w="80" w:type="dxa"/>
              <w:end w:w="120" w:type="dxa"/>
            </w:tcMar>
          </w:tcPr>
          <w:p>
            <w:pPr>
              <w:spacing w:after="40" w:line="252" w:lineRule="auto"/>
            </w:pPr>
            <w:r>
              <w:rPr>
                <w:rFonts w:ascii="Arial" w:hAnsi="Arial"/>
                <w:b/>
                <w:color w:val="172033"/>
                <w:sz w:val="16"/>
              </w:rPr>
              <w:t>CEO / Event Director</w:t>
            </w:r>
          </w:p>
        </w:tc>
        <w:tc>
          <w:tcPr>
            <w:tcW w:type="dxa" w:w="3398"/>
            <w:vAlign w:val="top"/>
            <w:tcMar>
              <w:top w:w="80" w:type="dxa"/>
              <w:start w:w="120" w:type="dxa"/>
              <w:bottom w:w="80" w:type="dxa"/>
              <w:end w:w="120" w:type="dxa"/>
            </w:tcMar>
          </w:tcPr>
          <w:p>
            <w:pPr>
              <w:spacing w:after="40" w:line="252" w:lineRule="auto"/>
            </w:pPr>
            <w:r>
              <w:rPr>
                <w:rFonts w:ascii="Arial" w:hAnsi="Arial"/>
                <w:b w:val="0"/>
                <w:color w:val="172033"/>
                <w:sz w:val="16"/>
              </w:rPr>
              <w:t>12 months</w:t>
            </w:r>
          </w:p>
        </w:tc>
      </w:tr>
      <w:tr>
        <w:trPr>
          <w:cantSplit/>
        </w:trPr>
        <w:tc>
          <w:tcPr>
            <w:tcW w:type="dxa" w:w="6480"/>
            <w:vAlign w:val="top"/>
            <w:shd w:fill="F5F7FA"/>
            <w:tcMar>
              <w:top w:w="80" w:type="dxa"/>
              <w:start w:w="120" w:type="dxa"/>
              <w:bottom w:w="80" w:type="dxa"/>
              <w:end w:w="120" w:type="dxa"/>
            </w:tcMar>
          </w:tcPr>
          <w:p>
            <w:pPr>
              <w:spacing w:after="40" w:line="252" w:lineRule="auto"/>
            </w:pPr>
            <w:r>
              <w:rPr>
                <w:rFonts w:ascii="Arial" w:hAnsi="Arial"/>
                <w:b/>
                <w:color w:val="172033"/>
                <w:sz w:val="16"/>
              </w:rPr>
              <w:t>Privacy, security and confidentiality</w:t>
            </w:r>
          </w:p>
        </w:tc>
        <w:tc>
          <w:tcPr>
            <w:tcW w:type="dxa" w:w="3398"/>
            <w:vAlign w:val="top"/>
            <w:shd w:fill="F5F7FA"/>
            <w:tcMar>
              <w:top w:w="80" w:type="dxa"/>
              <w:start w:w="120" w:type="dxa"/>
              <w:bottom w:w="80" w:type="dxa"/>
              <w:end w:w="120" w:type="dxa"/>
            </w:tcMar>
          </w:tcPr>
          <w:p>
            <w:pPr>
              <w:spacing w:after="40" w:line="252" w:lineRule="auto"/>
            </w:pPr>
            <w:r>
              <w:rPr>
                <w:rFonts w:ascii="Arial" w:hAnsi="Arial"/>
                <w:b w:val="0"/>
                <w:color w:val="172033"/>
                <w:sz w:val="16"/>
              </w:rPr>
              <w:t>12 months</w:t>
            </w:r>
          </w:p>
        </w:tc>
      </w:tr>
      <w:tr>
        <w:trPr>
          <w:cantSplit/>
        </w:trPr>
        <w:tc>
          <w:tcPr>
            <w:tcW w:type="dxa" w:w="6480"/>
            <w:vAlign w:val="top"/>
            <w:tcMar>
              <w:top w:w="80" w:type="dxa"/>
              <w:start w:w="120" w:type="dxa"/>
              <w:bottom w:w="80" w:type="dxa"/>
              <w:end w:w="120" w:type="dxa"/>
            </w:tcMar>
          </w:tcPr>
          <w:p>
            <w:pPr>
              <w:spacing w:after="40" w:line="252" w:lineRule="auto"/>
            </w:pPr>
            <w:r>
              <w:rPr>
                <w:rFonts w:ascii="Arial" w:hAnsi="Arial"/>
                <w:b/>
                <w:color w:val="172033"/>
                <w:sz w:val="16"/>
              </w:rPr>
              <w:t>Access control and credentials</w:t>
            </w:r>
          </w:p>
        </w:tc>
        <w:tc>
          <w:tcPr>
            <w:tcW w:type="dxa" w:w="3398"/>
            <w:vAlign w:val="top"/>
            <w:tcMar>
              <w:top w:w="80" w:type="dxa"/>
              <w:start w:w="120" w:type="dxa"/>
              <w:bottom w:w="80" w:type="dxa"/>
              <w:end w:w="120" w:type="dxa"/>
            </w:tcMar>
          </w:tcPr>
          <w:p>
            <w:pPr>
              <w:spacing w:after="40" w:line="252" w:lineRule="auto"/>
            </w:pPr>
            <w:r>
              <w:rPr>
                <w:rFonts w:ascii="Arial" w:hAnsi="Arial"/>
                <w:b w:val="0"/>
                <w:color w:val="172033"/>
                <w:sz w:val="16"/>
              </w:rPr>
              <w:t>12 months</w:t>
            </w:r>
          </w:p>
        </w:tc>
      </w:tr>
      <w:tr>
        <w:trPr>
          <w:cantSplit/>
        </w:trPr>
        <w:tc>
          <w:tcPr>
            <w:tcW w:type="dxa" w:w="6480"/>
            <w:vAlign w:val="top"/>
            <w:shd w:fill="F5F7FA"/>
            <w:tcMar>
              <w:top w:w="80" w:type="dxa"/>
              <w:start w:w="120" w:type="dxa"/>
              <w:bottom w:w="80" w:type="dxa"/>
              <w:end w:w="120" w:type="dxa"/>
            </w:tcMar>
          </w:tcPr>
          <w:p>
            <w:pPr>
              <w:spacing w:after="40" w:line="252" w:lineRule="auto"/>
            </w:pPr>
            <w:r>
              <w:rPr>
                <w:rFonts w:ascii="Arial" w:hAnsi="Arial"/>
                <w:b/>
                <w:color w:val="172033"/>
                <w:sz w:val="16"/>
              </w:rPr>
              <w:t>Emergency and incident procedures</w:t>
            </w:r>
          </w:p>
        </w:tc>
        <w:tc>
          <w:tcPr>
            <w:tcW w:type="dxa" w:w="3398"/>
            <w:vAlign w:val="top"/>
            <w:shd w:fill="F5F7FA"/>
            <w:tcMar>
              <w:top w:w="80" w:type="dxa"/>
              <w:start w:w="120" w:type="dxa"/>
              <w:bottom w:w="80" w:type="dxa"/>
              <w:end w:w="120" w:type="dxa"/>
            </w:tcMar>
          </w:tcPr>
          <w:p>
            <w:pPr>
              <w:spacing w:after="40" w:line="252" w:lineRule="auto"/>
            </w:pPr>
            <w:r>
              <w:rPr>
                <w:rFonts w:ascii="Arial" w:hAnsi="Arial"/>
                <w:b w:val="0"/>
                <w:color w:val="172033"/>
                <w:sz w:val="16"/>
              </w:rPr>
              <w:t>6 months</w:t>
            </w:r>
          </w:p>
        </w:tc>
      </w:tr>
      <w:tr>
        <w:trPr>
          <w:cantSplit/>
        </w:trPr>
        <w:tc>
          <w:tcPr>
            <w:tcW w:type="dxa" w:w="6480"/>
            <w:vAlign w:val="top"/>
            <w:tcMar>
              <w:top w:w="80" w:type="dxa"/>
              <w:start w:w="120" w:type="dxa"/>
              <w:bottom w:w="80" w:type="dxa"/>
              <w:end w:w="120" w:type="dxa"/>
            </w:tcMar>
          </w:tcPr>
          <w:p>
            <w:pPr>
              <w:spacing w:after="40" w:line="252" w:lineRule="auto"/>
            </w:pPr>
            <w:r>
              <w:rPr>
                <w:rFonts w:ascii="Arial" w:hAnsi="Arial"/>
                <w:b/>
                <w:color w:val="172033"/>
                <w:sz w:val="16"/>
              </w:rPr>
              <w:t>FaceGate / biometric handling</w:t>
            </w:r>
          </w:p>
        </w:tc>
        <w:tc>
          <w:tcPr>
            <w:tcW w:type="dxa" w:w="3398"/>
            <w:vAlign w:val="top"/>
            <w:tcMar>
              <w:top w:w="80" w:type="dxa"/>
              <w:start w:w="120" w:type="dxa"/>
              <w:bottom w:w="80" w:type="dxa"/>
              <w:end w:w="120" w:type="dxa"/>
            </w:tcMar>
          </w:tcPr>
          <w:p>
            <w:pPr>
              <w:spacing w:after="40" w:line="252" w:lineRule="auto"/>
            </w:pPr>
            <w:r>
              <w:rPr>
                <w:rFonts w:ascii="Arial" w:hAnsi="Arial"/>
                <w:b w:val="0"/>
                <w:color w:val="172033"/>
                <w:sz w:val="16"/>
              </w:rPr>
              <w:t>6 months</w:t>
            </w:r>
          </w:p>
        </w:tc>
      </w:tr>
      <w:tr>
        <w:trPr>
          <w:cantSplit/>
        </w:trPr>
        <w:tc>
          <w:tcPr>
            <w:tcW w:type="dxa" w:w="6480"/>
            <w:vAlign w:val="top"/>
            <w:shd w:fill="F5F7FA"/>
            <w:tcMar>
              <w:top w:w="80" w:type="dxa"/>
              <w:start w:w="120" w:type="dxa"/>
              <w:bottom w:w="80" w:type="dxa"/>
              <w:end w:w="120" w:type="dxa"/>
            </w:tcMar>
          </w:tcPr>
          <w:p>
            <w:pPr>
              <w:spacing w:after="40" w:line="252" w:lineRule="auto"/>
            </w:pPr>
            <w:r>
              <w:rPr>
                <w:rFonts w:ascii="Arial" w:hAnsi="Arial"/>
                <w:b/>
                <w:color w:val="172033"/>
                <w:sz w:val="16"/>
              </w:rPr>
              <w:t>High-risk safety or technical duties</w:t>
            </w:r>
          </w:p>
        </w:tc>
        <w:tc>
          <w:tcPr>
            <w:tcW w:type="dxa" w:w="3398"/>
            <w:vAlign w:val="top"/>
            <w:shd w:fill="F5F7FA"/>
            <w:tcMar>
              <w:top w:w="80" w:type="dxa"/>
              <w:start w:w="120" w:type="dxa"/>
              <w:bottom w:w="80" w:type="dxa"/>
              <w:end w:w="120" w:type="dxa"/>
            </w:tcMar>
          </w:tcPr>
          <w:p>
            <w:pPr>
              <w:spacing w:after="40" w:line="252" w:lineRule="auto"/>
            </w:pPr>
            <w:r>
              <w:rPr>
                <w:rFonts w:ascii="Arial" w:hAnsi="Arial"/>
                <w:b w:val="0"/>
                <w:color w:val="172033"/>
                <w:sz w:val="16"/>
              </w:rPr>
              <w:t>6 months</w:t>
            </w:r>
          </w:p>
        </w:tc>
      </w:tr>
      <w:tr>
        <w:trPr>
          <w:cantSplit/>
        </w:trPr>
        <w:tc>
          <w:tcPr>
            <w:tcW w:type="dxa" w:w="6480"/>
            <w:vAlign w:val="top"/>
            <w:tcMar>
              <w:top w:w="80" w:type="dxa"/>
              <w:start w:w="120" w:type="dxa"/>
              <w:bottom w:w="80" w:type="dxa"/>
              <w:end w:w="120" w:type="dxa"/>
            </w:tcMar>
          </w:tcPr>
          <w:p>
            <w:pPr>
              <w:spacing w:after="40" w:line="252" w:lineRule="auto"/>
            </w:pPr>
            <w:r>
              <w:rPr>
                <w:rFonts w:ascii="Arial" w:hAnsi="Arial"/>
                <w:b/>
                <w:color w:val="172033"/>
                <w:sz w:val="16"/>
              </w:rPr>
              <w:t>Event-specific readiness</w:t>
            </w:r>
          </w:p>
        </w:tc>
        <w:tc>
          <w:tcPr>
            <w:tcW w:type="dxa" w:w="3398"/>
            <w:vAlign w:val="top"/>
            <w:tcMar>
              <w:top w:w="80" w:type="dxa"/>
              <w:start w:w="120" w:type="dxa"/>
              <w:bottom w:w="80" w:type="dxa"/>
              <w:end w:w="120" w:type="dxa"/>
            </w:tcMar>
          </w:tcPr>
          <w:p>
            <w:pPr>
              <w:spacing w:after="40" w:line="252" w:lineRule="auto"/>
            </w:pPr>
            <w:r>
              <w:rPr>
                <w:rFonts w:ascii="Arial" w:hAnsi="Arial"/>
                <w:b w:val="0"/>
                <w:color w:val="172033"/>
                <w:sz w:val="16"/>
              </w:rPr>
              <w:t>Before every assigned event</w:t>
            </w:r>
          </w:p>
        </w:tc>
      </w:tr>
      <w:tr>
        <w:trPr>
          <w:cantSplit/>
        </w:trPr>
        <w:tc>
          <w:tcPr>
            <w:tcW w:type="dxa" w:w="6480"/>
            <w:vAlign w:val="top"/>
            <w:shd w:fill="F5F7FA"/>
            <w:tcMar>
              <w:top w:w="80" w:type="dxa"/>
              <w:start w:w="120" w:type="dxa"/>
              <w:bottom w:w="80" w:type="dxa"/>
              <w:end w:w="120" w:type="dxa"/>
            </w:tcMar>
          </w:tcPr>
          <w:p>
            <w:pPr>
              <w:spacing w:after="40" w:line="252" w:lineRule="auto"/>
            </w:pPr>
            <w:r>
              <w:rPr>
                <w:rFonts w:ascii="Arial" w:hAnsi="Arial"/>
                <w:b/>
                <w:color w:val="172033"/>
                <w:sz w:val="16"/>
              </w:rPr>
              <w:t>Materially changed knowledge</w:t>
            </w:r>
          </w:p>
        </w:tc>
        <w:tc>
          <w:tcPr>
            <w:tcW w:type="dxa" w:w="3398"/>
            <w:vAlign w:val="top"/>
            <w:shd w:fill="F5F7FA"/>
            <w:tcMar>
              <w:top w:w="80" w:type="dxa"/>
              <w:start w:w="120" w:type="dxa"/>
              <w:bottom w:w="80" w:type="dxa"/>
              <w:end w:w="120" w:type="dxa"/>
            </w:tcMar>
          </w:tcPr>
          <w:p>
            <w:pPr>
              <w:spacing w:after="40" w:line="252" w:lineRule="auto"/>
            </w:pPr>
            <w:r>
              <w:rPr>
                <w:rFonts w:ascii="Arial" w:hAnsi="Arial"/>
                <w:b w:val="0"/>
                <w:color w:val="172033"/>
                <w:sz w:val="16"/>
              </w:rPr>
              <w:t>Targeted reassessment after publication</w:t>
            </w:r>
          </w:p>
        </w:tc>
      </w:tr>
    </w:tbl>
    <w:p>
      <w:pPr>
        <w:spacing w:after="20"/>
      </w:pPr>
    </w:p>
    <w:p>
      <w:pPr>
        <w:spacing w:after="100"/>
      </w:pPr>
      <w:r>
        <w:rPr>
          <w:rFonts w:ascii="Arial" w:hAnsi="Arial"/>
          <w:b w:val="0"/>
          <w:i w:val="0"/>
          <w:color w:val="172033"/>
          <w:sz w:val="19"/>
        </w:rPr>
        <w:t>Cycles are policy-controlled by jurisdiction, client, capability and risk. The shortest applicable cycle wins.</w:t>
      </w:r>
    </w:p>
    <w:p>
      <w:pPr>
        <w:pStyle w:val="Heading2"/>
      </w:pPr>
      <w:r>
        <w:t>9.3 Monitoring and intervention</w:t>
      </w:r>
    </w:p>
    <w:p>
      <w:pPr>
        <w:pStyle w:val="ListBullet"/>
      </w:pPr>
      <w:r>
        <w:t>Reminder at 60, 30, 14 and 7 days before expiry</w:t>
      </w:r>
    </w:p>
    <w:p>
      <w:pPr>
        <w:pStyle w:val="ListBullet"/>
      </w:pPr>
      <w:r>
        <w:t>Notification on expiry</w:t>
      </w:r>
    </w:p>
    <w:p>
      <w:pPr>
        <w:pStyle w:val="ListBullet"/>
      </w:pPr>
      <w:r>
        <w:t>Manager escalation while an expired person remains assigned</w:t>
      </w:r>
    </w:p>
    <w:p>
      <w:pPr>
        <w:pStyle w:val="ListBullet"/>
      </w:pPr>
      <w:r>
        <w:t>Immediate readiness recalculation after failure, suspension or material content change</w:t>
      </w:r>
    </w:p>
    <w:p>
      <w:pPr>
        <w:pStyle w:val="ListBullet"/>
      </w:pPr>
      <w:r>
        <w:t>Targeted retraining after incidents or demonstrated performance gaps</w:t>
      </w:r>
    </w:p>
    <w:p>
      <w:pPr>
        <w:pStyle w:val="ListBullet"/>
      </w:pPr>
      <w:r>
        <w:t>Certificate verification by stable public-safe reference without exposing private results</w:t>
      </w:r>
    </w:p>
    <w:p>
      <w:pPr>
        <w:pStyle w:val="Heading1"/>
      </w:pPr>
      <w:r>
        <w:t>10. Event-specific training</w:t>
      </w:r>
    </w:p>
    <w:p>
      <w:pPr>
        <w:pStyle w:val="Heading2"/>
      </w:pPr>
      <w:r>
        <w:t>10.1 Event Training Package</w:t>
      </w:r>
    </w:p>
    <w:p>
      <w:pPr>
        <w:spacing w:after="100"/>
      </w:pPr>
      <w:r>
        <w:rPr>
          <w:rFonts w:ascii="Arial" w:hAnsi="Arial"/>
          <w:b w:val="0"/>
          <w:i w:val="0"/>
          <w:color w:val="172033"/>
          <w:sz w:val="19"/>
        </w:rPr>
        <w:t>MD-EOS publishes an approved, immutable Event Training Package version. The Academy creates an event learning space, calculates role-specific assignments and returns readiness. Draft OS data is never automatically teachable.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32"/>
        <w:gridCol w:w="7646"/>
      </w:tblGrid>
      <w:tr>
        <w:trPr>
          <w:tblHeader w:val="true"/>
          <w:cantSplit/>
        </w:trPr>
        <w:tc>
          <w:tcPr>
            <w:tcW w:type="dxa" w:w="2232"/>
            <w:shd w:fill="183A63"/>
            <w:vAlign w:val="center"/>
            <w:tcMar>
              <w:top w:w="80" w:type="dxa"/>
              <w:start w:w="120" w:type="dxa"/>
              <w:bottom w:w="80" w:type="dxa"/>
              <w:end w:w="120" w:type="dxa"/>
            </w:tcMar>
          </w:tcPr>
          <w:p>
            <w:r>
              <w:rPr>
                <w:rFonts w:ascii="Arial" w:hAnsi="Arial"/>
                <w:b/>
                <w:color w:val="FFFFFF"/>
                <w:sz w:val="16"/>
              </w:rPr>
              <w:t>Package domain</w:t>
            </w:r>
          </w:p>
        </w:tc>
        <w:tc>
          <w:tcPr>
            <w:tcW w:type="dxa" w:w="7646"/>
            <w:shd w:fill="183A63"/>
            <w:vAlign w:val="center"/>
            <w:tcMar>
              <w:top w:w="80" w:type="dxa"/>
              <w:start w:w="120" w:type="dxa"/>
              <w:bottom w:w="80" w:type="dxa"/>
              <w:end w:w="120" w:type="dxa"/>
            </w:tcMar>
          </w:tcPr>
          <w:p>
            <w:r>
              <w:rPr>
                <w:rFonts w:ascii="Arial" w:hAnsi="Arial"/>
                <w:b/>
                <w:color w:val="FFFFFF"/>
                <w:sz w:val="16"/>
              </w:rPr>
              <w:t>Examples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Identity</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Event ID, client-safe title, date, timezone and venue</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Operating intent</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Experience promise, event objectives and applicable standards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People and responsibility</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Team structure, assignments, escalation routes and role cards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Execution</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Approved run of show, arrival, access, seating, wayfinding and communication procedures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Risk</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Known hazards, contingency actions, emergency and incident procedures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Learning controls</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Required acknowledgements, assessment rules, deadlines and affected roles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Governance</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Package version, approval, publication time, sensitivity and supersession</w:t>
            </w:r>
          </w:p>
        </w:tc>
      </w:tr>
    </w:tbl>
    <w:p>
      <w:pPr>
        <w:spacing w:after="20"/>
      </w:pPr>
    </w:p>
    <w:p>
      <w:pPr>
        <w:pStyle w:val="Heading2"/>
      </w:pPr>
      <w:r>
        <w:t>10.2 Data minimisation</w:t>
      </w:r>
    </w:p>
    <w:p>
      <w:pPr>
        <w:spacing w:after="100"/>
      </w:pPr>
      <w:r>
        <w:rPr>
          <w:rFonts w:ascii="Arial" w:hAnsi="Arial"/>
          <w:b w:val="0"/>
          <w:i w:val="0"/>
          <w:color w:val="172033"/>
          <w:sz w:val="19"/>
        </w:rPr>
        <w:t>The package normally contains categories, procedures and anonymised scenarios rather than the guest database. Named guest data is included only for authorised roles with genuine operational need. Biometrics, confidential notes and unrestricted guest intelligence remain in MD-EOS.</w:t>
      </w:r>
    </w:p>
    <w:p>
      <w:pPr>
        <w:pStyle w:val="Heading2"/>
      </w:pPr>
      <w:r>
        <w:t>10.3 Material event changes</w:t>
      </w:r>
    </w:p>
    <w:p>
      <w:pPr>
        <w:pStyle w:val="ListNumber"/>
      </w:pPr>
      <w:r>
        <w:t>MD-EOS approves and publishes a new package version.</w:t>
      </w:r>
    </w:p>
    <w:p>
      <w:pPr>
        <w:pStyle w:val="ListNumber"/>
      </w:pPr>
      <w:r>
        <w:t>The Academy compares versions and identifies affected roles, lessons and people.</w:t>
      </w:r>
    </w:p>
    <w:p>
      <w:pPr>
        <w:pStyle w:val="ListNumber"/>
      </w:pPr>
      <w:r>
        <w:t>Affected readiness changes to Pending; unaffected competence remains valid.</w:t>
      </w:r>
    </w:p>
    <w:p>
      <w:pPr>
        <w:pStyle w:val="ListNumber"/>
      </w:pPr>
      <w:r>
        <w:t>The Academy assigns a change briefing, acknowledgement or reassessment according to impact.</w:t>
      </w:r>
    </w:p>
    <w:p>
      <w:pPr>
        <w:pStyle w:val="ListNumber"/>
      </w:pPr>
      <w:r>
        <w:t>Completion restores readiness and is returned to MD-EOS.</w:t>
      </w:r>
    </w:p>
    <w:p>
      <w:pPr>
        <w:pStyle w:val="ListNumber"/>
      </w:pPr>
      <w:r>
        <w:t>Both versions and all acknowledgements remain auditable.</w:t>
      </w:r>
    </w:p>
    <w:p>
      <w:pPr>
        <w:pStyle w:val="Heading1"/>
      </w:pPr>
      <w:r>
        <w:t>11. OS–Academy integration</w:t>
      </w:r>
    </w:p>
    <w:p>
      <w:pPr>
        <w:pStyle w:val="Heading2"/>
      </w:pPr>
      <w:r>
        <w:t>11.1 Integration principles</w:t>
      </w:r>
    </w:p>
    <w:p>
      <w:pPr>
        <w:pStyle w:val="ListBullet"/>
      </w:pPr>
      <w:r>
        <w:t>Versioned contracts</w:t>
      </w:r>
    </w:p>
    <w:p>
      <w:pPr>
        <w:pStyle w:val="ListBullet"/>
      </w:pPr>
      <w:r>
        <w:t>Authenticated service principals</w:t>
      </w:r>
    </w:p>
    <w:p>
      <w:pPr>
        <w:pStyle w:val="ListBullet"/>
      </w:pPr>
      <w:r>
        <w:t>Idempotent commands</w:t>
      </w:r>
    </w:p>
    <w:p>
      <w:pPr>
        <w:pStyle w:val="ListBullet"/>
      </w:pPr>
      <w:r>
        <w:t>At-least-once delivery with duplicate safety</w:t>
      </w:r>
    </w:p>
    <w:p>
      <w:pPr>
        <w:pStyle w:val="ListBullet"/>
      </w:pPr>
      <w:r>
        <w:t>Durable outbox and inbox records</w:t>
      </w:r>
    </w:p>
    <w:p>
      <w:pPr>
        <w:pStyle w:val="ListBullet"/>
      </w:pPr>
      <w:r>
        <w:t>Correlation and causation IDs</w:t>
      </w:r>
    </w:p>
    <w:p>
      <w:pPr>
        <w:pStyle w:val="ListBullet"/>
      </w:pPr>
      <w:r>
        <w:t>Retry with dead-letter handling</w:t>
      </w:r>
    </w:p>
    <w:p>
      <w:pPr>
        <w:pStyle w:val="ListBullet"/>
      </w:pPr>
      <w:r>
        <w:t>Periodic reconciliation</w:t>
      </w:r>
    </w:p>
    <w:p>
      <w:pPr>
        <w:pStyle w:val="ListBullet"/>
      </w:pPr>
      <w:r>
        <w:t>Minimum necessary payloads</w:t>
      </w:r>
    </w:p>
    <w:p>
      <w:pPr>
        <w:pStyle w:val="ListBullet"/>
      </w:pPr>
      <w:r>
        <w:t>No shared database</w:t>
      </w:r>
    </w:p>
    <w:p>
      <w:pPr>
        <w:pStyle w:val="Heading2"/>
      </w:pPr>
      <w:r>
        <w:t>11.2 Canonical flows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951"/>
        <w:gridCol w:w="2664"/>
        <w:gridCol w:w="4262"/>
      </w:tblGrid>
      <w:tr>
        <w:trPr>
          <w:tblHeader w:val="true"/>
          <w:cantSplit/>
        </w:trPr>
        <w:tc>
          <w:tcPr>
            <w:tcW w:type="dxa" w:w="2951"/>
            <w:shd w:fill="183A63"/>
            <w:vAlign w:val="center"/>
            <w:tcMar>
              <w:top w:w="80" w:type="dxa"/>
              <w:start w:w="120" w:type="dxa"/>
              <w:bottom w:w="80" w:type="dxa"/>
              <w:end w:w="120" w:type="dxa"/>
            </w:tcMar>
          </w:tcPr>
          <w:p>
            <w:r>
              <w:rPr>
                <w:rFonts w:ascii="Arial" w:hAnsi="Arial"/>
                <w:b/>
                <w:color w:val="FFFFFF"/>
                <w:sz w:val="16"/>
              </w:rPr>
              <w:t>Flow</w:t>
            </w:r>
          </w:p>
        </w:tc>
        <w:tc>
          <w:tcPr>
            <w:tcW w:type="dxa" w:w="2664"/>
            <w:shd w:fill="183A63"/>
            <w:vAlign w:val="center"/>
            <w:tcMar>
              <w:top w:w="80" w:type="dxa"/>
              <w:start w:w="120" w:type="dxa"/>
              <w:bottom w:w="80" w:type="dxa"/>
              <w:end w:w="120" w:type="dxa"/>
            </w:tcMar>
          </w:tcPr>
          <w:p>
            <w:r>
              <w:rPr>
                <w:rFonts w:ascii="Arial" w:hAnsi="Arial"/>
                <w:b/>
                <w:color w:val="FFFFFF"/>
                <w:sz w:val="16"/>
              </w:rPr>
              <w:t>System of record</w:t>
            </w:r>
          </w:p>
        </w:tc>
        <w:tc>
          <w:tcPr>
            <w:tcW w:type="dxa" w:w="4262"/>
            <w:shd w:fill="183A63"/>
            <w:vAlign w:val="center"/>
            <w:tcMar>
              <w:top w:w="80" w:type="dxa"/>
              <w:start w:w="120" w:type="dxa"/>
              <w:bottom w:w="80" w:type="dxa"/>
              <w:end w:w="120" w:type="dxa"/>
            </w:tcMar>
          </w:tcPr>
          <w:p>
            <w:r>
              <w:rPr>
                <w:rFonts w:ascii="Arial" w:hAnsi="Arial"/>
                <w:b/>
                <w:color w:val="FFFFFF"/>
                <w:sz w:val="16"/>
              </w:rPr>
              <w:t>Result</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Person / organisation synchronisation</w:t>
            </w:r>
          </w:p>
        </w:tc>
        <w:tc>
          <w:tcPr>
            <w:tcW w:type="dxa" w:w="2664"/>
            <w:vAlign w:val="top"/>
            <w:tcMar>
              <w:top w:w="80" w:type="dxa"/>
              <w:start w:w="120" w:type="dxa"/>
              <w:bottom w:w="80" w:type="dxa"/>
              <w:end w:w="120" w:type="dxa"/>
            </w:tcMar>
          </w:tcPr>
          <w:p>
            <w:pPr>
              <w:spacing w:after="40" w:line="252" w:lineRule="auto"/>
            </w:pPr>
            <w:r>
              <w:rPr>
                <w:rFonts w:ascii="Arial" w:hAnsi="Arial"/>
                <w:b w:val="0"/>
                <w:color w:val="172033"/>
                <w:sz w:val="16"/>
              </w:rPr>
              <w:t>Identity / MD-EOS</w:t>
            </w:r>
          </w:p>
        </w:tc>
        <w:tc>
          <w:tcPr>
            <w:tcW w:type="dxa" w:w="4262"/>
            <w:vAlign w:val="top"/>
            <w:tcMar>
              <w:top w:w="80" w:type="dxa"/>
              <w:start w:w="120" w:type="dxa"/>
              <w:bottom w:w="80" w:type="dxa"/>
              <w:end w:w="120" w:type="dxa"/>
            </w:tcMar>
          </w:tcPr>
          <w:p>
            <w:pPr>
              <w:spacing w:after="40" w:line="252" w:lineRule="auto"/>
            </w:pPr>
            <w:r>
              <w:rPr>
                <w:rFonts w:ascii="Arial" w:hAnsi="Arial"/>
                <w:b w:val="0"/>
                <w:color w:val="172033"/>
                <w:sz w:val="16"/>
              </w:rPr>
              <w:t>Durable learner identity and membership</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Role and event assignment</w:t>
            </w:r>
          </w:p>
        </w:tc>
        <w:tc>
          <w:tcPr>
            <w:tcW w:type="dxa" w:w="2664"/>
            <w:vAlign w:val="top"/>
            <w:shd w:fill="F5F7FA"/>
            <w:tcMar>
              <w:top w:w="80" w:type="dxa"/>
              <w:start w:w="120" w:type="dxa"/>
              <w:bottom w:w="80" w:type="dxa"/>
              <w:end w:w="120" w:type="dxa"/>
            </w:tcMar>
          </w:tcPr>
          <w:p>
            <w:pPr>
              <w:spacing w:after="40" w:line="252" w:lineRule="auto"/>
            </w:pPr>
            <w:r>
              <w:rPr>
                <w:rFonts w:ascii="Arial" w:hAnsi="Arial"/>
                <w:b w:val="0"/>
                <w:color w:val="172033"/>
                <w:sz w:val="16"/>
              </w:rPr>
              <w:t>MD-EOS</w:t>
            </w:r>
          </w:p>
        </w:tc>
        <w:tc>
          <w:tcPr>
            <w:tcW w:type="dxa" w:w="4262"/>
            <w:vAlign w:val="top"/>
            <w:shd w:fill="F5F7FA"/>
            <w:tcMar>
              <w:top w:w="80" w:type="dxa"/>
              <w:start w:w="120" w:type="dxa"/>
              <w:bottom w:w="80" w:type="dxa"/>
              <w:end w:w="120" w:type="dxa"/>
            </w:tcMar>
          </w:tcPr>
          <w:p>
            <w:pPr>
              <w:spacing w:after="40" w:line="252" w:lineRule="auto"/>
            </w:pPr>
            <w:r>
              <w:rPr>
                <w:rFonts w:ascii="Arial" w:hAnsi="Arial"/>
                <w:b w:val="0"/>
                <w:color w:val="172033"/>
                <w:sz w:val="16"/>
              </w:rPr>
              <w:t>Role-gap analysis and enrolment update</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Event Training Package publication</w:t>
            </w:r>
          </w:p>
        </w:tc>
        <w:tc>
          <w:tcPr>
            <w:tcW w:type="dxa" w:w="2664"/>
            <w:vAlign w:val="top"/>
            <w:tcMar>
              <w:top w:w="80" w:type="dxa"/>
              <w:start w:w="120" w:type="dxa"/>
              <w:bottom w:w="80" w:type="dxa"/>
              <w:end w:w="120" w:type="dxa"/>
            </w:tcMar>
          </w:tcPr>
          <w:p>
            <w:pPr>
              <w:spacing w:after="40" w:line="252" w:lineRule="auto"/>
            </w:pPr>
            <w:r>
              <w:rPr>
                <w:rFonts w:ascii="Arial" w:hAnsi="Arial"/>
                <w:b w:val="0"/>
                <w:color w:val="172033"/>
                <w:sz w:val="16"/>
              </w:rPr>
              <w:t>MD-EOS</w:t>
            </w:r>
          </w:p>
        </w:tc>
        <w:tc>
          <w:tcPr>
            <w:tcW w:type="dxa" w:w="4262"/>
            <w:vAlign w:val="top"/>
            <w:tcMar>
              <w:top w:w="80" w:type="dxa"/>
              <w:start w:w="120" w:type="dxa"/>
              <w:bottom w:w="80" w:type="dxa"/>
              <w:end w:w="120" w:type="dxa"/>
            </w:tcMar>
          </w:tcPr>
          <w:p>
            <w:pPr>
              <w:spacing w:after="40" w:line="252" w:lineRule="auto"/>
            </w:pPr>
            <w:r>
              <w:rPr>
                <w:rFonts w:ascii="Arial" w:hAnsi="Arial"/>
                <w:b w:val="0"/>
                <w:color w:val="172033"/>
                <w:sz w:val="16"/>
              </w:rPr>
              <w:t>Versioned event learning space</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Readiness status return</w:t>
            </w:r>
          </w:p>
        </w:tc>
        <w:tc>
          <w:tcPr>
            <w:tcW w:type="dxa" w:w="2664"/>
            <w:vAlign w:val="top"/>
            <w:shd w:fill="F5F7FA"/>
            <w:tcMar>
              <w:top w:w="80" w:type="dxa"/>
              <w:start w:w="120" w:type="dxa"/>
              <w:bottom w:w="80" w:type="dxa"/>
              <w:end w:w="120" w:type="dxa"/>
            </w:tcMar>
          </w:tcPr>
          <w:p>
            <w:pPr>
              <w:spacing w:after="40" w:line="252" w:lineRule="auto"/>
            </w:pPr>
            <w:r>
              <w:rPr>
                <w:rFonts w:ascii="Arial" w:hAnsi="Arial"/>
                <w:b w:val="0"/>
                <w:color w:val="172033"/>
                <w:sz w:val="16"/>
              </w:rPr>
              <w:t>Academy</w:t>
            </w:r>
          </w:p>
        </w:tc>
        <w:tc>
          <w:tcPr>
            <w:tcW w:type="dxa" w:w="4262"/>
            <w:vAlign w:val="top"/>
            <w:shd w:fill="F5F7FA"/>
            <w:tcMar>
              <w:top w:w="80" w:type="dxa"/>
              <w:start w:w="120" w:type="dxa"/>
              <w:bottom w:w="80" w:type="dxa"/>
              <w:end w:w="120" w:type="dxa"/>
            </w:tcMar>
          </w:tcPr>
          <w:p>
            <w:pPr>
              <w:spacing w:after="40" w:line="252" w:lineRule="auto"/>
            </w:pPr>
            <w:r>
              <w:rPr>
                <w:rFonts w:ascii="Arial" w:hAnsi="Arial"/>
                <w:b w:val="0"/>
                <w:color w:val="172033"/>
                <w:sz w:val="16"/>
              </w:rPr>
              <w:t>MD-EOS assignment warning or block</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Certificate status return</w:t>
            </w:r>
          </w:p>
        </w:tc>
        <w:tc>
          <w:tcPr>
            <w:tcW w:type="dxa" w:w="2664"/>
            <w:vAlign w:val="top"/>
            <w:tcMar>
              <w:top w:w="80" w:type="dxa"/>
              <w:start w:w="120" w:type="dxa"/>
              <w:bottom w:w="80" w:type="dxa"/>
              <w:end w:w="120" w:type="dxa"/>
            </w:tcMar>
          </w:tcPr>
          <w:p>
            <w:pPr>
              <w:spacing w:after="40" w:line="252" w:lineRule="auto"/>
            </w:pPr>
            <w:r>
              <w:rPr>
                <w:rFonts w:ascii="Arial" w:hAnsi="Arial"/>
                <w:b w:val="0"/>
                <w:color w:val="172033"/>
                <w:sz w:val="16"/>
              </w:rPr>
              <w:t>Academy</w:t>
            </w:r>
          </w:p>
        </w:tc>
        <w:tc>
          <w:tcPr>
            <w:tcW w:type="dxa" w:w="4262"/>
            <w:vAlign w:val="top"/>
            <w:tcMar>
              <w:top w:w="80" w:type="dxa"/>
              <w:start w:w="120" w:type="dxa"/>
              <w:bottom w:w="80" w:type="dxa"/>
              <w:end w:w="120" w:type="dxa"/>
            </w:tcMar>
          </w:tcPr>
          <w:p>
            <w:pPr>
              <w:spacing w:after="40" w:line="252" w:lineRule="auto"/>
            </w:pPr>
            <w:r>
              <w:rPr>
                <w:rFonts w:ascii="Arial" w:hAnsi="Arial"/>
                <w:b w:val="0"/>
                <w:color w:val="172033"/>
                <w:sz w:val="16"/>
              </w:rPr>
              <w:t>Current general competence visibility</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6"/>
              </w:rPr>
              <w:t>Event change notification</w:t>
            </w:r>
          </w:p>
        </w:tc>
        <w:tc>
          <w:tcPr>
            <w:tcW w:type="dxa" w:w="2664"/>
            <w:vAlign w:val="top"/>
            <w:shd w:fill="F5F7FA"/>
            <w:tcMar>
              <w:top w:w="80" w:type="dxa"/>
              <w:start w:w="120" w:type="dxa"/>
              <w:bottom w:w="80" w:type="dxa"/>
              <w:end w:w="120" w:type="dxa"/>
            </w:tcMar>
          </w:tcPr>
          <w:p>
            <w:pPr>
              <w:spacing w:after="40" w:line="252" w:lineRule="auto"/>
            </w:pPr>
            <w:r>
              <w:rPr>
                <w:rFonts w:ascii="Arial" w:hAnsi="Arial"/>
                <w:b w:val="0"/>
                <w:color w:val="172033"/>
                <w:sz w:val="16"/>
              </w:rPr>
              <w:t>MD-EOS</w:t>
            </w:r>
          </w:p>
        </w:tc>
        <w:tc>
          <w:tcPr>
            <w:tcW w:type="dxa" w:w="4262"/>
            <w:vAlign w:val="top"/>
            <w:shd w:fill="F5F7FA"/>
            <w:tcMar>
              <w:top w:w="80" w:type="dxa"/>
              <w:start w:w="120" w:type="dxa"/>
              <w:bottom w:w="80" w:type="dxa"/>
              <w:end w:w="120" w:type="dxa"/>
            </w:tcMar>
          </w:tcPr>
          <w:p>
            <w:pPr>
              <w:spacing w:after="40" w:line="252" w:lineRule="auto"/>
            </w:pPr>
            <w:r>
              <w:rPr>
                <w:rFonts w:ascii="Arial" w:hAnsi="Arial"/>
                <w:b w:val="0"/>
                <w:color w:val="172033"/>
                <w:sz w:val="16"/>
              </w:rPr>
              <w:t>Impact analysis and targeted reassignment</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6"/>
              </w:rPr>
              <w:t>Incident learning referral</w:t>
            </w:r>
          </w:p>
        </w:tc>
        <w:tc>
          <w:tcPr>
            <w:tcW w:type="dxa" w:w="2664"/>
            <w:vAlign w:val="top"/>
            <w:tcMar>
              <w:top w:w="80" w:type="dxa"/>
              <w:start w:w="120" w:type="dxa"/>
              <w:bottom w:w="80" w:type="dxa"/>
              <w:end w:w="120" w:type="dxa"/>
            </w:tcMar>
          </w:tcPr>
          <w:p>
            <w:pPr>
              <w:spacing w:after="40" w:line="252" w:lineRule="auto"/>
            </w:pPr>
            <w:r>
              <w:rPr>
                <w:rFonts w:ascii="Arial" w:hAnsi="Arial"/>
                <w:b w:val="0"/>
                <w:color w:val="172033"/>
                <w:sz w:val="16"/>
              </w:rPr>
              <w:t>MD-EOS</w:t>
            </w:r>
          </w:p>
        </w:tc>
        <w:tc>
          <w:tcPr>
            <w:tcW w:type="dxa" w:w="4262"/>
            <w:vAlign w:val="top"/>
            <w:tcMar>
              <w:top w:w="80" w:type="dxa"/>
              <w:start w:w="120" w:type="dxa"/>
              <w:bottom w:w="80" w:type="dxa"/>
              <w:end w:w="120" w:type="dxa"/>
            </w:tcMar>
          </w:tcPr>
          <w:p>
            <w:pPr>
              <w:spacing w:after="40" w:line="252" w:lineRule="auto"/>
            </w:pPr>
            <w:r>
              <w:rPr>
                <w:rFonts w:ascii="Arial" w:hAnsi="Arial"/>
                <w:b w:val="0"/>
                <w:color w:val="172033"/>
                <w:sz w:val="16"/>
              </w:rPr>
              <w:t>Draft curriculum-change candidate, never auto-publication</w:t>
            </w:r>
          </w:p>
        </w:tc>
      </w:tr>
    </w:tbl>
    <w:p>
      <w:pPr>
        <w:spacing w:after="20"/>
      </w:pPr>
    </w:p>
    <w:p>
      <w:pPr>
        <w:pStyle w:val="Heading2"/>
      </w:pPr>
      <w:r>
        <w:t>11.3 Failure behaviour</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DE8E7"/>
            <w:tcMar>
              <w:top w:w="80" w:type="dxa"/>
              <w:start w:w="120" w:type="dxa"/>
              <w:bottom w:w="80" w:type="dxa"/>
              <w:end w:w="120" w:type="dxa"/>
            </w:tcMar>
          </w:tcPr>
          <w:p>
            <w:pPr>
              <w:spacing w:after="0"/>
            </w:pPr>
            <w:r>
              <w:rPr>
                <w:rFonts w:ascii="Arial" w:hAnsi="Arial"/>
                <w:b/>
                <w:color w:val="B79F55"/>
                <w:sz w:val="19"/>
              </w:rPr>
              <w:t xml:space="preserve">FAIL SAFELY  </w:t>
            </w:r>
            <w:r>
              <w:rPr>
                <w:rFonts w:ascii="Arial" w:hAnsi="Arial"/>
                <w:b/>
                <w:color w:val="10233F"/>
                <w:sz w:val="19"/>
              </w:rPr>
              <w:t>If current readiness cannot be verified for a controlled duty, MD-EOS shows Verification unavailable and applies the configured warning or assignment block. It must not silently treat an old success as current.</w:t>
            </w:r>
          </w:p>
        </w:tc>
      </w:tr>
    </w:tbl>
    <w:p>
      <w:pPr>
        <w:spacing w:after="20"/>
      </w:pPr>
    </w:p>
    <w:p>
      <w:pPr>
        <w:spacing w:after="100"/>
      </w:pPr>
      <w:r>
        <w:rPr>
          <w:rFonts w:ascii="Arial" w:hAnsi="Arial"/>
          <w:b w:val="0"/>
          <w:i w:val="0"/>
          <w:color w:val="172033"/>
          <w:sz w:val="19"/>
        </w:rPr>
        <w:t>A reconciliation job compares identities, assignments, package versions, certificate summaries and readiness responses. Differences become visible operational exceptions with owners and retry controls.</w:t>
      </w:r>
    </w:p>
    <w:p>
      <w:pPr>
        <w:pStyle w:val="Heading1"/>
      </w:pPr>
      <w:r>
        <w:t>12. Canonical data model</w:t>
      </w:r>
    </w:p>
    <w:p>
      <w:pPr>
        <w:pStyle w:val="Heading2"/>
      </w:pPr>
      <w:r>
        <w:t>12.1 Principal entities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7934"/>
      </w:tblGrid>
      <w:tr>
        <w:trPr>
          <w:tblHeader w:val="true"/>
          <w:cantSplit/>
        </w:trPr>
        <w:tc>
          <w:tcPr>
            <w:tcW w:type="dxa" w:w="1944"/>
            <w:shd w:fill="183A63"/>
            <w:vAlign w:val="center"/>
            <w:tcMar>
              <w:top w:w="80" w:type="dxa"/>
              <w:start w:w="120" w:type="dxa"/>
              <w:bottom w:w="80" w:type="dxa"/>
              <w:end w:w="120" w:type="dxa"/>
            </w:tcMar>
          </w:tcPr>
          <w:p>
            <w:r>
              <w:rPr>
                <w:rFonts w:ascii="Arial" w:hAnsi="Arial"/>
                <w:b/>
                <w:color w:val="FFFFFF"/>
                <w:sz w:val="15"/>
              </w:rPr>
              <w:t>Domain</w:t>
            </w:r>
          </w:p>
        </w:tc>
        <w:tc>
          <w:tcPr>
            <w:tcW w:type="dxa" w:w="7934"/>
            <w:shd w:fill="183A63"/>
            <w:vAlign w:val="center"/>
            <w:tcMar>
              <w:top w:w="80" w:type="dxa"/>
              <w:start w:w="120" w:type="dxa"/>
              <w:bottom w:w="80" w:type="dxa"/>
              <w:end w:w="120" w:type="dxa"/>
            </w:tcMar>
          </w:tcPr>
          <w:p>
            <w:r>
              <w:rPr>
                <w:rFonts w:ascii="Arial" w:hAnsi="Arial"/>
                <w:b/>
                <w:color w:val="FFFFFF"/>
                <w:sz w:val="15"/>
              </w:rPr>
              <w:t>Entities</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Identity</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5"/>
              </w:rPr>
              <w:t>Organisation, Person, Membership, Department, Role, Permission Grant</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5"/>
              </w:rPr>
              <w:t>Knowledge</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5"/>
              </w:rPr>
              <w:t>Source Document, Source Version, Knowledge Item, Applicability Rule, Knowledge Relationship</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Curriculum</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5"/>
              </w:rPr>
              <w:t>Programme, Course, Module, Lesson, Activity, Learning Objective, Prerequisite</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5"/>
              </w:rPr>
              <w:t>Competence</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5"/>
              </w:rPr>
              <w:t>Competency, Competency Requirement, Role Profile, Equivalence Rule</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Learning</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5"/>
              </w:rPr>
              <w:t>Learning Path, Path Version, Enrolment, Assignment, Progress Event, Remediation Plan</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5"/>
              </w:rPr>
              <w:t>Assessment</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5"/>
              </w:rPr>
              <w:t>Question Bank, Question Version, Option, Rubric, Assessment Blueprint, Form, Attempt, Response, Mark, Review</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Certification</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5"/>
              </w:rPr>
              <w:t>Certificate, Certificate Scope, Renewal Requirement, Suspension, Revocation</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5"/>
              </w:rPr>
              <w:t>Events</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5"/>
              </w:rPr>
              <w:t>External Event Reference, Event Training Package, Package Version, Event Learning Space, Briefing, Acknowledgement, Event Readiness</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Governance</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5"/>
              </w:rPr>
              <w:t>Approval, Decision, Exception, Evidence, Audit Event, Notification, Integration Message</w:t>
            </w:r>
          </w:p>
        </w:tc>
      </w:tr>
    </w:tbl>
    <w:p>
      <w:pPr>
        <w:spacing w:after="20"/>
      </w:pPr>
    </w:p>
    <w:p>
      <w:pPr>
        <w:pStyle w:val="Heading2"/>
      </w:pPr>
      <w:r>
        <w:t>12.2 Common record contract</w:t>
      </w:r>
    </w:p>
    <w:p>
      <w:pPr>
        <w:pStyle w:val="ListBullet"/>
      </w:pPr>
      <w:r>
        <w:t>UUID primary key and human-readable stable code where useful</w:t>
      </w:r>
    </w:p>
    <w:p>
      <w:pPr>
        <w:pStyle w:val="ListBullet"/>
      </w:pPr>
      <w:r>
        <w:t>Organisation scope on every tenant-owned record</w:t>
      </w:r>
    </w:p>
    <w:p>
      <w:pPr>
        <w:pStyle w:val="ListBullet"/>
      </w:pPr>
      <w:r>
        <w:t>Created, updated and effective timestamps in UTC</w:t>
      </w:r>
    </w:p>
    <w:p>
      <w:pPr>
        <w:pStyle w:val="ListBullet"/>
      </w:pPr>
      <w:r>
        <w:t>Created by and updated by actor</w:t>
      </w:r>
    </w:p>
    <w:p>
      <w:pPr>
        <w:pStyle w:val="ListBullet"/>
      </w:pPr>
      <w:r>
        <w:t>Version and lifecycle state</w:t>
      </w:r>
    </w:p>
    <w:p>
      <w:pPr>
        <w:pStyle w:val="ListBullet"/>
      </w:pPr>
      <w:r>
        <w:t>Classification and retention class</w:t>
      </w:r>
    </w:p>
    <w:p>
      <w:pPr>
        <w:pStyle w:val="ListBullet"/>
      </w:pPr>
      <w:r>
        <w:t>Source / correlation metadata</w:t>
      </w:r>
    </w:p>
    <w:p>
      <w:pPr>
        <w:pStyle w:val="ListBullet"/>
      </w:pPr>
      <w:r>
        <w:t>Soft retirement or supersession for governed records</w:t>
      </w:r>
    </w:p>
    <w:p>
      <w:pPr>
        <w:pStyle w:val="ListBullet"/>
      </w:pPr>
      <w:r>
        <w:t>Optimistic concurrency token</w:t>
      </w:r>
    </w:p>
    <w:p>
      <w:pPr>
        <w:pStyle w:val="ListBullet"/>
      </w:pPr>
      <w:r>
        <w:t>Audit event for material changes</w:t>
      </w:r>
    </w:p>
    <w:p>
      <w:pPr>
        <w:pStyle w:val="Heading2"/>
      </w:pPr>
      <w:r>
        <w:t>12.3 Attempt immutability</w:t>
      </w:r>
    </w:p>
    <w:p>
      <w:pPr>
        <w:spacing w:after="100"/>
      </w:pPr>
      <w:r>
        <w:rPr>
          <w:rFonts w:ascii="Arial" w:hAnsi="Arial"/>
          <w:b w:val="0"/>
          <w:i w:val="0"/>
          <w:color w:val="172033"/>
          <w:sz w:val="19"/>
        </w:rPr>
        <w:t>An assessment attempt stores a snapshot of the assessment form, question versions, option order, scoring policy, timing, learner context and applicable critical rules. Later edits to a bank cannot change an existing result.</w:t>
      </w:r>
    </w:p>
    <w:p>
      <w:pPr>
        <w:pStyle w:val="Heading2"/>
      </w:pPr>
      <w:r>
        <w:t>12.4 Multi-role readiness</w:t>
      </w:r>
    </w:p>
    <w:p>
      <w:pPr>
        <w:spacing w:after="100"/>
      </w:pPr>
      <w:r>
        <w:rPr>
          <w:rFonts w:ascii="Arial" w:hAnsi="Arial"/>
          <w:b w:val="0"/>
          <w:i w:val="0"/>
          <w:color w:val="172033"/>
          <w:sz w:val="19"/>
        </w:rPr>
        <w:t>Readiness is calculated separately for each person, event, assigned role and package version. A person can be Certified as Concierge, Renewal Due as Protocol Lead and Not Authorised as Event Director simultaneously.</w:t>
      </w:r>
    </w:p>
    <w:p>
      <w:pPr>
        <w:pStyle w:val="Heading1"/>
      </w:pPr>
      <w:r>
        <w:t>13. Complete frontend architecture</w:t>
      </w:r>
    </w:p>
    <w:p>
      <w:pPr>
        <w:pStyle w:val="Heading2"/>
      </w:pPr>
      <w:r>
        <w:t>13.1 Product surfaces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32"/>
        <w:gridCol w:w="2232"/>
        <w:gridCol w:w="5414"/>
      </w:tblGrid>
      <w:tr>
        <w:trPr>
          <w:tblHeader w:val="true"/>
          <w:cantSplit/>
        </w:trPr>
        <w:tc>
          <w:tcPr>
            <w:tcW w:type="dxa" w:w="2232"/>
            <w:shd w:fill="183A63"/>
            <w:vAlign w:val="center"/>
            <w:tcMar>
              <w:top w:w="80" w:type="dxa"/>
              <w:start w:w="120" w:type="dxa"/>
              <w:bottom w:w="80" w:type="dxa"/>
              <w:end w:w="120" w:type="dxa"/>
            </w:tcMar>
          </w:tcPr>
          <w:p>
            <w:r>
              <w:rPr>
                <w:rFonts w:ascii="Arial" w:hAnsi="Arial"/>
                <w:b/>
                <w:color w:val="FFFFFF"/>
                <w:sz w:val="15"/>
              </w:rPr>
              <w:t>Surface</w:t>
            </w:r>
          </w:p>
        </w:tc>
        <w:tc>
          <w:tcPr>
            <w:tcW w:type="dxa" w:w="2232"/>
            <w:shd w:fill="183A63"/>
            <w:vAlign w:val="center"/>
            <w:tcMar>
              <w:top w:w="80" w:type="dxa"/>
              <w:start w:w="120" w:type="dxa"/>
              <w:bottom w:w="80" w:type="dxa"/>
              <w:end w:w="120" w:type="dxa"/>
            </w:tcMar>
          </w:tcPr>
          <w:p>
            <w:r>
              <w:rPr>
                <w:rFonts w:ascii="Arial" w:hAnsi="Arial"/>
                <w:b/>
                <w:color w:val="FFFFFF"/>
                <w:sz w:val="15"/>
              </w:rPr>
              <w:t>Primary users</w:t>
            </w:r>
          </w:p>
        </w:tc>
        <w:tc>
          <w:tcPr>
            <w:tcW w:type="dxa" w:w="5414"/>
            <w:shd w:fill="183A63"/>
            <w:vAlign w:val="center"/>
            <w:tcMar>
              <w:top w:w="80" w:type="dxa"/>
              <w:start w:w="120" w:type="dxa"/>
              <w:bottom w:w="80" w:type="dxa"/>
              <w:end w:w="120" w:type="dxa"/>
            </w:tcMar>
          </w:tcPr>
          <w:p>
            <w:r>
              <w:rPr>
                <w:rFonts w:ascii="Arial" w:hAnsi="Arial"/>
                <w:b/>
                <w:color w:val="FFFFFF"/>
                <w:sz w:val="15"/>
              </w:rPr>
              <w:t>Purpose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Learner Home</w:t>
            </w:r>
          </w:p>
        </w:tc>
        <w:tc>
          <w:tcPr>
            <w:tcW w:type="dxa" w:w="2232"/>
            <w:vAlign w:val="top"/>
            <w:tcMar>
              <w:top w:w="80" w:type="dxa"/>
              <w:start w:w="120" w:type="dxa"/>
              <w:bottom w:w="80" w:type="dxa"/>
              <w:end w:w="120" w:type="dxa"/>
            </w:tcMar>
          </w:tcPr>
          <w:p>
            <w:pPr>
              <w:spacing w:after="40" w:line="252" w:lineRule="auto"/>
            </w:pPr>
            <w:r>
              <w:rPr>
                <w:rFonts w:ascii="Arial" w:hAnsi="Arial"/>
                <w:b w:val="0"/>
                <w:color w:val="172033"/>
                <w:sz w:val="15"/>
              </w:rPr>
              <w:t>All learners</w:t>
            </w:r>
          </w:p>
        </w:tc>
        <w:tc>
          <w:tcPr>
            <w:tcW w:type="dxa" w:w="5414"/>
            <w:vAlign w:val="top"/>
            <w:tcMar>
              <w:top w:w="80" w:type="dxa"/>
              <w:start w:w="120" w:type="dxa"/>
              <w:bottom w:w="80" w:type="dxa"/>
              <w:end w:w="120" w:type="dxa"/>
            </w:tcMar>
          </w:tcPr>
          <w:p>
            <w:pPr>
              <w:spacing w:after="40" w:line="252" w:lineRule="auto"/>
            </w:pPr>
            <w:r>
              <w:rPr>
                <w:rFonts w:ascii="Arial" w:hAnsi="Arial"/>
                <w:b w:val="0"/>
                <w:color w:val="172033"/>
                <w:sz w:val="15"/>
              </w:rPr>
              <w:t>Next action, progress, deadlines, certificates and event readiness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Learning Player</w:t>
            </w:r>
          </w:p>
        </w:tc>
        <w:tc>
          <w:tcPr>
            <w:tcW w:type="dxa" w:w="2232"/>
            <w:vAlign w:val="top"/>
            <w:shd w:fill="F5F7FA"/>
            <w:tcMar>
              <w:top w:w="80" w:type="dxa"/>
              <w:start w:w="120" w:type="dxa"/>
              <w:bottom w:w="80" w:type="dxa"/>
              <w:end w:w="120" w:type="dxa"/>
            </w:tcMar>
          </w:tcPr>
          <w:p>
            <w:pPr>
              <w:spacing w:after="40" w:line="252" w:lineRule="auto"/>
            </w:pPr>
            <w:r>
              <w:rPr>
                <w:rFonts w:ascii="Arial" w:hAnsi="Arial"/>
                <w:b w:val="0"/>
                <w:color w:val="172033"/>
                <w:sz w:val="15"/>
              </w:rPr>
              <w:t>Learners</w:t>
            </w:r>
          </w:p>
        </w:tc>
        <w:tc>
          <w:tcPr>
            <w:tcW w:type="dxa" w:w="5414"/>
            <w:vAlign w:val="top"/>
            <w:shd w:fill="F5F7FA"/>
            <w:tcMar>
              <w:top w:w="80" w:type="dxa"/>
              <w:start w:w="120" w:type="dxa"/>
              <w:bottom w:w="80" w:type="dxa"/>
              <w:end w:w="120" w:type="dxa"/>
            </w:tcMar>
          </w:tcPr>
          <w:p>
            <w:pPr>
              <w:spacing w:after="40" w:line="252" w:lineRule="auto"/>
            </w:pPr>
            <w:r>
              <w:rPr>
                <w:rFonts w:ascii="Arial" w:hAnsi="Arial"/>
                <w:b w:val="0"/>
                <w:color w:val="172033"/>
                <w:sz w:val="15"/>
              </w:rPr>
              <w:t>Focused, resumable lesson and practice experience</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Assessment Runner</w:t>
            </w:r>
          </w:p>
        </w:tc>
        <w:tc>
          <w:tcPr>
            <w:tcW w:type="dxa" w:w="2232"/>
            <w:vAlign w:val="top"/>
            <w:tcMar>
              <w:top w:w="80" w:type="dxa"/>
              <w:start w:w="120" w:type="dxa"/>
              <w:bottom w:w="80" w:type="dxa"/>
              <w:end w:w="120" w:type="dxa"/>
            </w:tcMar>
          </w:tcPr>
          <w:p>
            <w:pPr>
              <w:spacing w:after="40" w:line="252" w:lineRule="auto"/>
            </w:pPr>
            <w:r>
              <w:rPr>
                <w:rFonts w:ascii="Arial" w:hAnsi="Arial"/>
                <w:b w:val="0"/>
                <w:color w:val="172033"/>
                <w:sz w:val="15"/>
              </w:rPr>
              <w:t>Learners</w:t>
            </w:r>
          </w:p>
        </w:tc>
        <w:tc>
          <w:tcPr>
            <w:tcW w:type="dxa" w:w="5414"/>
            <w:vAlign w:val="top"/>
            <w:tcMar>
              <w:top w:w="80" w:type="dxa"/>
              <w:start w:w="120" w:type="dxa"/>
              <w:bottom w:w="80" w:type="dxa"/>
              <w:end w:w="120" w:type="dxa"/>
            </w:tcMar>
          </w:tcPr>
          <w:p>
            <w:pPr>
              <w:spacing w:after="40" w:line="252" w:lineRule="auto"/>
            </w:pPr>
            <w:r>
              <w:rPr>
                <w:rFonts w:ascii="Arial" w:hAnsi="Arial"/>
                <w:b w:val="0"/>
                <w:color w:val="172033"/>
                <w:sz w:val="15"/>
              </w:rPr>
              <w:t>Secure, accessible, interruption-safe controlled attempt</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Event Briefing</w:t>
            </w:r>
          </w:p>
        </w:tc>
        <w:tc>
          <w:tcPr>
            <w:tcW w:type="dxa" w:w="2232"/>
            <w:vAlign w:val="top"/>
            <w:shd w:fill="F5F7FA"/>
            <w:tcMar>
              <w:top w:w="80" w:type="dxa"/>
              <w:start w:w="120" w:type="dxa"/>
              <w:bottom w:w="80" w:type="dxa"/>
              <w:end w:w="120" w:type="dxa"/>
            </w:tcMar>
          </w:tcPr>
          <w:p>
            <w:pPr>
              <w:spacing w:after="40" w:line="252" w:lineRule="auto"/>
            </w:pPr>
            <w:r>
              <w:rPr>
                <w:rFonts w:ascii="Arial" w:hAnsi="Arial"/>
                <w:b w:val="0"/>
                <w:color w:val="172033"/>
                <w:sz w:val="15"/>
              </w:rPr>
              <w:t>Assigned teams</w:t>
            </w:r>
          </w:p>
        </w:tc>
        <w:tc>
          <w:tcPr>
            <w:tcW w:type="dxa" w:w="5414"/>
            <w:vAlign w:val="top"/>
            <w:shd w:fill="F5F7FA"/>
            <w:tcMar>
              <w:top w:w="80" w:type="dxa"/>
              <w:start w:w="120" w:type="dxa"/>
              <w:bottom w:w="80" w:type="dxa"/>
              <w:end w:w="120" w:type="dxa"/>
            </w:tcMar>
          </w:tcPr>
          <w:p>
            <w:pPr>
              <w:spacing w:after="40" w:line="252" w:lineRule="auto"/>
            </w:pPr>
            <w:r>
              <w:rPr>
                <w:rFonts w:ascii="Arial" w:hAnsi="Arial"/>
                <w:b w:val="0"/>
                <w:color w:val="172033"/>
                <w:sz w:val="15"/>
              </w:rPr>
              <w:t>Role-specific event facts, changes, acknowledgement and readiness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Manager Workspace</w:t>
            </w:r>
          </w:p>
        </w:tc>
        <w:tc>
          <w:tcPr>
            <w:tcW w:type="dxa" w:w="2232"/>
            <w:vAlign w:val="top"/>
            <w:tcMar>
              <w:top w:w="80" w:type="dxa"/>
              <w:start w:w="120" w:type="dxa"/>
              <w:bottom w:w="80" w:type="dxa"/>
              <w:end w:w="120" w:type="dxa"/>
            </w:tcMar>
          </w:tcPr>
          <w:p>
            <w:pPr>
              <w:spacing w:after="40" w:line="252" w:lineRule="auto"/>
            </w:pPr>
            <w:r>
              <w:rPr>
                <w:rFonts w:ascii="Arial" w:hAnsi="Arial"/>
                <w:b w:val="0"/>
                <w:color w:val="172033"/>
                <w:sz w:val="15"/>
              </w:rPr>
              <w:t>Managers / leads</w:t>
            </w:r>
          </w:p>
        </w:tc>
        <w:tc>
          <w:tcPr>
            <w:tcW w:type="dxa" w:w="5414"/>
            <w:vAlign w:val="top"/>
            <w:tcMar>
              <w:top w:w="80" w:type="dxa"/>
              <w:start w:w="120" w:type="dxa"/>
              <w:bottom w:w="80" w:type="dxa"/>
              <w:end w:w="120" w:type="dxa"/>
            </w:tcMar>
          </w:tcPr>
          <w:p>
            <w:pPr>
              <w:spacing w:after="40" w:line="252" w:lineRule="auto"/>
            </w:pPr>
            <w:r>
              <w:rPr>
                <w:rFonts w:ascii="Arial" w:hAnsi="Arial"/>
                <w:b w:val="0"/>
                <w:color w:val="172033"/>
                <w:sz w:val="15"/>
              </w:rPr>
              <w:t>Team readiness, gaps, assignment and intervention</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Assessor Workspace</w:t>
            </w:r>
          </w:p>
        </w:tc>
        <w:tc>
          <w:tcPr>
            <w:tcW w:type="dxa" w:w="2232"/>
            <w:vAlign w:val="top"/>
            <w:shd w:fill="F5F7FA"/>
            <w:tcMar>
              <w:top w:w="80" w:type="dxa"/>
              <w:start w:w="120" w:type="dxa"/>
              <w:bottom w:w="80" w:type="dxa"/>
              <w:end w:w="120" w:type="dxa"/>
            </w:tcMar>
          </w:tcPr>
          <w:p>
            <w:pPr>
              <w:spacing w:after="40" w:line="252" w:lineRule="auto"/>
            </w:pPr>
            <w:r>
              <w:rPr>
                <w:rFonts w:ascii="Arial" w:hAnsi="Arial"/>
                <w:b w:val="0"/>
                <w:color w:val="172033"/>
                <w:sz w:val="15"/>
              </w:rPr>
              <w:t>Assessors</w:t>
            </w:r>
          </w:p>
        </w:tc>
        <w:tc>
          <w:tcPr>
            <w:tcW w:type="dxa" w:w="5414"/>
            <w:vAlign w:val="top"/>
            <w:shd w:fill="F5F7FA"/>
            <w:tcMar>
              <w:top w:w="80" w:type="dxa"/>
              <w:start w:w="120" w:type="dxa"/>
              <w:bottom w:w="80" w:type="dxa"/>
              <w:end w:w="120" w:type="dxa"/>
            </w:tcMar>
          </w:tcPr>
          <w:p>
            <w:pPr>
              <w:spacing w:after="40" w:line="252" w:lineRule="auto"/>
            </w:pPr>
            <w:r>
              <w:rPr>
                <w:rFonts w:ascii="Arial" w:hAnsi="Arial"/>
                <w:b w:val="0"/>
                <w:color w:val="172033"/>
                <w:sz w:val="15"/>
              </w:rPr>
              <w:t>Schedules, rubrics, evidence capture, moderation and sign-off</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Authoring Studio</w:t>
            </w:r>
          </w:p>
        </w:tc>
        <w:tc>
          <w:tcPr>
            <w:tcW w:type="dxa" w:w="2232"/>
            <w:vAlign w:val="top"/>
            <w:tcMar>
              <w:top w:w="80" w:type="dxa"/>
              <w:start w:w="120" w:type="dxa"/>
              <w:bottom w:w="80" w:type="dxa"/>
              <w:end w:w="120" w:type="dxa"/>
            </w:tcMar>
          </w:tcPr>
          <w:p>
            <w:pPr>
              <w:spacing w:after="40" w:line="252" w:lineRule="auto"/>
            </w:pPr>
            <w:r>
              <w:rPr>
                <w:rFonts w:ascii="Arial" w:hAnsi="Arial"/>
                <w:b w:val="0"/>
                <w:color w:val="172033"/>
                <w:sz w:val="15"/>
              </w:rPr>
              <w:t>Authors / reviewers</w:t>
            </w:r>
          </w:p>
        </w:tc>
        <w:tc>
          <w:tcPr>
            <w:tcW w:type="dxa" w:w="5414"/>
            <w:vAlign w:val="top"/>
            <w:tcMar>
              <w:top w:w="80" w:type="dxa"/>
              <w:start w:w="120" w:type="dxa"/>
              <w:bottom w:w="80" w:type="dxa"/>
              <w:end w:w="120" w:type="dxa"/>
            </w:tcMar>
          </w:tcPr>
          <w:p>
            <w:pPr>
              <w:spacing w:after="40" w:line="252" w:lineRule="auto"/>
            </w:pPr>
            <w:r>
              <w:rPr>
                <w:rFonts w:ascii="Arial" w:hAnsi="Arial"/>
                <w:b w:val="0"/>
                <w:color w:val="172033"/>
                <w:sz w:val="15"/>
              </w:rPr>
              <w:t>Knowledge, course and question production with traceability</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Certification Console</w:t>
            </w:r>
          </w:p>
        </w:tc>
        <w:tc>
          <w:tcPr>
            <w:tcW w:type="dxa" w:w="2232"/>
            <w:vAlign w:val="top"/>
            <w:shd w:fill="F5F7FA"/>
            <w:tcMar>
              <w:top w:w="80" w:type="dxa"/>
              <w:start w:w="120" w:type="dxa"/>
              <w:bottom w:w="80" w:type="dxa"/>
              <w:end w:w="120" w:type="dxa"/>
            </w:tcMar>
          </w:tcPr>
          <w:p>
            <w:pPr>
              <w:spacing w:after="40" w:line="252" w:lineRule="auto"/>
            </w:pPr>
            <w:r>
              <w:rPr>
                <w:rFonts w:ascii="Arial" w:hAnsi="Arial"/>
                <w:b w:val="0"/>
                <w:color w:val="172033"/>
                <w:sz w:val="15"/>
              </w:rPr>
              <w:t>Authorities</w:t>
            </w:r>
          </w:p>
        </w:tc>
        <w:tc>
          <w:tcPr>
            <w:tcW w:type="dxa" w:w="5414"/>
            <w:vAlign w:val="top"/>
            <w:shd w:fill="F5F7FA"/>
            <w:tcMar>
              <w:top w:w="80" w:type="dxa"/>
              <w:start w:w="120" w:type="dxa"/>
              <w:bottom w:w="80" w:type="dxa"/>
              <w:end w:w="120" w:type="dxa"/>
            </w:tcMar>
          </w:tcPr>
          <w:p>
            <w:pPr>
              <w:spacing w:after="40" w:line="252" w:lineRule="auto"/>
            </w:pPr>
            <w:r>
              <w:rPr>
                <w:rFonts w:ascii="Arial" w:hAnsi="Arial"/>
                <w:b w:val="0"/>
                <w:color w:val="172033"/>
                <w:sz w:val="15"/>
              </w:rPr>
              <w:t>Issue, renew, suspend, revoke and audit</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5"/>
              </w:rPr>
              <w:t>CEO Academy</w:t>
            </w:r>
          </w:p>
        </w:tc>
        <w:tc>
          <w:tcPr>
            <w:tcW w:type="dxa" w:w="2232"/>
            <w:vAlign w:val="top"/>
            <w:tcMar>
              <w:top w:w="80" w:type="dxa"/>
              <w:start w:w="120" w:type="dxa"/>
              <w:bottom w:w="80" w:type="dxa"/>
              <w:end w:w="120" w:type="dxa"/>
            </w:tcMar>
          </w:tcPr>
          <w:p>
            <w:pPr>
              <w:spacing w:after="40" w:line="252" w:lineRule="auto"/>
            </w:pPr>
            <w:r>
              <w:rPr>
                <w:rFonts w:ascii="Arial" w:hAnsi="Arial"/>
                <w:b w:val="0"/>
                <w:color w:val="172033"/>
                <w:sz w:val="15"/>
              </w:rPr>
              <w:t>CEO</w:t>
            </w:r>
          </w:p>
        </w:tc>
        <w:tc>
          <w:tcPr>
            <w:tcW w:type="dxa" w:w="5414"/>
            <w:vAlign w:val="top"/>
            <w:tcMar>
              <w:top w:w="80" w:type="dxa"/>
              <w:start w:w="120" w:type="dxa"/>
              <w:bottom w:w="80" w:type="dxa"/>
              <w:end w:w="120" w:type="dxa"/>
            </w:tcMar>
          </w:tcPr>
          <w:p>
            <w:pPr>
              <w:spacing w:after="40" w:line="252" w:lineRule="auto"/>
            </w:pPr>
            <w:r>
              <w:rPr>
                <w:rFonts w:ascii="Arial" w:hAnsi="Arial"/>
                <w:b w:val="0"/>
                <w:color w:val="172033"/>
                <w:sz w:val="15"/>
              </w:rPr>
              <w:t>Enterprise readiness, weak areas, reserved approvals and governance</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5"/>
              </w:rPr>
              <w:t>Administration</w:t>
            </w:r>
          </w:p>
        </w:tc>
        <w:tc>
          <w:tcPr>
            <w:tcW w:type="dxa" w:w="2232"/>
            <w:vAlign w:val="top"/>
            <w:shd w:fill="F5F7FA"/>
            <w:tcMar>
              <w:top w:w="80" w:type="dxa"/>
              <w:start w:w="120" w:type="dxa"/>
              <w:bottom w:w="80" w:type="dxa"/>
              <w:end w:w="120" w:type="dxa"/>
            </w:tcMar>
          </w:tcPr>
          <w:p>
            <w:pPr>
              <w:spacing w:after="40" w:line="252" w:lineRule="auto"/>
            </w:pPr>
            <w:r>
              <w:rPr>
                <w:rFonts w:ascii="Arial" w:hAnsi="Arial"/>
                <w:b w:val="0"/>
                <w:color w:val="172033"/>
                <w:sz w:val="15"/>
              </w:rPr>
              <w:t>Administrators</w:t>
            </w:r>
          </w:p>
        </w:tc>
        <w:tc>
          <w:tcPr>
            <w:tcW w:type="dxa" w:w="5414"/>
            <w:vAlign w:val="top"/>
            <w:shd w:fill="F5F7FA"/>
            <w:tcMar>
              <w:top w:w="80" w:type="dxa"/>
              <w:start w:w="120" w:type="dxa"/>
              <w:bottom w:w="80" w:type="dxa"/>
              <w:end w:w="120" w:type="dxa"/>
            </w:tcMar>
          </w:tcPr>
          <w:p>
            <w:pPr>
              <w:spacing w:after="40" w:line="252" w:lineRule="auto"/>
            </w:pPr>
            <w:r>
              <w:rPr>
                <w:rFonts w:ascii="Arial" w:hAnsi="Arial"/>
                <w:b w:val="0"/>
                <w:color w:val="172033"/>
                <w:sz w:val="15"/>
              </w:rPr>
              <w:t>Configuration, users, integrations, support and audit</w:t>
            </w:r>
          </w:p>
        </w:tc>
      </w:tr>
    </w:tbl>
    <w:p>
      <w:pPr>
        <w:spacing w:after="20"/>
      </w:pPr>
    </w:p>
    <w:p>
      <w:pPr>
        <w:pStyle w:val="Heading2"/>
      </w:pPr>
      <w:r>
        <w:t>13.2 Learner Home</w:t>
      </w:r>
    </w:p>
    <w:p>
      <w:pPr>
        <w:pStyle w:val="ListBullet"/>
      </w:pPr>
      <w:r>
        <w:t>One dominant Continue learning action</w:t>
      </w:r>
    </w:p>
    <w:p>
      <w:pPr>
        <w:pStyle w:val="ListBullet"/>
      </w:pPr>
      <w:r>
        <w:t>Required learning grouped by urgency and purpose</w:t>
      </w:r>
    </w:p>
    <w:p>
      <w:pPr>
        <w:pStyle w:val="ListBullet"/>
      </w:pPr>
      <w:r>
        <w:t>Event assignments clearly separated from permanent certification</w:t>
      </w:r>
    </w:p>
    <w:p>
      <w:pPr>
        <w:pStyle w:val="ListBullet"/>
      </w:pPr>
      <w:r>
        <w:t>Exact progress and estimated remaining effort</w:t>
      </w:r>
    </w:p>
    <w:p>
      <w:pPr>
        <w:pStyle w:val="ListBullet"/>
      </w:pPr>
      <w:r>
        <w:t>Certificate scope, validity and renewal date</w:t>
      </w:r>
    </w:p>
    <w:p>
      <w:pPr>
        <w:pStyle w:val="ListBullet"/>
      </w:pPr>
      <w:r>
        <w:t>Plain-language blocked state with the action needed</w:t>
      </w:r>
    </w:p>
    <w:p>
      <w:pPr>
        <w:pStyle w:val="ListBullet"/>
      </w:pPr>
      <w:r>
        <w:t>Recent feedback and remediation without exposing correct answers prematurely</w:t>
      </w:r>
    </w:p>
    <w:p>
      <w:pPr>
        <w:pStyle w:val="ListBullet"/>
      </w:pPr>
      <w:r>
        <w:t>Offline / poor-connection status where supported</w:t>
      </w:r>
    </w:p>
    <w:p>
      <w:pPr>
        <w:pStyle w:val="Heading2"/>
      </w:pPr>
      <w:r>
        <w:t>13.3 Learning Player</w:t>
      </w:r>
    </w:p>
    <w:p>
      <w:pPr>
        <w:spacing w:after="100"/>
      </w:pPr>
      <w:r>
        <w:rPr>
          <w:rFonts w:ascii="Arial" w:hAnsi="Arial"/>
          <w:b w:val="0"/>
          <w:i w:val="0"/>
          <w:color w:val="172033"/>
          <w:sz w:val="19"/>
        </w:rPr>
        <w:t>Use short sections, persistent progress, visible objectives, transcripts, captions, adjustable playback, keyboard support and a mobile reading width. Navigation must preserve location and never lose completed work after connection interruption. Formative checks explain reasoning after submission.</w:t>
      </w:r>
    </w:p>
    <w:p>
      <w:pPr>
        <w:pStyle w:val="Heading2"/>
      </w:pPr>
      <w:r>
        <w:t>13.4 Assessment Runner</w:t>
      </w:r>
    </w:p>
    <w:p>
      <w:pPr>
        <w:pStyle w:val="ListBullet"/>
      </w:pPr>
      <w:r>
        <w:t>Pre-flight screen showing rules, time, connectivity and accommodations</w:t>
      </w:r>
    </w:p>
    <w:p>
      <w:pPr>
        <w:pStyle w:val="ListBullet"/>
      </w:pPr>
      <w:r>
        <w:t>Server-authoritative attempt start and expiry</w:t>
      </w:r>
    </w:p>
    <w:p>
      <w:pPr>
        <w:pStyle w:val="ListBullet"/>
      </w:pPr>
      <w:r>
        <w:t>Autosave each response with visible saved state</w:t>
      </w:r>
    </w:p>
    <w:p>
      <w:pPr>
        <w:pStyle w:val="ListBullet"/>
      </w:pPr>
      <w:r>
        <w:t>Question navigator showing answered, flagged and incomplete items without revealing correctness</w:t>
      </w:r>
    </w:p>
    <w:p>
      <w:pPr>
        <w:pStyle w:val="ListBullet"/>
      </w:pPr>
      <w:r>
        <w:t>Graceful reconnect and resumable policy</w:t>
      </w:r>
    </w:p>
    <w:p>
      <w:pPr>
        <w:pStyle w:val="ListBullet"/>
      </w:pPr>
      <w:r>
        <w:t>Explicit submit review</w:t>
      </w:r>
    </w:p>
    <w:p>
      <w:pPr>
        <w:pStyle w:val="ListBullet"/>
      </w:pPr>
      <w:r>
        <w:t>Accessible keyboard and screen-reader behaviour</w:t>
      </w:r>
    </w:p>
    <w:p>
      <w:pPr>
        <w:pStyle w:val="ListBullet"/>
      </w:pPr>
      <w:r>
        <w:t>No accidental navigation loss</w:t>
      </w:r>
    </w:p>
    <w:p>
      <w:pPr>
        <w:pStyle w:val="ListBullet"/>
      </w:pPr>
      <w:r>
        <w:t>Results page showing outcome, competency feedback and next step</w:t>
      </w:r>
    </w:p>
    <w:p>
      <w:pPr>
        <w:pStyle w:val="Heading2"/>
      </w:pPr>
      <w:r>
        <w:t>13.5 Event Briefing</w:t>
      </w:r>
    </w:p>
    <w:p>
      <w:pPr>
        <w:spacing w:after="100"/>
      </w:pPr>
      <w:r>
        <w:rPr>
          <w:rFonts w:ascii="Arial" w:hAnsi="Arial"/>
          <w:b w:val="0"/>
          <w:i w:val="0"/>
          <w:color w:val="172033"/>
          <w:sz w:val="19"/>
        </w:rPr>
        <w:t>The mobile event view prioritises what changed, what this person must do, who owns escalation and what must be acknowledged. It does not present the full OS. Sensitive content is redacted by role and cannot be inferred from counts or labels.</w:t>
      </w:r>
    </w:p>
    <w:p>
      <w:pPr>
        <w:pStyle w:val="Heading2"/>
      </w:pPr>
      <w:r>
        <w:t>13.6 Manager Workspace</w:t>
      </w:r>
    </w:p>
    <w:p>
      <w:pPr>
        <w:pStyle w:val="ListBullet"/>
      </w:pPr>
      <w:r>
        <w:t>Readiness by event, role, department and person</w:t>
      </w:r>
    </w:p>
    <w:p>
      <w:pPr>
        <w:pStyle w:val="ListBullet"/>
      </w:pPr>
      <w:r>
        <w:t>People blocking coverage and the exact missing requirement</w:t>
      </w:r>
    </w:p>
    <w:p>
      <w:pPr>
        <w:pStyle w:val="ListBullet"/>
      </w:pPr>
      <w:r>
        <w:t>Role-change gap analysis and proposed enrolment</w:t>
      </w:r>
    </w:p>
    <w:p>
      <w:pPr>
        <w:pStyle w:val="ListBullet"/>
      </w:pPr>
      <w:r>
        <w:t>Expiry horizon and staffing exposure</w:t>
      </w:r>
    </w:p>
    <w:p>
      <w:pPr>
        <w:pStyle w:val="ListBullet"/>
      </w:pPr>
      <w:r>
        <w:t>Targeted reminders and interventions</w:t>
      </w:r>
    </w:p>
    <w:p>
      <w:pPr>
        <w:pStyle w:val="ListBullet"/>
      </w:pPr>
      <w:r>
        <w:t>No access to private assessment content beyond legitimate management need</w:t>
      </w:r>
    </w:p>
    <w:p>
      <w:pPr>
        <w:pStyle w:val="Heading2"/>
      </w:pPr>
      <w:r>
        <w:t>13.7 Authoring Studio</w:t>
      </w:r>
    </w:p>
    <w:p>
      <w:pPr>
        <w:spacing w:after="100"/>
      </w:pPr>
      <w:r>
        <w:rPr>
          <w:rFonts w:ascii="Arial" w:hAnsi="Arial"/>
          <w:b w:val="0"/>
          <w:i w:val="0"/>
          <w:color w:val="172033"/>
          <w:sz w:val="19"/>
        </w:rPr>
        <w:t>Authors work in structured fields with source traceability beside the content. The interface must support draft preview by learner role, compare versions, show downstream impact, run coverage checks and route content through review without requiring code changes.</w:t>
      </w:r>
    </w:p>
    <w:p>
      <w:pPr>
        <w:pStyle w:val="Heading2"/>
      </w:pPr>
      <w:r>
        <w:t>13.8 CEO Academy</w:t>
      </w:r>
    </w:p>
    <w:p>
      <w:pPr>
        <w:pStyle w:val="ListBullet"/>
      </w:pPr>
      <w:r>
        <w:t>Organisation-wide certification coverage</w:t>
      </w:r>
    </w:p>
    <w:p>
      <w:pPr>
        <w:pStyle w:val="ListBullet"/>
      </w:pPr>
      <w:r>
        <w:t>Event readiness and uncovered controlled roles</w:t>
      </w:r>
    </w:p>
    <w:p>
      <w:pPr>
        <w:pStyle w:val="ListBullet"/>
      </w:pPr>
      <w:r>
        <w:t>Critical competency weakness</w:t>
      </w:r>
    </w:p>
    <w:p>
      <w:pPr>
        <w:pStyle w:val="ListBullet"/>
      </w:pPr>
      <w:r>
        <w:t>Repeated assessment failure by topic, not public learner shaming</w:t>
      </w:r>
    </w:p>
    <w:p>
      <w:pPr>
        <w:pStyle w:val="ListBullet"/>
      </w:pPr>
      <w:r>
        <w:t>Content changes awaiting reserved approval</w:t>
      </w:r>
    </w:p>
    <w:p>
      <w:pPr>
        <w:pStyle w:val="ListBullet"/>
      </w:pPr>
      <w:r>
        <w:t>High-risk exceptions and expiring waivers</w:t>
      </w:r>
    </w:p>
    <w:p>
      <w:pPr>
        <w:pStyle w:val="ListBullet"/>
      </w:pPr>
      <w:r>
        <w:t>Incidents linked to possible training gaps</w:t>
      </w:r>
    </w:p>
    <w:p>
      <w:pPr>
        <w:pStyle w:val="ListBullet"/>
      </w:pPr>
      <w:r>
        <w:t>Academy production and integration health</w:t>
      </w:r>
    </w:p>
    <w:p>
      <w:pPr>
        <w:pStyle w:val="Heading2"/>
      </w:pPr>
      <w:r>
        <w:t>13.9 Shared UX laws</w:t>
      </w:r>
    </w:p>
    <w:p>
      <w:pPr>
        <w:pStyle w:val="ListBullet"/>
      </w:pPr>
      <w:r>
        <w:t>Mobile-first for learner and event-day surfaces</w:t>
      </w:r>
    </w:p>
    <w:p>
      <w:pPr>
        <w:pStyle w:val="ListBullet"/>
      </w:pPr>
      <w:r>
        <w:t>Desktop-optimised but responsive authoring and analytics</w:t>
      </w:r>
    </w:p>
    <w:p>
      <w:pPr>
        <w:pStyle w:val="ListBullet"/>
      </w:pPr>
      <w:r>
        <w:t>WCAG 2.2 AA target</w:t>
      </w:r>
    </w:p>
    <w:p>
      <w:pPr>
        <w:pStyle w:val="ListBullet"/>
      </w:pPr>
      <w:r>
        <w:t>Inter or equivalent modern sans serif</w:t>
      </w:r>
    </w:p>
    <w:p>
      <w:pPr>
        <w:pStyle w:val="ListBullet"/>
      </w:pPr>
      <w:r>
        <w:t>Maison Doclar obsidian, ivory and restrained gold visual system</w:t>
      </w:r>
    </w:p>
    <w:p>
      <w:pPr>
        <w:pStyle w:val="ListBullet"/>
      </w:pPr>
      <w:r>
        <w:t>No colour-only status meaning</w:t>
      </w:r>
    </w:p>
    <w:p>
      <w:pPr>
        <w:pStyle w:val="ListBullet"/>
      </w:pPr>
      <w:r>
        <w:t>Every action has loading, empty, error, stale, denied and success states</w:t>
      </w:r>
    </w:p>
    <w:p>
      <w:pPr>
        <w:pStyle w:val="ListBullet"/>
      </w:pPr>
      <w:r>
        <w:t>Destructive or authority-bearing actions require clear confirmation and consequence</w:t>
      </w:r>
    </w:p>
    <w:p>
      <w:pPr>
        <w:pStyle w:val="Heading1"/>
      </w:pPr>
      <w:r>
        <w:t>14. Intelligence, reporting and alerts</w:t>
      </w:r>
    </w:p>
    <w:p>
      <w:pPr>
        <w:pStyle w:val="Heading2"/>
      </w:pPr>
      <w:r>
        <w:t>14.1 Deterministic intelligence first</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520"/>
        <w:gridCol w:w="7358"/>
      </w:tblGrid>
      <w:tr>
        <w:trPr>
          <w:tblHeader w:val="true"/>
          <w:cantSplit/>
        </w:trPr>
        <w:tc>
          <w:tcPr>
            <w:tcW w:type="dxa" w:w="2520"/>
            <w:shd w:fill="183A63"/>
            <w:vAlign w:val="center"/>
            <w:tcMar>
              <w:top w:w="80" w:type="dxa"/>
              <w:start w:w="120" w:type="dxa"/>
              <w:bottom w:w="80" w:type="dxa"/>
              <w:end w:w="120" w:type="dxa"/>
            </w:tcMar>
          </w:tcPr>
          <w:p>
            <w:r>
              <w:rPr>
                <w:rFonts w:ascii="Arial" w:hAnsi="Arial"/>
                <w:b/>
                <w:color w:val="FFFFFF"/>
                <w:sz w:val="16"/>
              </w:rPr>
              <w:t>Signal</w:t>
            </w:r>
          </w:p>
        </w:tc>
        <w:tc>
          <w:tcPr>
            <w:tcW w:type="dxa" w:w="7358"/>
            <w:shd w:fill="183A63"/>
            <w:vAlign w:val="center"/>
            <w:tcMar>
              <w:top w:w="80" w:type="dxa"/>
              <w:start w:w="120" w:type="dxa"/>
              <w:bottom w:w="80" w:type="dxa"/>
              <w:end w:w="120" w:type="dxa"/>
            </w:tcMar>
          </w:tcPr>
          <w:p>
            <w:r>
              <w:rPr>
                <w:rFonts w:ascii="Arial" w:hAnsi="Arial"/>
                <w:b/>
                <w:color w:val="FFFFFF"/>
                <w:sz w:val="16"/>
              </w:rPr>
              <w:t>Example</w:t>
            </w:r>
          </w:p>
        </w:tc>
      </w:tr>
      <w:tr>
        <w:trPr>
          <w:cantSplit/>
        </w:trPr>
        <w:tc>
          <w:tcPr>
            <w:tcW w:type="dxa" w:w="2520"/>
            <w:vAlign w:val="top"/>
            <w:tcMar>
              <w:top w:w="80" w:type="dxa"/>
              <w:start w:w="120" w:type="dxa"/>
              <w:bottom w:w="80" w:type="dxa"/>
              <w:end w:w="120" w:type="dxa"/>
            </w:tcMar>
          </w:tcPr>
          <w:p>
            <w:pPr>
              <w:spacing w:after="40" w:line="252" w:lineRule="auto"/>
            </w:pPr>
            <w:r>
              <w:rPr>
                <w:rFonts w:ascii="Arial" w:hAnsi="Arial"/>
                <w:b/>
                <w:color w:val="172033"/>
                <w:sz w:val="16"/>
              </w:rPr>
              <w:t>Coverage gap</w:t>
            </w:r>
          </w:p>
        </w:tc>
        <w:tc>
          <w:tcPr>
            <w:tcW w:type="dxa" w:w="7358"/>
            <w:vAlign w:val="top"/>
            <w:tcMar>
              <w:top w:w="80" w:type="dxa"/>
              <w:start w:w="120" w:type="dxa"/>
              <w:bottom w:w="80" w:type="dxa"/>
              <w:end w:w="120" w:type="dxa"/>
            </w:tcMar>
          </w:tcPr>
          <w:p>
            <w:pPr>
              <w:spacing w:after="40" w:line="252" w:lineRule="auto"/>
            </w:pPr>
            <w:r>
              <w:rPr>
                <w:rFonts w:ascii="Arial" w:hAnsi="Arial"/>
                <w:b w:val="0"/>
                <w:color w:val="172033"/>
                <w:sz w:val="16"/>
              </w:rPr>
              <w:t>No event-assigned Check-in Lead has current access-control certification</w:t>
            </w:r>
          </w:p>
        </w:tc>
      </w:tr>
      <w:tr>
        <w:trPr>
          <w:cantSplit/>
        </w:trPr>
        <w:tc>
          <w:tcPr>
            <w:tcW w:type="dxa" w:w="2520"/>
            <w:vAlign w:val="top"/>
            <w:shd w:fill="F5F7FA"/>
            <w:tcMar>
              <w:top w:w="80" w:type="dxa"/>
              <w:start w:w="120" w:type="dxa"/>
              <w:bottom w:w="80" w:type="dxa"/>
              <w:end w:w="120" w:type="dxa"/>
            </w:tcMar>
          </w:tcPr>
          <w:p>
            <w:pPr>
              <w:spacing w:after="40" w:line="252" w:lineRule="auto"/>
            </w:pPr>
            <w:r>
              <w:rPr>
                <w:rFonts w:ascii="Arial" w:hAnsi="Arial"/>
                <w:b/>
                <w:color w:val="172033"/>
                <w:sz w:val="16"/>
              </w:rPr>
              <w:t>Expiry exposure</w:t>
            </w:r>
          </w:p>
        </w:tc>
        <w:tc>
          <w:tcPr>
            <w:tcW w:type="dxa" w:w="7358"/>
            <w:vAlign w:val="top"/>
            <w:shd w:fill="F5F7FA"/>
            <w:tcMar>
              <w:top w:w="80" w:type="dxa"/>
              <w:start w:w="120" w:type="dxa"/>
              <w:bottom w:w="80" w:type="dxa"/>
              <w:end w:w="120" w:type="dxa"/>
            </w:tcMar>
          </w:tcPr>
          <w:p>
            <w:pPr>
              <w:spacing w:after="40" w:line="252" w:lineRule="auto"/>
            </w:pPr>
            <w:r>
              <w:rPr>
                <w:rFonts w:ascii="Arial" w:hAnsi="Arial"/>
                <w:b w:val="0"/>
                <w:color w:val="172033"/>
                <w:sz w:val="16"/>
              </w:rPr>
              <w:t>Three staff certificates expire before the event date</w:t>
            </w:r>
          </w:p>
        </w:tc>
      </w:tr>
      <w:tr>
        <w:trPr>
          <w:cantSplit/>
        </w:trPr>
        <w:tc>
          <w:tcPr>
            <w:tcW w:type="dxa" w:w="2520"/>
            <w:vAlign w:val="top"/>
            <w:tcMar>
              <w:top w:w="80" w:type="dxa"/>
              <w:start w:w="120" w:type="dxa"/>
              <w:bottom w:w="80" w:type="dxa"/>
              <w:end w:w="120" w:type="dxa"/>
            </w:tcMar>
          </w:tcPr>
          <w:p>
            <w:pPr>
              <w:spacing w:after="40" w:line="252" w:lineRule="auto"/>
            </w:pPr>
            <w:r>
              <w:rPr>
                <w:rFonts w:ascii="Arial" w:hAnsi="Arial"/>
                <w:b/>
                <w:color w:val="172033"/>
                <w:sz w:val="16"/>
              </w:rPr>
              <w:t>Competency weakness</w:t>
            </w:r>
          </w:p>
        </w:tc>
        <w:tc>
          <w:tcPr>
            <w:tcW w:type="dxa" w:w="7358"/>
            <w:vAlign w:val="top"/>
            <w:tcMar>
              <w:top w:w="80" w:type="dxa"/>
              <w:start w:w="120" w:type="dxa"/>
              <w:bottom w:w="80" w:type="dxa"/>
              <w:end w:w="120" w:type="dxa"/>
            </w:tcMar>
          </w:tcPr>
          <w:p>
            <w:pPr>
              <w:spacing w:after="40" w:line="252" w:lineRule="auto"/>
            </w:pPr>
            <w:r>
              <w:rPr>
                <w:rFonts w:ascii="Arial" w:hAnsi="Arial"/>
                <w:b w:val="0"/>
                <w:color w:val="172033"/>
                <w:sz w:val="16"/>
              </w:rPr>
              <w:t>Protocol conflict questions fail materially above the bank baseline</w:t>
            </w:r>
          </w:p>
        </w:tc>
      </w:tr>
      <w:tr>
        <w:trPr>
          <w:cantSplit/>
        </w:trPr>
        <w:tc>
          <w:tcPr>
            <w:tcW w:type="dxa" w:w="2520"/>
            <w:vAlign w:val="top"/>
            <w:shd w:fill="F5F7FA"/>
            <w:tcMar>
              <w:top w:w="80" w:type="dxa"/>
              <w:start w:w="120" w:type="dxa"/>
              <w:bottom w:w="80" w:type="dxa"/>
              <w:end w:w="120" w:type="dxa"/>
            </w:tcMar>
          </w:tcPr>
          <w:p>
            <w:pPr>
              <w:spacing w:after="40" w:line="252" w:lineRule="auto"/>
            </w:pPr>
            <w:r>
              <w:rPr>
                <w:rFonts w:ascii="Arial" w:hAnsi="Arial"/>
                <w:b/>
                <w:color w:val="172033"/>
                <w:sz w:val="16"/>
              </w:rPr>
              <w:t>Content quality</w:t>
            </w:r>
          </w:p>
        </w:tc>
        <w:tc>
          <w:tcPr>
            <w:tcW w:type="dxa" w:w="7358"/>
            <w:vAlign w:val="top"/>
            <w:shd w:fill="F5F7FA"/>
            <w:tcMar>
              <w:top w:w="80" w:type="dxa"/>
              <w:start w:w="120" w:type="dxa"/>
              <w:bottom w:w="80" w:type="dxa"/>
              <w:end w:w="120" w:type="dxa"/>
            </w:tcMar>
          </w:tcPr>
          <w:p>
            <w:pPr>
              <w:spacing w:after="40" w:line="252" w:lineRule="auto"/>
            </w:pPr>
            <w:r>
              <w:rPr>
                <w:rFonts w:ascii="Arial" w:hAnsi="Arial"/>
                <w:b w:val="0"/>
                <w:color w:val="172033"/>
                <w:sz w:val="16"/>
              </w:rPr>
              <w:t>A question produces abnormal option selection or assessor disagreement</w:t>
            </w:r>
          </w:p>
        </w:tc>
      </w:tr>
      <w:tr>
        <w:trPr>
          <w:cantSplit/>
        </w:trPr>
        <w:tc>
          <w:tcPr>
            <w:tcW w:type="dxa" w:w="2520"/>
            <w:vAlign w:val="top"/>
            <w:tcMar>
              <w:top w:w="80" w:type="dxa"/>
              <w:start w:w="120" w:type="dxa"/>
              <w:bottom w:w="80" w:type="dxa"/>
              <w:end w:w="120" w:type="dxa"/>
            </w:tcMar>
          </w:tcPr>
          <w:p>
            <w:pPr>
              <w:spacing w:after="40" w:line="252" w:lineRule="auto"/>
            </w:pPr>
            <w:r>
              <w:rPr>
                <w:rFonts w:ascii="Arial" w:hAnsi="Arial"/>
                <w:b/>
                <w:color w:val="172033"/>
                <w:sz w:val="16"/>
              </w:rPr>
              <w:t>Operational correlation</w:t>
            </w:r>
          </w:p>
        </w:tc>
        <w:tc>
          <w:tcPr>
            <w:tcW w:type="dxa" w:w="7358"/>
            <w:vAlign w:val="top"/>
            <w:tcMar>
              <w:top w:w="80" w:type="dxa"/>
              <w:start w:w="120" w:type="dxa"/>
              <w:bottom w:w="80" w:type="dxa"/>
              <w:end w:w="120" w:type="dxa"/>
            </w:tcMar>
          </w:tcPr>
          <w:p>
            <w:pPr>
              <w:spacing w:after="40" w:line="252" w:lineRule="auto"/>
            </w:pPr>
            <w:r>
              <w:rPr>
                <w:rFonts w:ascii="Arial" w:hAnsi="Arial"/>
                <w:b w:val="0"/>
                <w:color w:val="172033"/>
                <w:sz w:val="16"/>
              </w:rPr>
              <w:t>Repeated service-recovery incidents involve the same unmastered competency</w:t>
            </w:r>
          </w:p>
        </w:tc>
      </w:tr>
      <w:tr>
        <w:trPr>
          <w:cantSplit/>
        </w:trPr>
        <w:tc>
          <w:tcPr>
            <w:tcW w:type="dxa" w:w="2520"/>
            <w:vAlign w:val="top"/>
            <w:shd w:fill="F5F7FA"/>
            <w:tcMar>
              <w:top w:w="80" w:type="dxa"/>
              <w:start w:w="120" w:type="dxa"/>
              <w:bottom w:w="80" w:type="dxa"/>
              <w:end w:w="120" w:type="dxa"/>
            </w:tcMar>
          </w:tcPr>
          <w:p>
            <w:pPr>
              <w:spacing w:after="40" w:line="252" w:lineRule="auto"/>
            </w:pPr>
            <w:r>
              <w:rPr>
                <w:rFonts w:ascii="Arial" w:hAnsi="Arial"/>
                <w:b/>
                <w:color w:val="172033"/>
                <w:sz w:val="16"/>
              </w:rPr>
              <w:t>Integration exception</w:t>
            </w:r>
          </w:p>
        </w:tc>
        <w:tc>
          <w:tcPr>
            <w:tcW w:type="dxa" w:w="7358"/>
            <w:vAlign w:val="top"/>
            <w:shd w:fill="F5F7FA"/>
            <w:tcMar>
              <w:top w:w="80" w:type="dxa"/>
              <w:start w:w="120" w:type="dxa"/>
              <w:bottom w:w="80" w:type="dxa"/>
              <w:end w:w="120" w:type="dxa"/>
            </w:tcMar>
          </w:tcPr>
          <w:p>
            <w:pPr>
              <w:spacing w:after="40" w:line="252" w:lineRule="auto"/>
            </w:pPr>
            <w:r>
              <w:rPr>
                <w:rFonts w:ascii="Arial" w:hAnsi="Arial"/>
                <w:b w:val="0"/>
                <w:color w:val="172033"/>
                <w:sz w:val="16"/>
              </w:rPr>
              <w:t>MD-EOS assignment version exceeds the Academy package version</w:t>
            </w:r>
          </w:p>
        </w:tc>
      </w:tr>
      <w:tr>
        <w:trPr>
          <w:cantSplit/>
        </w:trPr>
        <w:tc>
          <w:tcPr>
            <w:tcW w:type="dxa" w:w="2520"/>
            <w:vAlign w:val="top"/>
            <w:tcMar>
              <w:top w:w="80" w:type="dxa"/>
              <w:start w:w="120" w:type="dxa"/>
              <w:bottom w:w="80" w:type="dxa"/>
              <w:end w:w="120" w:type="dxa"/>
            </w:tcMar>
          </w:tcPr>
          <w:p>
            <w:pPr>
              <w:spacing w:after="40" w:line="252" w:lineRule="auto"/>
            </w:pPr>
            <w:r>
              <w:rPr>
                <w:rFonts w:ascii="Arial" w:hAnsi="Arial"/>
                <w:b/>
                <w:color w:val="172033"/>
                <w:sz w:val="16"/>
              </w:rPr>
              <w:t>Governance exception</w:t>
            </w:r>
          </w:p>
        </w:tc>
        <w:tc>
          <w:tcPr>
            <w:tcW w:type="dxa" w:w="7358"/>
            <w:vAlign w:val="top"/>
            <w:tcMar>
              <w:top w:w="80" w:type="dxa"/>
              <w:start w:w="120" w:type="dxa"/>
              <w:bottom w:w="80" w:type="dxa"/>
              <w:end w:w="120" w:type="dxa"/>
            </w:tcMar>
          </w:tcPr>
          <w:p>
            <w:pPr>
              <w:spacing w:after="40" w:line="252" w:lineRule="auto"/>
            </w:pPr>
            <w:r>
              <w:rPr>
                <w:rFonts w:ascii="Arial" w:hAnsi="Arial"/>
                <w:b w:val="0"/>
                <w:color w:val="172033"/>
                <w:sz w:val="16"/>
              </w:rPr>
              <w:t>Published module has superseded critical knowledge without reassignment</w:t>
            </w:r>
          </w:p>
        </w:tc>
      </w:tr>
    </w:tbl>
    <w:p>
      <w:pPr>
        <w:spacing w:after="20"/>
      </w:pPr>
    </w:p>
    <w:p>
      <w:pPr>
        <w:pStyle w:val="Heading2"/>
      </w:pPr>
      <w:r>
        <w:t>14.2 AI boundary</w:t>
      </w:r>
    </w:p>
    <w:p>
      <w:pPr>
        <w:spacing w:after="100"/>
      </w:pPr>
      <w:r>
        <w:rPr>
          <w:rFonts w:ascii="Arial" w:hAnsi="Arial"/>
          <w:b w:val="0"/>
          <w:i w:val="0"/>
          <w:color w:val="172033"/>
          <w:sz w:val="19"/>
        </w:rPr>
        <w:t>AI may help draft summaries, suggest questions, cluster free-text feedback and identify possible gaps. Every output is labelled, grounded in approved content, reviewed by an authorised human and excluded from certificate issuance unless converted into an approved deterministic rule or human decision. AI does not invent answers, determine subjective practical competence or override critical failures.</w:t>
      </w:r>
    </w:p>
    <w:p>
      <w:pPr>
        <w:pStyle w:val="Heading2"/>
      </w:pPr>
      <w:r>
        <w:t>14.3 Reporting safeguards</w:t>
      </w:r>
    </w:p>
    <w:p>
      <w:pPr>
        <w:pStyle w:val="ListBullet"/>
      </w:pPr>
      <w:r>
        <w:t>Minimum cohort thresholds before comparative reporting</w:t>
      </w:r>
    </w:p>
    <w:p>
      <w:pPr>
        <w:pStyle w:val="ListBullet"/>
      </w:pPr>
      <w:r>
        <w:t>No unnecessary ranking of individual learners</w:t>
      </w:r>
    </w:p>
    <w:p>
      <w:pPr>
        <w:pStyle w:val="ListBullet"/>
      </w:pPr>
      <w:r>
        <w:t>Confidence and sample-size display</w:t>
      </w:r>
    </w:p>
    <w:p>
      <w:pPr>
        <w:pStyle w:val="ListBullet"/>
      </w:pPr>
      <w:r>
        <w:t>Separate learning difficulty from bad question quality</w:t>
      </w:r>
    </w:p>
    <w:p>
      <w:pPr>
        <w:pStyle w:val="ListBullet"/>
      </w:pPr>
      <w:r>
        <w:t>Role and opportunity context before performance conclusions</w:t>
      </w:r>
    </w:p>
    <w:p>
      <w:pPr>
        <w:pStyle w:val="ListBullet"/>
      </w:pPr>
      <w:r>
        <w:t>Restricted access to written responses and assessor notes</w:t>
      </w:r>
    </w:p>
    <w:p>
      <w:pPr>
        <w:pStyle w:val="Heading1"/>
      </w:pPr>
      <w:r>
        <w:t>15. Content governance and versioning</w:t>
      </w:r>
    </w:p>
    <w:p>
      <w:pPr>
        <w:pStyle w:val="Heading2"/>
      </w:pPr>
      <w:r>
        <w:t>15.1 Lifecycle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7934"/>
      </w:tblGrid>
      <w:tr>
        <w:trPr>
          <w:tblHeader w:val="true"/>
          <w:cantSplit/>
        </w:trPr>
        <w:tc>
          <w:tcPr>
            <w:tcW w:type="dxa" w:w="1944"/>
            <w:shd w:fill="183A63"/>
            <w:vAlign w:val="center"/>
            <w:tcMar>
              <w:top w:w="80" w:type="dxa"/>
              <w:start w:w="120" w:type="dxa"/>
              <w:bottom w:w="80" w:type="dxa"/>
              <w:end w:w="120" w:type="dxa"/>
            </w:tcMar>
          </w:tcPr>
          <w:p>
            <w:r>
              <w:rPr>
                <w:rFonts w:ascii="Arial" w:hAnsi="Arial"/>
                <w:b/>
                <w:color w:val="FFFFFF"/>
                <w:sz w:val="16"/>
              </w:rPr>
              <w:t>State</w:t>
            </w:r>
          </w:p>
        </w:tc>
        <w:tc>
          <w:tcPr>
            <w:tcW w:type="dxa" w:w="7934"/>
            <w:shd w:fill="183A63"/>
            <w:vAlign w:val="center"/>
            <w:tcMar>
              <w:top w:w="80" w:type="dxa"/>
              <w:start w:w="120" w:type="dxa"/>
              <w:bottom w:w="80" w:type="dxa"/>
              <w:end w:w="120" w:type="dxa"/>
            </w:tcMar>
          </w:tcPr>
          <w:p>
            <w:r>
              <w:rPr>
                <w:rFonts w:ascii="Arial" w:hAnsi="Arial"/>
                <w:b/>
                <w:color w:val="FFFFFF"/>
                <w:sz w:val="16"/>
              </w:rPr>
              <w:t>Permitted meaning</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6"/>
              </w:rPr>
              <w:t>Draft</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6"/>
              </w:rPr>
              <w:t>Editable working content; never assignable</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6"/>
              </w:rPr>
              <w:t>In review</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6"/>
              </w:rPr>
              <w:t>Locked for review; findings recorded</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6"/>
              </w:rPr>
              <w:t>Approved</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6"/>
              </w:rPr>
              <w:t>Approved but not yet effective</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6"/>
              </w:rPr>
              <w:t>Published</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6"/>
              </w:rPr>
              <w:t>Effective and assignable</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6"/>
              </w:rPr>
              <w:t>Superseded</w:t>
            </w:r>
          </w:p>
        </w:tc>
        <w:tc>
          <w:tcPr>
            <w:tcW w:type="dxa" w:w="7934"/>
            <w:vAlign w:val="top"/>
            <w:tcMar>
              <w:top w:w="80" w:type="dxa"/>
              <w:start w:w="120" w:type="dxa"/>
              <w:bottom w:w="80" w:type="dxa"/>
              <w:end w:w="120" w:type="dxa"/>
            </w:tcMar>
          </w:tcPr>
          <w:p>
            <w:pPr>
              <w:spacing w:after="40" w:line="252" w:lineRule="auto"/>
            </w:pPr>
            <w:r>
              <w:rPr>
                <w:rFonts w:ascii="Arial" w:hAnsi="Arial"/>
                <w:b w:val="0"/>
                <w:color w:val="172033"/>
                <w:sz w:val="16"/>
              </w:rPr>
              <w:t>Historic; replaced by a newer version</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6"/>
              </w:rPr>
              <w:t>Retired</w:t>
            </w:r>
          </w:p>
        </w:tc>
        <w:tc>
          <w:tcPr>
            <w:tcW w:type="dxa" w:w="7934"/>
            <w:vAlign w:val="top"/>
            <w:shd w:fill="F5F7FA"/>
            <w:tcMar>
              <w:top w:w="80" w:type="dxa"/>
              <w:start w:w="120" w:type="dxa"/>
              <w:bottom w:w="80" w:type="dxa"/>
              <w:end w:w="120" w:type="dxa"/>
            </w:tcMar>
          </w:tcPr>
          <w:p>
            <w:pPr>
              <w:spacing w:after="40" w:line="252" w:lineRule="auto"/>
            </w:pPr>
            <w:r>
              <w:rPr>
                <w:rFonts w:ascii="Arial" w:hAnsi="Arial"/>
                <w:b w:val="0"/>
                <w:color w:val="172033"/>
                <w:sz w:val="16"/>
              </w:rPr>
              <w:t>No longer used; retained for audit</w:t>
            </w:r>
          </w:p>
        </w:tc>
      </w:tr>
    </w:tbl>
    <w:p>
      <w:pPr>
        <w:spacing w:after="20"/>
      </w:pPr>
    </w:p>
    <w:p>
      <w:pPr>
        <w:pStyle w:val="Heading2"/>
      </w:pPr>
      <w:r>
        <w:t>15.2 Material change test</w:t>
      </w:r>
    </w:p>
    <w:p>
      <w:pPr>
        <w:spacing w:after="100"/>
      </w:pPr>
      <w:r>
        <w:rPr>
          <w:rFonts w:ascii="Arial" w:hAnsi="Arial"/>
          <w:b w:val="0"/>
          <w:i w:val="0"/>
          <w:color w:val="172033"/>
          <w:sz w:val="19"/>
        </w:rPr>
        <w:t>A change is material when it alters required behaviour, authority, safety, privacy, scoring, correct answers, certification validity or event-readiness logic. Material changes require impact analysis, fresh approval, a new version and a reassignment decision.</w:t>
      </w:r>
    </w:p>
    <w:p>
      <w:pPr>
        <w:pStyle w:val="Heading2"/>
      </w:pPr>
      <w:r>
        <w:t>15.3 Publication gate</w:t>
      </w:r>
    </w:p>
    <w:p>
      <w:pPr>
        <w:pStyle w:val="ListBullet"/>
      </w:pPr>
      <w:r>
        <w:t>Source traceability complete</w:t>
      </w:r>
    </w:p>
    <w:p>
      <w:pPr>
        <w:pStyle w:val="ListBullet"/>
      </w:pPr>
      <w:r>
        <w:t>Learning objectives covered</w:t>
      </w:r>
    </w:p>
    <w:p>
      <w:pPr>
        <w:pStyle w:val="ListBullet"/>
      </w:pPr>
      <w:r>
        <w:t>Role and geographic applicability confirmed</w:t>
      </w:r>
    </w:p>
    <w:p>
      <w:pPr>
        <w:pStyle w:val="ListBullet"/>
      </w:pPr>
      <w:r>
        <w:t>Criticality reviewed</w:t>
      </w:r>
    </w:p>
    <w:p>
      <w:pPr>
        <w:pStyle w:val="ListBullet"/>
      </w:pPr>
      <w:r>
        <w:t>Accessibility checks passed</w:t>
      </w:r>
    </w:p>
    <w:p>
      <w:pPr>
        <w:pStyle w:val="ListBullet"/>
      </w:pPr>
      <w:r>
        <w:t>Assessment coverage sufficient</w:t>
      </w:r>
    </w:p>
    <w:p>
      <w:pPr>
        <w:pStyle w:val="ListBullet"/>
      </w:pPr>
      <w:r>
        <w:t>Answers and rubrics independently reviewed</w:t>
      </w:r>
    </w:p>
    <w:p>
      <w:pPr>
        <w:pStyle w:val="ListBullet"/>
      </w:pPr>
      <w:r>
        <w:t>Privacy classification complete</w:t>
      </w:r>
    </w:p>
    <w:p>
      <w:pPr>
        <w:pStyle w:val="ListBullet"/>
      </w:pPr>
      <w:r>
        <w:t>Impact and reassignment decision recorded</w:t>
      </w:r>
    </w:p>
    <w:p>
      <w:pPr>
        <w:pStyle w:val="ListBullet"/>
      </w:pPr>
      <w:r>
        <w:t>Author and approver separation satisfied</w:t>
      </w:r>
    </w:p>
    <w:p>
      <w:pPr>
        <w:pStyle w:val="Heading1"/>
      </w:pPr>
      <w:r>
        <w:t>16. Security, privacy and assessment integrity</w:t>
      </w:r>
    </w:p>
    <w:p>
      <w:pPr>
        <w:pStyle w:val="Heading2"/>
      </w:pPr>
      <w:r>
        <w:t>16.1 Data classification</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1944"/>
        <w:gridCol w:w="3960"/>
        <w:gridCol w:w="3974"/>
      </w:tblGrid>
      <w:tr>
        <w:trPr>
          <w:tblHeader w:val="true"/>
          <w:cantSplit/>
        </w:trPr>
        <w:tc>
          <w:tcPr>
            <w:tcW w:type="dxa" w:w="1944"/>
            <w:shd w:fill="183A63"/>
            <w:vAlign w:val="center"/>
            <w:tcMar>
              <w:top w:w="80" w:type="dxa"/>
              <w:start w:w="120" w:type="dxa"/>
              <w:bottom w:w="80" w:type="dxa"/>
              <w:end w:w="120" w:type="dxa"/>
            </w:tcMar>
          </w:tcPr>
          <w:p>
            <w:r>
              <w:rPr>
                <w:rFonts w:ascii="Arial" w:hAnsi="Arial"/>
                <w:b/>
                <w:color w:val="FFFFFF"/>
                <w:sz w:val="15"/>
              </w:rPr>
              <w:t>Class</w:t>
            </w:r>
          </w:p>
        </w:tc>
        <w:tc>
          <w:tcPr>
            <w:tcW w:type="dxa" w:w="3960"/>
            <w:shd w:fill="183A63"/>
            <w:vAlign w:val="center"/>
            <w:tcMar>
              <w:top w:w="80" w:type="dxa"/>
              <w:start w:w="120" w:type="dxa"/>
              <w:bottom w:w="80" w:type="dxa"/>
              <w:end w:w="120" w:type="dxa"/>
            </w:tcMar>
          </w:tcPr>
          <w:p>
            <w:r>
              <w:rPr>
                <w:rFonts w:ascii="Arial" w:hAnsi="Arial"/>
                <w:b/>
                <w:color w:val="FFFFFF"/>
                <w:sz w:val="15"/>
              </w:rPr>
              <w:t>Examples</w:t>
            </w:r>
          </w:p>
        </w:tc>
        <w:tc>
          <w:tcPr>
            <w:tcW w:type="dxa" w:w="3974"/>
            <w:shd w:fill="183A63"/>
            <w:vAlign w:val="center"/>
            <w:tcMar>
              <w:top w:w="80" w:type="dxa"/>
              <w:start w:w="120" w:type="dxa"/>
              <w:bottom w:w="80" w:type="dxa"/>
              <w:end w:w="120" w:type="dxa"/>
            </w:tcMar>
          </w:tcPr>
          <w:p>
            <w:r>
              <w:rPr>
                <w:rFonts w:ascii="Arial" w:hAnsi="Arial"/>
                <w:b/>
                <w:color w:val="FFFFFF"/>
                <w:sz w:val="15"/>
              </w:rPr>
              <w:t>Default handling</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Internal</w:t>
            </w:r>
          </w:p>
        </w:tc>
        <w:tc>
          <w:tcPr>
            <w:tcW w:type="dxa" w:w="3960"/>
            <w:vAlign w:val="top"/>
            <w:tcMar>
              <w:top w:w="80" w:type="dxa"/>
              <w:start w:w="120" w:type="dxa"/>
              <w:bottom w:w="80" w:type="dxa"/>
              <w:end w:w="120" w:type="dxa"/>
            </w:tcMar>
          </w:tcPr>
          <w:p>
            <w:pPr>
              <w:spacing w:after="40" w:line="252" w:lineRule="auto"/>
            </w:pPr>
            <w:r>
              <w:rPr>
                <w:rFonts w:ascii="Arial" w:hAnsi="Arial"/>
                <w:b w:val="0"/>
                <w:color w:val="172033"/>
                <w:sz w:val="15"/>
              </w:rPr>
              <w:t>General doctrine and ordinary course material</w:t>
            </w:r>
          </w:p>
        </w:tc>
        <w:tc>
          <w:tcPr>
            <w:tcW w:type="dxa" w:w="3974"/>
            <w:vAlign w:val="top"/>
            <w:tcMar>
              <w:top w:w="80" w:type="dxa"/>
              <w:start w:w="120" w:type="dxa"/>
              <w:bottom w:w="80" w:type="dxa"/>
              <w:end w:w="120" w:type="dxa"/>
            </w:tcMar>
          </w:tcPr>
          <w:p>
            <w:pPr>
              <w:spacing w:after="40" w:line="252" w:lineRule="auto"/>
            </w:pPr>
            <w:r>
              <w:rPr>
                <w:rFonts w:ascii="Arial" w:hAnsi="Arial"/>
                <w:b w:val="0"/>
                <w:color w:val="172033"/>
                <w:sz w:val="15"/>
              </w:rPr>
              <w:t>Authenticated organisation access</w:t>
            </w:r>
          </w:p>
        </w:tc>
      </w:tr>
      <w:tr>
        <w:trPr>
          <w:cantSplit/>
        </w:trPr>
        <w:tc>
          <w:tcPr>
            <w:tcW w:type="dxa" w:w="1944"/>
            <w:vAlign w:val="top"/>
            <w:shd w:fill="F5F7FA"/>
            <w:tcMar>
              <w:top w:w="80" w:type="dxa"/>
              <w:start w:w="120" w:type="dxa"/>
              <w:bottom w:w="80" w:type="dxa"/>
              <w:end w:w="120" w:type="dxa"/>
            </w:tcMar>
          </w:tcPr>
          <w:p>
            <w:pPr>
              <w:spacing w:after="40" w:line="252" w:lineRule="auto"/>
            </w:pPr>
            <w:r>
              <w:rPr>
                <w:rFonts w:ascii="Arial" w:hAnsi="Arial"/>
                <w:b/>
                <w:color w:val="172033"/>
                <w:sz w:val="15"/>
              </w:rPr>
              <w:t>Restricted</w:t>
            </w:r>
          </w:p>
        </w:tc>
        <w:tc>
          <w:tcPr>
            <w:tcW w:type="dxa" w:w="3960"/>
            <w:vAlign w:val="top"/>
            <w:shd w:fill="F5F7FA"/>
            <w:tcMar>
              <w:top w:w="80" w:type="dxa"/>
              <w:start w:w="120" w:type="dxa"/>
              <w:bottom w:w="80" w:type="dxa"/>
              <w:end w:w="120" w:type="dxa"/>
            </w:tcMar>
          </w:tcPr>
          <w:p>
            <w:pPr>
              <w:spacing w:after="40" w:line="252" w:lineRule="auto"/>
            </w:pPr>
            <w:r>
              <w:rPr>
                <w:rFonts w:ascii="Arial" w:hAnsi="Arial"/>
                <w:b w:val="0"/>
                <w:color w:val="172033"/>
                <w:sz w:val="15"/>
              </w:rPr>
              <w:t>Assessment banks, learner results and event briefings</w:t>
            </w:r>
          </w:p>
        </w:tc>
        <w:tc>
          <w:tcPr>
            <w:tcW w:type="dxa" w:w="3974"/>
            <w:vAlign w:val="top"/>
            <w:shd w:fill="F5F7FA"/>
            <w:tcMar>
              <w:top w:w="80" w:type="dxa"/>
              <w:start w:w="120" w:type="dxa"/>
              <w:bottom w:w="80" w:type="dxa"/>
              <w:end w:w="120" w:type="dxa"/>
            </w:tcMar>
          </w:tcPr>
          <w:p>
            <w:pPr>
              <w:spacing w:after="40" w:line="252" w:lineRule="auto"/>
            </w:pPr>
            <w:r>
              <w:rPr>
                <w:rFonts w:ascii="Arial" w:hAnsi="Arial"/>
                <w:b w:val="0"/>
                <w:color w:val="172033"/>
                <w:sz w:val="15"/>
              </w:rPr>
              <w:t>Role-scoped access, audit and protected export</w:t>
            </w:r>
          </w:p>
        </w:tc>
      </w:tr>
      <w:tr>
        <w:trPr>
          <w:cantSplit/>
        </w:trPr>
        <w:tc>
          <w:tcPr>
            <w:tcW w:type="dxa" w:w="1944"/>
            <w:vAlign w:val="top"/>
            <w:tcMar>
              <w:top w:w="80" w:type="dxa"/>
              <w:start w:w="120" w:type="dxa"/>
              <w:bottom w:w="80" w:type="dxa"/>
              <w:end w:w="120" w:type="dxa"/>
            </w:tcMar>
          </w:tcPr>
          <w:p>
            <w:pPr>
              <w:spacing w:after="40" w:line="252" w:lineRule="auto"/>
            </w:pPr>
            <w:r>
              <w:rPr>
                <w:rFonts w:ascii="Arial" w:hAnsi="Arial"/>
                <w:b/>
                <w:color w:val="172033"/>
                <w:sz w:val="15"/>
              </w:rPr>
              <w:t>Highly restricted</w:t>
            </w:r>
          </w:p>
        </w:tc>
        <w:tc>
          <w:tcPr>
            <w:tcW w:type="dxa" w:w="3960"/>
            <w:vAlign w:val="top"/>
            <w:tcMar>
              <w:top w:w="80" w:type="dxa"/>
              <w:start w:w="120" w:type="dxa"/>
              <w:bottom w:w="80" w:type="dxa"/>
              <w:end w:w="120" w:type="dxa"/>
            </w:tcMar>
          </w:tcPr>
          <w:p>
            <w:pPr>
              <w:spacing w:after="40" w:line="252" w:lineRule="auto"/>
            </w:pPr>
            <w:r>
              <w:rPr>
                <w:rFonts w:ascii="Arial" w:hAnsi="Arial"/>
                <w:b w:val="0"/>
                <w:color w:val="172033"/>
                <w:sz w:val="15"/>
              </w:rPr>
              <w:t>Biometric training, safeguarding records, high-status guest procedures</w:t>
            </w:r>
          </w:p>
        </w:tc>
        <w:tc>
          <w:tcPr>
            <w:tcW w:type="dxa" w:w="3974"/>
            <w:vAlign w:val="top"/>
            <w:tcMar>
              <w:top w:w="80" w:type="dxa"/>
              <w:start w:w="120" w:type="dxa"/>
              <w:bottom w:w="80" w:type="dxa"/>
              <w:end w:w="120" w:type="dxa"/>
            </w:tcMar>
          </w:tcPr>
          <w:p>
            <w:pPr>
              <w:spacing w:after="40" w:line="252" w:lineRule="auto"/>
            </w:pPr>
            <w:r>
              <w:rPr>
                <w:rFonts w:ascii="Arial" w:hAnsi="Arial"/>
                <w:b w:val="0"/>
                <w:color w:val="172033"/>
                <w:sz w:val="15"/>
              </w:rPr>
              <w:t>Explicit grant, minimal display, strong audit and short retention where lawful</w:t>
            </w:r>
          </w:p>
        </w:tc>
      </w:tr>
    </w:tbl>
    <w:p>
      <w:pPr>
        <w:spacing w:after="20"/>
      </w:pPr>
    </w:p>
    <w:p>
      <w:pPr>
        <w:pStyle w:val="Heading2"/>
      </w:pPr>
      <w:r>
        <w:t>16.2 Security controls</w:t>
      </w:r>
    </w:p>
    <w:p>
      <w:pPr>
        <w:pStyle w:val="ListBullet"/>
      </w:pPr>
      <w:r>
        <w:t>Single sign-on and MFA for privileged roles</w:t>
      </w:r>
    </w:p>
    <w:p>
      <w:pPr>
        <w:pStyle w:val="ListBullet"/>
      </w:pPr>
      <w:r>
        <w:t>Server-side tenant and resource authorisation</w:t>
      </w:r>
    </w:p>
    <w:p>
      <w:pPr>
        <w:pStyle w:val="ListBullet"/>
      </w:pPr>
      <w:r>
        <w:t>Encryption in transit and at rest</w:t>
      </w:r>
    </w:p>
    <w:p>
      <w:pPr>
        <w:pStyle w:val="ListBullet"/>
      </w:pPr>
      <w:r>
        <w:t>Secret management outside source control</w:t>
      </w:r>
    </w:p>
    <w:p>
      <w:pPr>
        <w:pStyle w:val="ListBullet"/>
      </w:pPr>
      <w:r>
        <w:t>Rate limiting and bot protection</w:t>
      </w:r>
    </w:p>
    <w:p>
      <w:pPr>
        <w:pStyle w:val="ListBullet"/>
      </w:pPr>
      <w:r>
        <w:t>Immutable audit trail for results and approvals</w:t>
      </w:r>
    </w:p>
    <w:p>
      <w:pPr>
        <w:pStyle w:val="ListBullet"/>
      </w:pPr>
      <w:r>
        <w:t>Secure file scanning and signed download access</w:t>
      </w:r>
    </w:p>
    <w:p>
      <w:pPr>
        <w:pStyle w:val="ListBullet"/>
      </w:pPr>
      <w:r>
        <w:t>Session revocation and device-aware controls</w:t>
      </w:r>
    </w:p>
    <w:p>
      <w:pPr>
        <w:pStyle w:val="ListBullet"/>
      </w:pPr>
      <w:r>
        <w:t>Backups with tested restoration</w:t>
      </w:r>
    </w:p>
    <w:p>
      <w:pPr>
        <w:pStyle w:val="ListBullet"/>
      </w:pPr>
      <w:r>
        <w:t>Dependency and vulnerability management</w:t>
      </w:r>
    </w:p>
    <w:p>
      <w:pPr>
        <w:pStyle w:val="Heading2"/>
      </w:pPr>
      <w:r>
        <w:t>16.3 Assessment integrity</w:t>
      </w:r>
    </w:p>
    <w:p>
      <w:pPr>
        <w:pStyle w:val="ListBullet"/>
      </w:pPr>
      <w:r>
        <w:t>Bank access separate from ordinary administration</w:t>
      </w:r>
    </w:p>
    <w:p>
      <w:pPr>
        <w:pStyle w:val="ListBullet"/>
      </w:pPr>
      <w:r>
        <w:t>No correct-answer payload before permitted feedback</w:t>
      </w:r>
    </w:p>
    <w:p>
      <w:pPr>
        <w:pStyle w:val="ListBullet"/>
      </w:pPr>
      <w:r>
        <w:t>Attempt-specific form snapshots</w:t>
      </w:r>
    </w:p>
    <w:p>
      <w:pPr>
        <w:pStyle w:val="ListBullet"/>
      </w:pPr>
      <w:r>
        <w:t>Randomisation and exposure monitoring</w:t>
      </w:r>
    </w:p>
    <w:p>
      <w:pPr>
        <w:pStyle w:val="ListBullet"/>
      </w:pPr>
      <w:r>
        <w:t>Time and submission controlled on the server</w:t>
      </w:r>
    </w:p>
    <w:p>
      <w:pPr>
        <w:pStyle w:val="ListBullet"/>
      </w:pPr>
      <w:r>
        <w:t>Suspicious-event logging with human review</w:t>
      </w:r>
    </w:p>
    <w:p>
      <w:pPr>
        <w:pStyle w:val="ListBullet"/>
      </w:pPr>
      <w:r>
        <w:t>No automatic allegation or punishment from telemetry alone</w:t>
      </w:r>
    </w:p>
    <w:p>
      <w:pPr>
        <w:pStyle w:val="ListBullet"/>
      </w:pPr>
      <w:r>
        <w:t>Accommodation support without weakening learning outcomes</w:t>
      </w:r>
    </w:p>
    <w:p>
      <w:pPr>
        <w:pStyle w:val="Heading2"/>
      </w:pPr>
      <w:r>
        <w:t>16.4 Privacy rules</w:t>
      </w:r>
    </w:p>
    <w:p>
      <w:pPr>
        <w:spacing w:after="100"/>
      </w:pPr>
      <w:r>
        <w:rPr>
          <w:rFonts w:ascii="Arial" w:hAnsi="Arial"/>
          <w:b w:val="0"/>
          <w:i w:val="0"/>
          <w:color w:val="172033"/>
          <w:sz w:val="19"/>
        </w:rPr>
        <w:t>Collect only data needed for learning, competence and governance. Define retention by record class and jurisdiction. Subject-access, correction and deletion workflows must preserve legally necessary audit records while removing unnecessary personal content. Staff analytics must not become covert surveillance.</w:t>
      </w:r>
    </w:p>
    <w:p>
      <w:pPr>
        <w:pStyle w:val="Heading1"/>
      </w:pPr>
      <w:r>
        <w:t>17. Reliability and operations</w:t>
      </w:r>
    </w:p>
    <w:p>
      <w:pPr>
        <w:pStyle w:val="Heading2"/>
      </w:pPr>
      <w:r>
        <w:t>17.1 Service objectives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880"/>
        <w:gridCol w:w="6998"/>
      </w:tblGrid>
      <w:tr>
        <w:trPr>
          <w:tblHeader w:val="true"/>
          <w:cantSplit/>
        </w:trPr>
        <w:tc>
          <w:tcPr>
            <w:tcW w:type="dxa" w:w="2880"/>
            <w:shd w:fill="183A63"/>
            <w:vAlign w:val="center"/>
            <w:tcMar>
              <w:top w:w="80" w:type="dxa"/>
              <w:start w:w="120" w:type="dxa"/>
              <w:bottom w:w="80" w:type="dxa"/>
              <w:end w:w="120" w:type="dxa"/>
            </w:tcMar>
          </w:tcPr>
          <w:p>
            <w:r>
              <w:rPr>
                <w:rFonts w:ascii="Arial" w:hAnsi="Arial"/>
                <w:b/>
                <w:color w:val="FFFFFF"/>
                <w:sz w:val="16"/>
              </w:rPr>
              <w:t>Capability</w:t>
            </w:r>
          </w:p>
        </w:tc>
        <w:tc>
          <w:tcPr>
            <w:tcW w:type="dxa" w:w="6998"/>
            <w:shd w:fill="183A63"/>
            <w:vAlign w:val="center"/>
            <w:tcMar>
              <w:top w:w="80" w:type="dxa"/>
              <w:start w:w="120" w:type="dxa"/>
              <w:bottom w:w="80" w:type="dxa"/>
              <w:end w:w="120" w:type="dxa"/>
            </w:tcMar>
          </w:tcPr>
          <w:p>
            <w:r>
              <w:rPr>
                <w:rFonts w:ascii="Arial" w:hAnsi="Arial"/>
                <w:b/>
                <w:color w:val="FFFFFF"/>
                <w:sz w:val="16"/>
              </w:rPr>
              <w:t>Production expectation</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Learning and progress</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No acknowledged completion lost</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Assessment</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Every saved response durable; result reproducible</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Certificate verification</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Available during staffing and event-readiness decisions</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Event package ingestion</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Retryable, idempotent and reconcilable</w:t>
            </w:r>
          </w:p>
        </w:tc>
      </w:tr>
      <w:tr>
        <w:trPr>
          <w:cantSplit/>
        </w:trPr>
        <w:tc>
          <w:tcPr>
            <w:tcW w:type="dxa" w:w="2880"/>
            <w:vAlign w:val="top"/>
            <w:tcMar>
              <w:top w:w="80" w:type="dxa"/>
              <w:start w:w="120" w:type="dxa"/>
              <w:bottom w:w="80" w:type="dxa"/>
              <w:end w:w="120" w:type="dxa"/>
            </w:tcMar>
          </w:tcPr>
          <w:p>
            <w:pPr>
              <w:spacing w:after="40" w:line="252" w:lineRule="auto"/>
            </w:pPr>
            <w:r>
              <w:rPr>
                <w:rFonts w:ascii="Arial" w:hAnsi="Arial"/>
                <w:b/>
                <w:color w:val="172033"/>
                <w:sz w:val="16"/>
              </w:rPr>
              <w:t>Readiness return</w:t>
            </w:r>
          </w:p>
        </w:tc>
        <w:tc>
          <w:tcPr>
            <w:tcW w:type="dxa" w:w="6998"/>
            <w:vAlign w:val="top"/>
            <w:tcMar>
              <w:top w:w="80" w:type="dxa"/>
              <w:start w:w="120" w:type="dxa"/>
              <w:bottom w:w="80" w:type="dxa"/>
              <w:end w:w="120" w:type="dxa"/>
            </w:tcMar>
          </w:tcPr>
          <w:p>
            <w:pPr>
              <w:spacing w:after="40" w:line="252" w:lineRule="auto"/>
            </w:pPr>
            <w:r>
              <w:rPr>
                <w:rFonts w:ascii="Arial" w:hAnsi="Arial"/>
                <w:b w:val="0"/>
                <w:color w:val="172033"/>
                <w:sz w:val="16"/>
              </w:rPr>
              <w:t>Freshness visible; stale status never presented as current</w:t>
            </w:r>
          </w:p>
        </w:tc>
      </w:tr>
      <w:tr>
        <w:trPr>
          <w:cantSplit/>
        </w:trPr>
        <w:tc>
          <w:tcPr>
            <w:tcW w:type="dxa" w:w="2880"/>
            <w:vAlign w:val="top"/>
            <w:shd w:fill="F5F7FA"/>
            <w:tcMar>
              <w:top w:w="80" w:type="dxa"/>
              <w:start w:w="120" w:type="dxa"/>
              <w:bottom w:w="80" w:type="dxa"/>
              <w:end w:w="120" w:type="dxa"/>
            </w:tcMar>
          </w:tcPr>
          <w:p>
            <w:pPr>
              <w:spacing w:after="40" w:line="252" w:lineRule="auto"/>
            </w:pPr>
            <w:r>
              <w:rPr>
                <w:rFonts w:ascii="Arial" w:hAnsi="Arial"/>
                <w:b/>
                <w:color w:val="172033"/>
                <w:sz w:val="16"/>
              </w:rPr>
              <w:t>Audit</w:t>
            </w:r>
          </w:p>
        </w:tc>
        <w:tc>
          <w:tcPr>
            <w:tcW w:type="dxa" w:w="6998"/>
            <w:vAlign w:val="top"/>
            <w:shd w:fill="F5F7FA"/>
            <w:tcMar>
              <w:top w:w="80" w:type="dxa"/>
              <w:start w:w="120" w:type="dxa"/>
              <w:bottom w:w="80" w:type="dxa"/>
              <w:end w:w="120" w:type="dxa"/>
            </w:tcMar>
          </w:tcPr>
          <w:p>
            <w:pPr>
              <w:spacing w:after="40" w:line="252" w:lineRule="auto"/>
            </w:pPr>
            <w:r>
              <w:rPr>
                <w:rFonts w:ascii="Arial" w:hAnsi="Arial"/>
                <w:b w:val="0"/>
                <w:color w:val="172033"/>
                <w:sz w:val="16"/>
              </w:rPr>
              <w:t>Material action captured with actor, time, scope and correlation</w:t>
            </w:r>
          </w:p>
        </w:tc>
      </w:tr>
    </w:tbl>
    <w:p>
      <w:pPr>
        <w:spacing w:after="20"/>
      </w:pPr>
    </w:p>
    <w:p>
      <w:pPr>
        <w:pStyle w:val="Heading2"/>
      </w:pPr>
      <w:r>
        <w:t>17.2 Observability</w:t>
      </w:r>
    </w:p>
    <w:p>
      <w:pPr>
        <w:pStyle w:val="ListBullet"/>
      </w:pPr>
      <w:r>
        <w:t>Structured logs with correlation IDs</w:t>
      </w:r>
    </w:p>
    <w:p>
      <w:pPr>
        <w:pStyle w:val="ListBullet"/>
      </w:pPr>
      <w:r>
        <w:t>Metrics for latency, failure, queue depth and stale integrations</w:t>
      </w:r>
    </w:p>
    <w:p>
      <w:pPr>
        <w:pStyle w:val="ListBullet"/>
      </w:pPr>
      <w:r>
        <w:t>Traces across API, job and message processing</w:t>
      </w:r>
    </w:p>
    <w:p>
      <w:pPr>
        <w:pStyle w:val="ListBullet"/>
      </w:pPr>
      <w:r>
        <w:t>Business-control metrics for enrolment, attempt and certificate transitions</w:t>
      </w:r>
    </w:p>
    <w:p>
      <w:pPr>
        <w:pStyle w:val="ListBullet"/>
      </w:pPr>
      <w:r>
        <w:t>Privacy-safe alert payloads</w:t>
      </w:r>
    </w:p>
    <w:p>
      <w:pPr>
        <w:pStyle w:val="ListBullet"/>
      </w:pPr>
      <w:r>
        <w:t>Runbooks for assessment outage, package failure, certificate mismatch and data restoration</w:t>
      </w:r>
    </w:p>
    <w:p>
      <w:pPr>
        <w:pStyle w:val="Heading2"/>
      </w:pPr>
      <w:r>
        <w:t>17.3 Offline and low-connectivity posture</w:t>
      </w:r>
    </w:p>
    <w:p>
      <w:pPr>
        <w:spacing w:after="100"/>
      </w:pPr>
      <w:r>
        <w:rPr>
          <w:rFonts w:ascii="Arial" w:hAnsi="Arial"/>
          <w:b w:val="0"/>
          <w:i w:val="0"/>
          <w:color w:val="172033"/>
          <w:sz w:val="19"/>
        </w:rPr>
        <w:t>Learning content may support controlled offline caching where security permits. High-stakes assessment requires a policy-defined connection mode; interrupted attempts preserve server-confirmed answers and provide explicit recovery. Event briefings should support a safe pre-cached role view without exposing newly revoked content indefinitely.</w:t>
      </w:r>
    </w:p>
    <w:p>
      <w:pPr>
        <w:pStyle w:val="Heading1"/>
      </w:pPr>
      <w:r>
        <w:t>18. Technical stack and repository structure</w:t>
      </w:r>
    </w:p>
    <w:p>
      <w:pPr>
        <w:pStyle w:val="Heading2"/>
      </w:pPr>
      <w:r>
        <w:t>18.1 Recommended stack</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232"/>
        <w:gridCol w:w="7646"/>
      </w:tblGrid>
      <w:tr>
        <w:trPr>
          <w:tblHeader w:val="true"/>
          <w:cantSplit/>
        </w:trPr>
        <w:tc>
          <w:tcPr>
            <w:tcW w:type="dxa" w:w="2232"/>
            <w:shd w:fill="183A63"/>
            <w:vAlign w:val="center"/>
            <w:tcMar>
              <w:top w:w="80" w:type="dxa"/>
              <w:start w:w="120" w:type="dxa"/>
              <w:bottom w:w="80" w:type="dxa"/>
              <w:end w:w="120" w:type="dxa"/>
            </w:tcMar>
          </w:tcPr>
          <w:p>
            <w:r>
              <w:rPr>
                <w:rFonts w:ascii="Arial" w:hAnsi="Arial"/>
                <w:b/>
                <w:color w:val="FFFFFF"/>
                <w:sz w:val="16"/>
              </w:rPr>
              <w:t>Layer</w:t>
            </w:r>
          </w:p>
        </w:tc>
        <w:tc>
          <w:tcPr>
            <w:tcW w:type="dxa" w:w="7646"/>
            <w:shd w:fill="183A63"/>
            <w:vAlign w:val="center"/>
            <w:tcMar>
              <w:top w:w="80" w:type="dxa"/>
              <w:start w:w="120" w:type="dxa"/>
              <w:bottom w:w="80" w:type="dxa"/>
              <w:end w:w="120" w:type="dxa"/>
            </w:tcMar>
          </w:tcPr>
          <w:p>
            <w:r>
              <w:rPr>
                <w:rFonts w:ascii="Arial" w:hAnsi="Arial"/>
                <w:b/>
                <w:color w:val="FFFFFF"/>
                <w:sz w:val="16"/>
              </w:rPr>
              <w:t>Recommendation</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Web application</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Next.js App Router with TypeScript</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Design system</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Tailwind CSS plus accessible headless components and Maison Doclar tokens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Application API</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Typed server modules with versioned REST contracts for external integration</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Database</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PostgreSQL with migrations and row-aware tenant enforcement</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Background work</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Durable job queue for packages, notifications, exports and reconciliation</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Object storage</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Cloudflare R2 or equivalent for protected learning and evidence artefacts</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Authentication</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Shared identity provider with MFA and service principals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Observability</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Structured logs, metrics, tracing and error monitoring</w:t>
            </w:r>
          </w:p>
        </w:tc>
      </w:tr>
      <w:tr>
        <w:trPr>
          <w:cantSplit/>
        </w:trPr>
        <w:tc>
          <w:tcPr>
            <w:tcW w:type="dxa" w:w="2232"/>
            <w:vAlign w:val="top"/>
            <w:tcMar>
              <w:top w:w="80" w:type="dxa"/>
              <w:start w:w="120" w:type="dxa"/>
              <w:bottom w:w="80" w:type="dxa"/>
              <w:end w:w="120" w:type="dxa"/>
            </w:tcMar>
          </w:tcPr>
          <w:p>
            <w:pPr>
              <w:spacing w:after="40" w:line="252" w:lineRule="auto"/>
            </w:pPr>
            <w:r>
              <w:rPr>
                <w:rFonts w:ascii="Arial" w:hAnsi="Arial"/>
                <w:b/>
                <w:color w:val="172033"/>
                <w:sz w:val="16"/>
              </w:rPr>
              <w:t>Testing</w:t>
            </w:r>
          </w:p>
        </w:tc>
        <w:tc>
          <w:tcPr>
            <w:tcW w:type="dxa" w:w="7646"/>
            <w:vAlign w:val="top"/>
            <w:tcMar>
              <w:top w:w="80" w:type="dxa"/>
              <w:start w:w="120" w:type="dxa"/>
              <w:bottom w:w="80" w:type="dxa"/>
              <w:end w:w="120" w:type="dxa"/>
            </w:tcMar>
          </w:tcPr>
          <w:p>
            <w:pPr>
              <w:spacing w:after="40" w:line="252" w:lineRule="auto"/>
            </w:pPr>
            <w:r>
              <w:rPr>
                <w:rFonts w:ascii="Arial" w:hAnsi="Arial"/>
                <w:b w:val="0"/>
                <w:color w:val="172033"/>
                <w:sz w:val="16"/>
              </w:rPr>
              <w:t>Unit, contract, integration, accessibility, visual and browser end-to-end tests</w:t>
            </w:r>
          </w:p>
        </w:tc>
      </w:tr>
      <w:tr>
        <w:trPr>
          <w:cantSplit/>
        </w:trPr>
        <w:tc>
          <w:tcPr>
            <w:tcW w:type="dxa" w:w="2232"/>
            <w:vAlign w:val="top"/>
            <w:shd w:fill="F5F7FA"/>
            <w:tcMar>
              <w:top w:w="80" w:type="dxa"/>
              <w:start w:w="120" w:type="dxa"/>
              <w:bottom w:w="80" w:type="dxa"/>
              <w:end w:w="120" w:type="dxa"/>
            </w:tcMar>
          </w:tcPr>
          <w:p>
            <w:pPr>
              <w:spacing w:after="40" w:line="252" w:lineRule="auto"/>
            </w:pPr>
            <w:r>
              <w:rPr>
                <w:rFonts w:ascii="Arial" w:hAnsi="Arial"/>
                <w:b/>
                <w:color w:val="172033"/>
                <w:sz w:val="16"/>
              </w:rPr>
              <w:t>Deployment</w:t>
            </w:r>
          </w:p>
        </w:tc>
        <w:tc>
          <w:tcPr>
            <w:tcW w:type="dxa" w:w="7646"/>
            <w:vAlign w:val="top"/>
            <w:shd w:fill="F5F7FA"/>
            <w:tcMar>
              <w:top w:w="80" w:type="dxa"/>
              <w:start w:w="120" w:type="dxa"/>
              <w:bottom w:w="80" w:type="dxa"/>
              <w:end w:w="120" w:type="dxa"/>
            </w:tcMar>
          </w:tcPr>
          <w:p>
            <w:pPr>
              <w:spacing w:after="40" w:line="252" w:lineRule="auto"/>
            </w:pPr>
            <w:r>
              <w:rPr>
                <w:rFonts w:ascii="Arial" w:hAnsi="Arial"/>
                <w:b w:val="0"/>
                <w:color w:val="172033"/>
                <w:sz w:val="16"/>
              </w:rPr>
              <w:t>Independent staging and production pipelines with controlled migrations and rollback</w:t>
            </w:r>
          </w:p>
        </w:tc>
      </w:tr>
    </w:tbl>
    <w:p>
      <w:pPr>
        <w:spacing w:after="20"/>
      </w:pPr>
    </w:p>
    <w:p>
      <w:pPr>
        <w:pStyle w:val="Heading2"/>
      </w:pPr>
      <w:r>
        <w:t>18.2 Repository shape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096"/>
        <w:gridCol w:w="6782"/>
      </w:tblGrid>
      <w:tr>
        <w:trPr>
          <w:tblHeader w:val="true"/>
          <w:cantSplit/>
        </w:trPr>
        <w:tc>
          <w:tcPr>
            <w:tcW w:type="dxa" w:w="3096"/>
            <w:shd w:fill="183A63"/>
            <w:vAlign w:val="center"/>
            <w:tcMar>
              <w:top w:w="80" w:type="dxa"/>
              <w:start w:w="120" w:type="dxa"/>
              <w:bottom w:w="80" w:type="dxa"/>
              <w:end w:w="120" w:type="dxa"/>
            </w:tcMar>
          </w:tcPr>
          <w:p>
            <w:r>
              <w:rPr>
                <w:rFonts w:ascii="Arial" w:hAnsi="Arial"/>
                <w:b/>
                <w:color w:val="FFFFFF"/>
                <w:sz w:val="16"/>
              </w:rPr>
              <w:t>Path</w:t>
            </w:r>
          </w:p>
        </w:tc>
        <w:tc>
          <w:tcPr>
            <w:tcW w:type="dxa" w:w="6782"/>
            <w:shd w:fill="183A63"/>
            <w:vAlign w:val="center"/>
            <w:tcMar>
              <w:top w:w="80" w:type="dxa"/>
              <w:start w:w="120" w:type="dxa"/>
              <w:bottom w:w="80" w:type="dxa"/>
              <w:end w:w="120" w:type="dxa"/>
            </w:tcMar>
          </w:tcPr>
          <w:p>
            <w:r>
              <w:rPr>
                <w:rFonts w:ascii="Arial" w:hAnsi="Arial"/>
                <w:b/>
                <w:color w:val="FFFFFF"/>
                <w:sz w:val="16"/>
              </w:rPr>
              <w:t>Responsibility</w:t>
            </w:r>
          </w:p>
        </w:tc>
      </w:tr>
      <w:tr>
        <w:trPr>
          <w:cantSplit/>
        </w:trPr>
        <w:tc>
          <w:tcPr>
            <w:tcW w:type="dxa" w:w="3096"/>
            <w:vAlign w:val="top"/>
            <w:tcMar>
              <w:top w:w="80" w:type="dxa"/>
              <w:start w:w="120" w:type="dxa"/>
              <w:bottom w:w="80" w:type="dxa"/>
              <w:end w:w="120" w:type="dxa"/>
            </w:tcMar>
          </w:tcPr>
          <w:p>
            <w:pPr>
              <w:spacing w:after="40" w:line="252" w:lineRule="auto"/>
            </w:pPr>
            <w:r>
              <w:rPr>
                <w:rFonts w:ascii="Arial" w:hAnsi="Arial"/>
                <w:b/>
                <w:color w:val="172033"/>
                <w:sz w:val="16"/>
              </w:rPr>
              <w:t>apps/academy-web</w:t>
            </w:r>
          </w:p>
        </w:tc>
        <w:tc>
          <w:tcPr>
            <w:tcW w:type="dxa" w:w="6782"/>
            <w:vAlign w:val="top"/>
            <w:tcMar>
              <w:top w:w="80" w:type="dxa"/>
              <w:start w:w="120" w:type="dxa"/>
              <w:bottom w:w="80" w:type="dxa"/>
              <w:end w:w="120" w:type="dxa"/>
            </w:tcMar>
          </w:tcPr>
          <w:p>
            <w:pPr>
              <w:spacing w:after="40" w:line="252" w:lineRule="auto"/>
            </w:pPr>
            <w:r>
              <w:rPr>
                <w:rFonts w:ascii="Arial" w:hAnsi="Arial"/>
                <w:b w:val="0"/>
                <w:color w:val="172033"/>
                <w:sz w:val="16"/>
              </w:rPr>
              <w:t>Learner, manager, author, assessor and CEO interfaces</w:t>
            </w:r>
          </w:p>
        </w:tc>
      </w:tr>
      <w:tr>
        <w:trPr>
          <w:cantSplit/>
        </w:trPr>
        <w:tc>
          <w:tcPr>
            <w:tcW w:type="dxa" w:w="3096"/>
            <w:vAlign w:val="top"/>
            <w:shd w:fill="F5F7FA"/>
            <w:tcMar>
              <w:top w:w="80" w:type="dxa"/>
              <w:start w:w="120" w:type="dxa"/>
              <w:bottom w:w="80" w:type="dxa"/>
              <w:end w:w="120" w:type="dxa"/>
            </w:tcMar>
          </w:tcPr>
          <w:p>
            <w:pPr>
              <w:spacing w:after="40" w:line="252" w:lineRule="auto"/>
            </w:pPr>
            <w:r>
              <w:rPr>
                <w:rFonts w:ascii="Arial" w:hAnsi="Arial"/>
                <w:b/>
                <w:color w:val="172033"/>
                <w:sz w:val="16"/>
              </w:rPr>
              <w:t>packages/domain</w:t>
            </w:r>
          </w:p>
        </w:tc>
        <w:tc>
          <w:tcPr>
            <w:tcW w:type="dxa" w:w="6782"/>
            <w:vAlign w:val="top"/>
            <w:shd w:fill="F5F7FA"/>
            <w:tcMar>
              <w:top w:w="80" w:type="dxa"/>
              <w:start w:w="120" w:type="dxa"/>
              <w:bottom w:w="80" w:type="dxa"/>
              <w:end w:w="120" w:type="dxa"/>
            </w:tcMar>
          </w:tcPr>
          <w:p>
            <w:pPr>
              <w:spacing w:after="40" w:line="252" w:lineRule="auto"/>
            </w:pPr>
            <w:r>
              <w:rPr>
                <w:rFonts w:ascii="Arial" w:hAnsi="Arial"/>
                <w:b w:val="0"/>
                <w:color w:val="172033"/>
                <w:sz w:val="16"/>
              </w:rPr>
              <w:t>Entities, policies, state machines and scoring rules</w:t>
            </w:r>
          </w:p>
        </w:tc>
      </w:tr>
      <w:tr>
        <w:trPr>
          <w:cantSplit/>
        </w:trPr>
        <w:tc>
          <w:tcPr>
            <w:tcW w:type="dxa" w:w="3096"/>
            <w:vAlign w:val="top"/>
            <w:tcMar>
              <w:top w:w="80" w:type="dxa"/>
              <w:start w:w="120" w:type="dxa"/>
              <w:bottom w:w="80" w:type="dxa"/>
              <w:end w:w="120" w:type="dxa"/>
            </w:tcMar>
          </w:tcPr>
          <w:p>
            <w:pPr>
              <w:spacing w:after="40" w:line="252" w:lineRule="auto"/>
            </w:pPr>
            <w:r>
              <w:rPr>
                <w:rFonts w:ascii="Arial" w:hAnsi="Arial"/>
                <w:b/>
                <w:color w:val="172033"/>
                <w:sz w:val="16"/>
              </w:rPr>
              <w:t>packages/ui</w:t>
            </w:r>
          </w:p>
        </w:tc>
        <w:tc>
          <w:tcPr>
            <w:tcW w:type="dxa" w:w="6782"/>
            <w:vAlign w:val="top"/>
            <w:tcMar>
              <w:top w:w="80" w:type="dxa"/>
              <w:start w:w="120" w:type="dxa"/>
              <w:bottom w:w="80" w:type="dxa"/>
              <w:end w:w="120" w:type="dxa"/>
            </w:tcMar>
          </w:tcPr>
          <w:p>
            <w:pPr>
              <w:spacing w:after="40" w:line="252" w:lineRule="auto"/>
            </w:pPr>
            <w:r>
              <w:rPr>
                <w:rFonts w:ascii="Arial" w:hAnsi="Arial"/>
                <w:b w:val="0"/>
                <w:color w:val="172033"/>
                <w:sz w:val="16"/>
              </w:rPr>
              <w:t>Design tokens and accessible shared components</w:t>
            </w:r>
          </w:p>
        </w:tc>
      </w:tr>
      <w:tr>
        <w:trPr>
          <w:cantSplit/>
        </w:trPr>
        <w:tc>
          <w:tcPr>
            <w:tcW w:type="dxa" w:w="3096"/>
            <w:vAlign w:val="top"/>
            <w:shd w:fill="F5F7FA"/>
            <w:tcMar>
              <w:top w:w="80" w:type="dxa"/>
              <w:start w:w="120" w:type="dxa"/>
              <w:bottom w:w="80" w:type="dxa"/>
              <w:end w:w="120" w:type="dxa"/>
            </w:tcMar>
          </w:tcPr>
          <w:p>
            <w:pPr>
              <w:spacing w:after="40" w:line="252" w:lineRule="auto"/>
            </w:pPr>
            <w:r>
              <w:rPr>
                <w:rFonts w:ascii="Arial" w:hAnsi="Arial"/>
                <w:b/>
                <w:color w:val="172033"/>
                <w:sz w:val="16"/>
              </w:rPr>
              <w:t>packages/contracts</w:t>
            </w:r>
          </w:p>
        </w:tc>
        <w:tc>
          <w:tcPr>
            <w:tcW w:type="dxa" w:w="6782"/>
            <w:vAlign w:val="top"/>
            <w:shd w:fill="F5F7FA"/>
            <w:tcMar>
              <w:top w:w="80" w:type="dxa"/>
              <w:start w:w="120" w:type="dxa"/>
              <w:bottom w:w="80" w:type="dxa"/>
              <w:end w:w="120" w:type="dxa"/>
            </w:tcMar>
          </w:tcPr>
          <w:p>
            <w:pPr>
              <w:spacing w:after="40" w:line="252" w:lineRule="auto"/>
            </w:pPr>
            <w:r>
              <w:rPr>
                <w:rFonts w:ascii="Arial" w:hAnsi="Arial"/>
                <w:b w:val="0"/>
                <w:color w:val="172033"/>
                <w:sz w:val="16"/>
              </w:rPr>
              <w:t>External API and event schemas</w:t>
            </w:r>
          </w:p>
        </w:tc>
      </w:tr>
      <w:tr>
        <w:trPr>
          <w:cantSplit/>
        </w:trPr>
        <w:tc>
          <w:tcPr>
            <w:tcW w:type="dxa" w:w="3096"/>
            <w:vAlign w:val="top"/>
            <w:tcMar>
              <w:top w:w="80" w:type="dxa"/>
              <w:start w:w="120" w:type="dxa"/>
              <w:bottom w:w="80" w:type="dxa"/>
              <w:end w:w="120" w:type="dxa"/>
            </w:tcMar>
          </w:tcPr>
          <w:p>
            <w:pPr>
              <w:spacing w:after="40" w:line="252" w:lineRule="auto"/>
            </w:pPr>
            <w:r>
              <w:rPr>
                <w:rFonts w:ascii="Arial" w:hAnsi="Arial"/>
                <w:b/>
                <w:color w:val="172033"/>
                <w:sz w:val="16"/>
              </w:rPr>
              <w:t>packages/content</w:t>
            </w:r>
          </w:p>
        </w:tc>
        <w:tc>
          <w:tcPr>
            <w:tcW w:type="dxa" w:w="6782"/>
            <w:vAlign w:val="top"/>
            <w:tcMar>
              <w:top w:w="80" w:type="dxa"/>
              <w:start w:w="120" w:type="dxa"/>
              <w:bottom w:w="80" w:type="dxa"/>
              <w:end w:w="120" w:type="dxa"/>
            </w:tcMar>
          </w:tcPr>
          <w:p>
            <w:pPr>
              <w:spacing w:after="40" w:line="252" w:lineRule="auto"/>
            </w:pPr>
            <w:r>
              <w:rPr>
                <w:rFonts w:ascii="Arial" w:hAnsi="Arial"/>
                <w:b w:val="0"/>
                <w:color w:val="172033"/>
                <w:sz w:val="16"/>
              </w:rPr>
              <w:t>Versioned seed knowledge and curriculum manifests</w:t>
            </w:r>
          </w:p>
        </w:tc>
      </w:tr>
      <w:tr>
        <w:trPr>
          <w:cantSplit/>
        </w:trPr>
        <w:tc>
          <w:tcPr>
            <w:tcW w:type="dxa" w:w="3096"/>
            <w:vAlign w:val="top"/>
            <w:shd w:fill="F5F7FA"/>
            <w:tcMar>
              <w:top w:w="80" w:type="dxa"/>
              <w:start w:w="120" w:type="dxa"/>
              <w:bottom w:w="80" w:type="dxa"/>
              <w:end w:w="120" w:type="dxa"/>
            </w:tcMar>
          </w:tcPr>
          <w:p>
            <w:pPr>
              <w:spacing w:after="40" w:line="252" w:lineRule="auto"/>
            </w:pPr>
            <w:r>
              <w:rPr>
                <w:rFonts w:ascii="Arial" w:hAnsi="Arial"/>
                <w:b/>
                <w:color w:val="172033"/>
                <w:sz w:val="16"/>
              </w:rPr>
              <w:t>packages/testing</w:t>
            </w:r>
          </w:p>
        </w:tc>
        <w:tc>
          <w:tcPr>
            <w:tcW w:type="dxa" w:w="6782"/>
            <w:vAlign w:val="top"/>
            <w:shd w:fill="F5F7FA"/>
            <w:tcMar>
              <w:top w:w="80" w:type="dxa"/>
              <w:start w:w="120" w:type="dxa"/>
              <w:bottom w:w="80" w:type="dxa"/>
              <w:end w:w="120" w:type="dxa"/>
            </w:tcMar>
          </w:tcPr>
          <w:p>
            <w:pPr>
              <w:spacing w:after="40" w:line="252" w:lineRule="auto"/>
            </w:pPr>
            <w:r>
              <w:rPr>
                <w:rFonts w:ascii="Arial" w:hAnsi="Arial"/>
                <w:b w:val="0"/>
                <w:color w:val="172033"/>
                <w:sz w:val="16"/>
              </w:rPr>
              <w:t>Factories, reference events and acceptance helpers</w:t>
            </w:r>
          </w:p>
        </w:tc>
      </w:tr>
      <w:tr>
        <w:trPr>
          <w:cantSplit/>
        </w:trPr>
        <w:tc>
          <w:tcPr>
            <w:tcW w:type="dxa" w:w="3096"/>
            <w:vAlign w:val="top"/>
            <w:tcMar>
              <w:top w:w="80" w:type="dxa"/>
              <w:start w:w="120" w:type="dxa"/>
              <w:bottom w:w="80" w:type="dxa"/>
              <w:end w:w="120" w:type="dxa"/>
            </w:tcMar>
          </w:tcPr>
          <w:p>
            <w:pPr>
              <w:spacing w:after="40" w:line="252" w:lineRule="auto"/>
            </w:pPr>
            <w:r>
              <w:rPr>
                <w:rFonts w:ascii="Arial" w:hAnsi="Arial"/>
                <w:b/>
                <w:color w:val="172033"/>
                <w:sz w:val="16"/>
              </w:rPr>
              <w:t>workers</w:t>
            </w:r>
          </w:p>
        </w:tc>
        <w:tc>
          <w:tcPr>
            <w:tcW w:type="dxa" w:w="6782"/>
            <w:vAlign w:val="top"/>
            <w:tcMar>
              <w:top w:w="80" w:type="dxa"/>
              <w:start w:w="120" w:type="dxa"/>
              <w:bottom w:w="80" w:type="dxa"/>
              <w:end w:w="120" w:type="dxa"/>
            </w:tcMar>
          </w:tcPr>
          <w:p>
            <w:pPr>
              <w:spacing w:after="40" w:line="252" w:lineRule="auto"/>
            </w:pPr>
            <w:r>
              <w:rPr>
                <w:rFonts w:ascii="Arial" w:hAnsi="Arial"/>
                <w:b w:val="0"/>
                <w:color w:val="172033"/>
                <w:sz w:val="16"/>
              </w:rPr>
              <w:t>Notifications, integration, reconciliation and reporting jobs</w:t>
            </w:r>
          </w:p>
        </w:tc>
      </w:tr>
      <w:tr>
        <w:trPr>
          <w:cantSplit/>
        </w:trPr>
        <w:tc>
          <w:tcPr>
            <w:tcW w:type="dxa" w:w="3096"/>
            <w:vAlign w:val="top"/>
            <w:shd w:fill="F5F7FA"/>
            <w:tcMar>
              <w:top w:w="80" w:type="dxa"/>
              <w:start w:w="120" w:type="dxa"/>
              <w:bottom w:w="80" w:type="dxa"/>
              <w:end w:w="120" w:type="dxa"/>
            </w:tcMar>
          </w:tcPr>
          <w:p>
            <w:pPr>
              <w:spacing w:after="40" w:line="252" w:lineRule="auto"/>
            </w:pPr>
            <w:r>
              <w:rPr>
                <w:rFonts w:ascii="Arial" w:hAnsi="Arial"/>
                <w:b/>
                <w:color w:val="172033"/>
                <w:sz w:val="16"/>
              </w:rPr>
              <w:t>db</w:t>
            </w:r>
          </w:p>
        </w:tc>
        <w:tc>
          <w:tcPr>
            <w:tcW w:type="dxa" w:w="6782"/>
            <w:vAlign w:val="top"/>
            <w:shd w:fill="F5F7FA"/>
            <w:tcMar>
              <w:top w:w="80" w:type="dxa"/>
              <w:start w:w="120" w:type="dxa"/>
              <w:bottom w:w="80" w:type="dxa"/>
              <w:end w:w="120" w:type="dxa"/>
            </w:tcMar>
          </w:tcPr>
          <w:p>
            <w:pPr>
              <w:spacing w:after="40" w:line="252" w:lineRule="auto"/>
            </w:pPr>
            <w:r>
              <w:rPr>
                <w:rFonts w:ascii="Arial" w:hAnsi="Arial"/>
                <w:b w:val="0"/>
                <w:color w:val="172033"/>
                <w:sz w:val="16"/>
              </w:rPr>
              <w:t>Schema, migrations, policies and seed controls</w:t>
            </w:r>
          </w:p>
        </w:tc>
      </w:tr>
      <w:tr>
        <w:trPr>
          <w:cantSplit/>
        </w:trPr>
        <w:tc>
          <w:tcPr>
            <w:tcW w:type="dxa" w:w="3096"/>
            <w:vAlign w:val="top"/>
            <w:tcMar>
              <w:top w:w="80" w:type="dxa"/>
              <w:start w:w="120" w:type="dxa"/>
              <w:bottom w:w="80" w:type="dxa"/>
              <w:end w:w="120" w:type="dxa"/>
            </w:tcMar>
          </w:tcPr>
          <w:p>
            <w:pPr>
              <w:spacing w:after="40" w:line="252" w:lineRule="auto"/>
            </w:pPr>
            <w:r>
              <w:rPr>
                <w:rFonts w:ascii="Arial" w:hAnsi="Arial"/>
                <w:b/>
                <w:color w:val="172033"/>
                <w:sz w:val="16"/>
              </w:rPr>
              <w:t>docs</w:t>
            </w:r>
          </w:p>
        </w:tc>
        <w:tc>
          <w:tcPr>
            <w:tcW w:type="dxa" w:w="6782"/>
            <w:vAlign w:val="top"/>
            <w:tcMar>
              <w:top w:w="80" w:type="dxa"/>
              <w:start w:w="120" w:type="dxa"/>
              <w:bottom w:w="80" w:type="dxa"/>
              <w:end w:w="120" w:type="dxa"/>
            </w:tcMar>
          </w:tcPr>
          <w:p>
            <w:pPr>
              <w:spacing w:after="40" w:line="252" w:lineRule="auto"/>
            </w:pPr>
            <w:r>
              <w:rPr>
                <w:rFonts w:ascii="Arial" w:hAnsi="Arial"/>
                <w:b w:val="0"/>
                <w:color w:val="172033"/>
                <w:sz w:val="16"/>
              </w:rPr>
              <w:t>Architecture decisions, runbooks and generated contract references</w:t>
            </w:r>
          </w:p>
        </w:tc>
      </w:tr>
    </w:tbl>
    <w:p>
      <w:pPr>
        <w:spacing w:after="20"/>
      </w:pPr>
    </w:p>
    <w:p>
      <w:pPr>
        <w:pStyle w:val="Heading2"/>
      </w:pPr>
      <w:r>
        <w:t>18.3 Hardcoded versus managed content</w:t>
      </w:r>
    </w:p>
    <w:p>
      <w:pPr>
        <w:spacing w:after="100"/>
      </w:pPr>
      <w:r>
        <w:rPr>
          <w:rFonts w:ascii="Arial" w:hAnsi="Arial"/>
          <w:b w:val="0"/>
          <w:i w:val="0"/>
          <w:color w:val="172033"/>
          <w:sz w:val="19"/>
        </w:rPr>
        <w:t>Only constitutional system laws, state machines, permission vocabulary, contract schemas and safe defaults belong in code. The 30-module knowledge base, learning paths, questions, thresholds that policy may change, notification schedules and event training content are versioned managed data with controlled seed packages—not scattered conditionals.</w:t>
      </w:r>
    </w:p>
    <w:p>
      <w:pPr>
        <w:pStyle w:val="Heading1"/>
      </w:pPr>
      <w:r>
        <w:t>19. Production build sequence</w:t>
      </w:r>
    </w:p>
    <w:p>
      <w:pPr>
        <w:spacing w:after="100"/>
      </w:pPr>
      <w:r>
        <w:rPr>
          <w:rFonts w:ascii="Arial" w:hAnsi="Arial"/>
          <w:b w:val="0"/>
          <w:i w:val="0"/>
          <w:color w:val="172033"/>
          <w:sz w:val="19"/>
        </w:rPr>
        <w:t>The Academy should be built in complete vertical slices. Each slice includes backend, frontend, permissions, audit, automated tests, browser validation and evidence.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vAlign w:val="center"/>
            <w:tcMar>
              <w:top w:w="80" w:type="dxa"/>
              <w:start w:w="120" w:type="dxa"/>
              <w:bottom w:w="80" w:type="dxa"/>
              <w:end w:w="120" w:type="dxa"/>
            </w:tcMar>
          </w:tcPr>
          <w:p>
            <w:r>
              <w:rPr>
                <w:rFonts w:ascii="Arial" w:hAnsi="Arial"/>
                <w:b/>
                <w:color w:val="FFFFFF"/>
                <w:sz w:val="15"/>
              </w:rPr>
              <w:t>Slice</w:t>
            </w:r>
          </w:p>
        </w:tc>
        <w:tc>
          <w:tcPr>
            <w:tcW w:type="dxa" w:w="7502"/>
            <w:shd w:fill="183A63"/>
            <w:vAlign w:val="center"/>
            <w:tcMar>
              <w:top w:w="80" w:type="dxa"/>
              <w:start w:w="120" w:type="dxa"/>
              <w:bottom w:w="80" w:type="dxa"/>
              <w:end w:w="120" w:type="dxa"/>
            </w:tcMar>
          </w:tcPr>
          <w:p>
            <w:r>
              <w:rPr>
                <w:rFonts w:ascii="Arial" w:hAnsi="Arial"/>
                <w:b/>
                <w:color w:val="FFFFFF"/>
                <w:sz w:val="15"/>
              </w:rPr>
              <w:t>Production outcome</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1. Platform foundation</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Repository, identity, organisation, roles, permissions, audit, design system and deployment</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2. Knowledge foundation</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Source documents, Knowledge Items, module structure, search and governance states</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3. Curriculum delivery</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Courses, lessons, activities, prerequisites, learner home and learning player</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4. Competencies and paths</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Role profiles, learning paths, enrolment, gap analysis and manager assignment</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5. Question-bank studio</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Question types, answers, rubrics, traceability, review and exposure controls</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6. Assessment engine</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Blueprints, forms, attempts, autosave, marking, feedback and retakes</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7. Practical assessment</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Schedules, evidence, rubrics, moderation and competence decisions</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8. Certification</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Issuance, scope, renewal, expiry, suspension, revocation and verification</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9. OS integration</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Identity, assignments, Event Training Packages, readiness return and reconciliation</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10. Event-specific Academy</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Event spaces, change briefings, acknowledgements and event assessments</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5"/>
              </w:rPr>
              <w:t>11. Intelligence and governance</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5"/>
              </w:rPr>
              <w:t>CEO/manager dashboards, alerts, analytics, content impact and incident learning</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5"/>
              </w:rPr>
              <w:t>12. Whole-system release</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5"/>
              </w:rPr>
              <w:t>Full knowledge and question-bank load, security, performance, accessibility, recovery and production gates</w:t>
            </w:r>
          </w:p>
        </w:tc>
      </w:tr>
    </w:tbl>
    <w:p>
      <w:pPr>
        <w:spacing w:after="20"/>
      </w:pPr>
    </w:p>
    <w:p>
      <w:pPr>
        <w:pStyle w:val="Heading2"/>
      </w:pPr>
      <w:r>
        <w:t>19.1 Slice completion rule</w:t>
      </w: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cMar>
          </w:tcPr>
          <w:p>
            <w:pPr>
              <w:spacing w:after="0"/>
            </w:pPr>
            <w:r>
              <w:rPr>
                <w:rFonts w:ascii="Arial" w:hAnsi="Arial"/>
                <w:b/>
                <w:color w:val="B79F55"/>
                <w:sz w:val="19"/>
              </w:rPr>
              <w:t xml:space="preserve">NO PARTIAL ACCEPTANCE  </w:t>
            </w:r>
            <w:r>
              <w:rPr>
                <w:rFonts w:ascii="Arial" w:hAnsi="Arial"/>
                <w:b/>
                <w:color w:val="10233F"/>
                <w:sz w:val="19"/>
              </w:rPr>
              <w:t>A slice is complete only when its full user journeys work responsively, access is enforced server-side, data persists, audit is present, tests pass, browser evidence exists and no unrecorded blocker remains.</w:t>
            </w:r>
          </w:p>
        </w:tc>
      </w:tr>
    </w:tbl>
    <w:p>
      <w:pPr>
        <w:spacing w:after="20"/>
      </w:pPr>
    </w:p>
    <w:p>
      <w:pPr>
        <w:pStyle w:val="Heading1"/>
      </w:pPr>
      <w:r>
        <w:t>20. Acceptance and release gates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376"/>
        <w:gridCol w:w="7502"/>
      </w:tblGrid>
      <w:tr>
        <w:trPr>
          <w:tblHeader w:val="true"/>
          <w:cantSplit/>
        </w:trPr>
        <w:tc>
          <w:tcPr>
            <w:tcW w:type="dxa" w:w="2376"/>
            <w:shd w:fill="183A63"/>
            <w:vAlign w:val="center"/>
            <w:tcMar>
              <w:top w:w="80" w:type="dxa"/>
              <w:start w:w="120" w:type="dxa"/>
              <w:bottom w:w="80" w:type="dxa"/>
              <w:end w:w="120" w:type="dxa"/>
            </w:tcMar>
          </w:tcPr>
          <w:p>
            <w:r>
              <w:rPr>
                <w:rFonts w:ascii="Arial" w:hAnsi="Arial"/>
                <w:b/>
                <w:color w:val="FFFFFF"/>
                <w:sz w:val="16"/>
              </w:rPr>
              <w:t>Gate</w:t>
            </w:r>
          </w:p>
        </w:tc>
        <w:tc>
          <w:tcPr>
            <w:tcW w:type="dxa" w:w="7502"/>
            <w:shd w:fill="183A63"/>
            <w:vAlign w:val="center"/>
            <w:tcMar>
              <w:top w:w="80" w:type="dxa"/>
              <w:start w:w="120" w:type="dxa"/>
              <w:bottom w:w="80" w:type="dxa"/>
              <w:end w:w="120" w:type="dxa"/>
            </w:tcMar>
          </w:tcPr>
          <w:p>
            <w:r>
              <w:rPr>
                <w:rFonts w:ascii="Arial" w:hAnsi="Arial"/>
                <w:b/>
                <w:color w:val="FFFFFF"/>
                <w:sz w:val="16"/>
              </w:rPr>
              <w:t>Required proof</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G0 — Blueprint</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CEO ratification, settled decisions and traceability</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G1 — Architecture</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Boundaries, tenancy, state machines, integration and migration review</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G2 — Content</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Thirty-module coverage, provenance, accuracy and publication governance</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G3 — Assessment</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Coverage, difficulty, scoring, critical rules, reliability and integrity</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G4 — Experience</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Mobile, desktop, accessibility, interruption and role-based usability</w:t>
            </w:r>
          </w:p>
        </w:tc>
      </w:tr>
      <w:tr>
        <w:trPr>
          <w:cantSplit/>
        </w:trPr>
        <w:tc>
          <w:tcPr>
            <w:tcW w:type="dxa" w:w="2376"/>
            <w:vAlign w:val="top"/>
            <w:shd w:fill="F5F7FA"/>
            <w:tcMar>
              <w:top w:w="80" w:type="dxa"/>
              <w:start w:w="120" w:type="dxa"/>
              <w:bottom w:w="80" w:type="dxa"/>
              <w:end w:w="120" w:type="dxa"/>
            </w:tcMar>
          </w:tcPr>
          <w:p>
            <w:pPr>
              <w:spacing w:after="40" w:line="252" w:lineRule="auto"/>
            </w:pPr>
            <w:r>
              <w:rPr>
                <w:rFonts w:ascii="Arial" w:hAnsi="Arial"/>
                <w:b/>
                <w:color w:val="172033"/>
                <w:sz w:val="16"/>
              </w:rPr>
              <w:t>G5 — Operations</w:t>
            </w:r>
          </w:p>
        </w:tc>
        <w:tc>
          <w:tcPr>
            <w:tcW w:type="dxa" w:w="7502"/>
            <w:vAlign w:val="top"/>
            <w:shd w:fill="F5F7FA"/>
            <w:tcMar>
              <w:top w:w="80" w:type="dxa"/>
              <w:start w:w="120" w:type="dxa"/>
              <w:bottom w:w="80" w:type="dxa"/>
              <w:end w:w="120" w:type="dxa"/>
            </w:tcMar>
          </w:tcPr>
          <w:p>
            <w:pPr>
              <w:spacing w:after="40" w:line="252" w:lineRule="auto"/>
            </w:pPr>
            <w:r>
              <w:rPr>
                <w:rFonts w:ascii="Arial" w:hAnsi="Arial"/>
                <w:b w:val="0"/>
                <w:color w:val="172033"/>
                <w:sz w:val="16"/>
              </w:rPr>
              <w:t>Security, privacy, observability, backup, restore, support and incident readiness</w:t>
            </w:r>
          </w:p>
        </w:tc>
      </w:tr>
      <w:tr>
        <w:trPr>
          <w:cantSplit/>
        </w:trPr>
        <w:tc>
          <w:tcPr>
            <w:tcW w:type="dxa" w:w="2376"/>
            <w:vAlign w:val="top"/>
            <w:tcMar>
              <w:top w:w="80" w:type="dxa"/>
              <w:start w:w="120" w:type="dxa"/>
              <w:bottom w:w="80" w:type="dxa"/>
              <w:end w:w="120" w:type="dxa"/>
            </w:tcMar>
          </w:tcPr>
          <w:p>
            <w:pPr>
              <w:spacing w:after="40" w:line="252" w:lineRule="auto"/>
            </w:pPr>
            <w:r>
              <w:rPr>
                <w:rFonts w:ascii="Arial" w:hAnsi="Arial"/>
                <w:b/>
                <w:color w:val="172033"/>
                <w:sz w:val="16"/>
              </w:rPr>
              <w:t>G6 — Production</w:t>
            </w:r>
          </w:p>
        </w:tc>
        <w:tc>
          <w:tcPr>
            <w:tcW w:type="dxa" w:w="7502"/>
            <w:vAlign w:val="top"/>
            <w:tcMar>
              <w:top w:w="80" w:type="dxa"/>
              <w:start w:w="120" w:type="dxa"/>
              <w:bottom w:w="80" w:type="dxa"/>
              <w:end w:w="120" w:type="dxa"/>
            </w:tcMar>
          </w:tcPr>
          <w:p>
            <w:pPr>
              <w:spacing w:after="40" w:line="252" w:lineRule="auto"/>
            </w:pPr>
            <w:r>
              <w:rPr>
                <w:rFonts w:ascii="Arial" w:hAnsi="Arial"/>
                <w:b w:val="0"/>
                <w:color w:val="172033"/>
                <w:sz w:val="16"/>
              </w:rPr>
              <w:t>Exact candidate reconciled, evidence accepted, blockers closed and CEO authorisation recorded</w:t>
            </w:r>
          </w:p>
        </w:tc>
      </w:tr>
    </w:tbl>
    <w:p>
      <w:pPr>
        <w:spacing w:after="20"/>
      </w:pPr>
    </w:p>
    <w:p>
      <w:pPr>
        <w:pStyle w:val="Heading2"/>
      </w:pPr>
      <w:r>
        <w:t>20.1 Minimum whole-system scenarios</w:t>
      </w:r>
    </w:p>
    <w:p>
      <w:pPr>
        <w:pStyle w:val="ListBullet"/>
      </w:pPr>
      <w:r>
        <w:t>CEO completes the entire path, passes a difficult assessment and receives a correctly scoped certificate.</w:t>
      </w:r>
    </w:p>
    <w:p>
      <w:pPr>
        <w:pStyle w:val="ListBullet"/>
      </w:pPr>
      <w:r>
        <w:t>A learner scores above 80% but fails a critical privacy question and is correctly denied certification.</w:t>
      </w:r>
    </w:p>
    <w:p>
      <w:pPr>
        <w:pStyle w:val="ListBullet"/>
      </w:pPr>
      <w:r>
        <w:t>A Concierge is promoted to Lead; valid competence is credited and only the leadership gap is assigned.</w:t>
      </w:r>
    </w:p>
    <w:p>
      <w:pPr>
        <w:pStyle w:val="ListBullet"/>
      </w:pPr>
      <w:r>
        <w:t>An Usher moves to Check-in; shared competence is retained and access-control learning is assigned.</w:t>
      </w:r>
    </w:p>
    <w:p>
      <w:pPr>
        <w:pStyle w:val="ListBullet"/>
      </w:pPr>
      <w:r>
        <w:t>MD-EOS publishes an event package; assigned staff receive role-specific training and readiness returns.</w:t>
      </w:r>
    </w:p>
    <w:p>
      <w:pPr>
        <w:pStyle w:val="ListBullet"/>
      </w:pPr>
      <w:r>
        <w:t>A material run-of-show change reopens only affected readiness and preserves the audit trail.</w:t>
      </w:r>
    </w:p>
    <w:p>
      <w:pPr>
        <w:pStyle w:val="ListBullet"/>
      </w:pPr>
      <w:r>
        <w:t>An expired certificate blocks a controlled event assignment.</w:t>
      </w:r>
    </w:p>
    <w:p>
      <w:pPr>
        <w:pStyle w:val="ListBullet"/>
      </w:pPr>
      <w:r>
        <w:t>An integration outage fails safely and reconciliation restores consistent state.</w:t>
      </w:r>
    </w:p>
    <w:p>
      <w:pPr>
        <w:pStyle w:val="ListBullet"/>
      </w:pPr>
      <w:r>
        <w:t>A curriculum rule changes; affected questions, paths, certificates and learners are identified before publication.</w:t>
      </w:r>
    </w:p>
    <w:p>
      <w:pPr>
        <w:pStyle w:val="ListBullet"/>
      </w:pPr>
      <w:r>
        <w:t>A production incident produces a governed learning candidate but cannot auto-edit published doctrine.</w:t>
      </w:r>
    </w:p>
    <w:p>
      <w:pPr>
        <w:pStyle w:val="Heading2"/>
      </w:pPr>
      <w:r>
        <w:t>20.2 Definition of done</w:t>
      </w:r>
    </w:p>
    <w:p>
      <w:pPr>
        <w:spacing w:after="100"/>
      </w:pPr>
      <w:r>
        <w:rPr>
          <w:rFonts w:ascii="Arial" w:hAnsi="Arial"/>
          <w:b w:val="0"/>
          <w:i w:val="0"/>
          <w:color w:val="172033"/>
          <w:sz w:val="19"/>
        </w:rPr>
        <w:t>Production release requires accepted evidence for every gate, no open critical defect, no unresolved high-risk authority conflict, tested rollback, operational ownership, accurate documentation and a CEO decision bound to the exact release candidate and scope.</w:t>
      </w:r>
    </w:p>
    <w:p>
      <w:r>
        <w:br w:type="page"/>
      </w:r>
    </w:p>
    <w:p>
      <w:pPr>
        <w:pStyle w:val="Heading1"/>
      </w:pPr>
      <w:r>
        <w:t>Appendix A — Canonical status models</w:t>
      </w:r>
    </w:p>
    <w:p>
      <w:pPr>
        <w:pStyle w:val="Heading2"/>
      </w:pPr>
      <w:r>
        <w:t>A1. Enrolment and certification</w:t>
      </w:r>
    </w:p>
    <w:p>
      <w:pPr>
        <w:spacing w:after="100"/>
      </w:pPr>
      <w:r>
        <w:rPr>
          <w:rFonts w:ascii="Arial" w:hAnsi="Arial"/>
          <w:b w:val="0"/>
          <w:i w:val="0"/>
          <w:color w:val="172033"/>
          <w:sz w:val="19"/>
        </w:rPr>
        <w:t>Not enrolled → Enrolled → Learning in progress → Assessment eligible → Assessment in progress → Retake required or Knowledge passed → Practical pending → Certified → Renewal due → Expired. Suspension, revocation and supersession may occur from governed states.</w:t>
      </w:r>
    </w:p>
    <w:p>
      <w:pPr>
        <w:pStyle w:val="Heading2"/>
      </w:pPr>
      <w:r>
        <w:t>A2. Content</w:t>
      </w:r>
    </w:p>
    <w:p>
      <w:pPr>
        <w:spacing w:after="100"/>
      </w:pPr>
      <w:r>
        <w:rPr>
          <w:rFonts w:ascii="Arial" w:hAnsi="Arial"/>
          <w:b w:val="0"/>
          <w:i w:val="0"/>
          <w:color w:val="172033"/>
          <w:sz w:val="19"/>
        </w:rPr>
        <w:t>Draft → In review → Approved → Published → Superseded or Retired. Rejection returns a new draft revision; it does not mutate reviewed evidence.</w:t>
      </w:r>
    </w:p>
    <w:p>
      <w:pPr>
        <w:pStyle w:val="Heading2"/>
      </w:pPr>
      <w:r>
        <w:t>A3. Event readiness</w:t>
      </w:r>
    </w:p>
    <w:p>
      <w:pPr>
        <w:spacing w:after="100"/>
      </w:pPr>
      <w:r>
        <w:rPr>
          <w:rFonts w:ascii="Arial" w:hAnsi="Arial"/>
          <w:b w:val="0"/>
          <w:i w:val="0"/>
          <w:color w:val="172033"/>
          <w:sz w:val="19"/>
        </w:rPr>
        <w:t>Not required → Assigned → Training pending → Assessment pending → Practical pending → Ready. Material change, expiry, suspension, failure or stale verification may move readiness to Pending, Blocked or Revoked.</w:t>
      </w:r>
    </w:p>
    <w:p>
      <w:pPr>
        <w:pStyle w:val="Heading2"/>
      </w:pPr>
      <w:r>
        <w:t>A4. Assessment attempt</w:t>
      </w:r>
    </w:p>
    <w:p>
      <w:pPr>
        <w:spacing w:after="100"/>
      </w:pPr>
      <w:r>
        <w:rPr>
          <w:rFonts w:ascii="Arial" w:hAnsi="Arial"/>
          <w:b w:val="0"/>
          <w:i w:val="0"/>
          <w:color w:val="172033"/>
          <w:sz w:val="19"/>
        </w:rPr>
        <w:t>Created → Started → In progress → Submitted → Auto-marked → Manual review, when required → Finalised → Released. A timed-out or interrupted attempt follows explicit policy and is never silently scored as complete.</w:t>
      </w:r>
    </w:p>
    <w:p>
      <w:pPr>
        <w:pStyle w:val="Heading1"/>
      </w:pPr>
      <w:r>
        <w:t>Appendix B — Core API contracts</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2951"/>
        <w:gridCol w:w="6926"/>
      </w:tblGrid>
      <w:tr>
        <w:trPr>
          <w:tblHeader w:val="true"/>
          <w:cantSplit/>
        </w:trPr>
        <w:tc>
          <w:tcPr>
            <w:tcW w:type="dxa" w:w="2951"/>
            <w:shd w:fill="183A63"/>
            <w:vAlign w:val="center"/>
            <w:tcMar>
              <w:top w:w="80" w:type="dxa"/>
              <w:start w:w="120" w:type="dxa"/>
              <w:bottom w:w="80" w:type="dxa"/>
              <w:end w:w="120" w:type="dxa"/>
            </w:tcMar>
          </w:tcPr>
          <w:p>
            <w:r>
              <w:rPr>
                <w:rFonts w:ascii="Arial" w:hAnsi="Arial"/>
                <w:b/>
                <w:color w:val="FFFFFF"/>
                <w:sz w:val="15"/>
              </w:rPr>
              <w:t>Contract</w:t>
            </w:r>
          </w:p>
        </w:tc>
        <w:tc>
          <w:tcPr>
            <w:tcW w:type="dxa" w:w="6926"/>
            <w:shd w:fill="183A63"/>
            <w:vAlign w:val="center"/>
            <w:tcMar>
              <w:top w:w="80" w:type="dxa"/>
              <w:start w:w="120" w:type="dxa"/>
              <w:bottom w:w="80" w:type="dxa"/>
              <w:end w:w="120" w:type="dxa"/>
            </w:tcMar>
          </w:tcPr>
          <w:p>
            <w:r>
              <w:rPr>
                <w:rFonts w:ascii="Arial" w:hAnsi="Arial"/>
                <w:b/>
                <w:color w:val="FFFFFF"/>
                <w:sz w:val="15"/>
              </w:rPr>
              <w:t>Minimum fields</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5"/>
              </w:rPr>
              <w:t>EventTrainingPackagePublished</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5"/>
              </w:rPr>
              <w:t>message_id, event_id, organisation_id, package_version, approved_at, effective_at, scope, assignments, content domains, classification, checksum</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5"/>
              </w:rPr>
              <w:t>EventAssignmentChanged</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5"/>
              </w:rPr>
              <w:t>message_id, event_id, person_id, role_id, assignment_version, effective_at, reason</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5"/>
              </w:rPr>
              <w:t>LearnerReadinessChanged</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5"/>
              </w:rPr>
              <w:t>message_id, person_id, event_id, role_id, package_version, readiness_state, missing_requirements, calculated_at, valid_until</w:t>
            </w:r>
          </w:p>
        </w:tc>
      </w:tr>
      <w:tr>
        <w:trPr>
          <w:cantSplit/>
        </w:trPr>
        <w:tc>
          <w:tcPr>
            <w:tcW w:type="dxa" w:w="2951"/>
            <w:vAlign w:val="top"/>
            <w:shd w:fill="F5F7FA"/>
            <w:tcMar>
              <w:top w:w="80" w:type="dxa"/>
              <w:start w:w="120" w:type="dxa"/>
              <w:bottom w:w="80" w:type="dxa"/>
              <w:end w:w="120" w:type="dxa"/>
            </w:tcMar>
          </w:tcPr>
          <w:p>
            <w:pPr>
              <w:spacing w:after="40" w:line="252" w:lineRule="auto"/>
            </w:pPr>
            <w:r>
              <w:rPr>
                <w:rFonts w:ascii="Arial" w:hAnsi="Arial"/>
                <w:b/>
                <w:color w:val="172033"/>
                <w:sz w:val="15"/>
              </w:rPr>
              <w:t>CertificateStatusChanged</w:t>
            </w:r>
          </w:p>
        </w:tc>
        <w:tc>
          <w:tcPr>
            <w:tcW w:type="dxa" w:w="6926"/>
            <w:vAlign w:val="top"/>
            <w:shd w:fill="F5F7FA"/>
            <w:tcMar>
              <w:top w:w="80" w:type="dxa"/>
              <w:start w:w="120" w:type="dxa"/>
              <w:bottom w:w="80" w:type="dxa"/>
              <w:end w:w="120" w:type="dxa"/>
            </w:tcMar>
          </w:tcPr>
          <w:p>
            <w:pPr>
              <w:spacing w:after="40" w:line="252" w:lineRule="auto"/>
            </w:pPr>
            <w:r>
              <w:rPr>
                <w:rFonts w:ascii="Arial" w:hAnsi="Arial"/>
                <w:b w:val="0"/>
                <w:color w:val="172033"/>
                <w:sz w:val="15"/>
              </w:rPr>
              <w:t>message_id, person_id, certificate_id, role_scope, status, issued_at, expires_at, reason</w:t>
            </w:r>
          </w:p>
        </w:tc>
      </w:tr>
      <w:tr>
        <w:trPr>
          <w:cantSplit/>
        </w:trPr>
        <w:tc>
          <w:tcPr>
            <w:tcW w:type="dxa" w:w="2951"/>
            <w:vAlign w:val="top"/>
            <w:tcMar>
              <w:top w:w="80" w:type="dxa"/>
              <w:start w:w="120" w:type="dxa"/>
              <w:bottom w:w="80" w:type="dxa"/>
              <w:end w:w="120" w:type="dxa"/>
            </w:tcMar>
          </w:tcPr>
          <w:p>
            <w:pPr>
              <w:spacing w:after="40" w:line="252" w:lineRule="auto"/>
            </w:pPr>
            <w:r>
              <w:rPr>
                <w:rFonts w:ascii="Arial" w:hAnsi="Arial"/>
                <w:b/>
                <w:color w:val="172033"/>
                <w:sz w:val="15"/>
              </w:rPr>
              <w:t>ReconciliationSnapshot</w:t>
            </w:r>
          </w:p>
        </w:tc>
        <w:tc>
          <w:tcPr>
            <w:tcW w:type="dxa" w:w="6926"/>
            <w:vAlign w:val="top"/>
            <w:tcMar>
              <w:top w:w="80" w:type="dxa"/>
              <w:start w:w="120" w:type="dxa"/>
              <w:bottom w:w="80" w:type="dxa"/>
              <w:end w:w="120" w:type="dxa"/>
            </w:tcMar>
          </w:tcPr>
          <w:p>
            <w:pPr>
              <w:spacing w:after="40" w:line="252" w:lineRule="auto"/>
            </w:pPr>
            <w:r>
              <w:rPr>
                <w:rFonts w:ascii="Arial" w:hAnsi="Arial"/>
                <w:b w:val="0"/>
                <w:color w:val="172033"/>
                <w:sz w:val="15"/>
              </w:rPr>
              <w:t>system, organisation_id, cursor, entity summaries, generated_at, checksum</w:t>
            </w:r>
          </w:p>
        </w:tc>
      </w:tr>
    </w:tbl>
    <w:p>
      <w:pPr>
        <w:spacing w:after="20"/>
      </w:pPr>
    </w:p>
    <w:p>
      <w:pPr>
        <w:spacing w:after="100"/>
      </w:pPr>
      <w:r>
        <w:rPr>
          <w:rFonts w:ascii="Arial" w:hAnsi="Arial"/>
          <w:b w:val="0"/>
          <w:i/>
          <w:color w:val="667085"/>
          <w:sz w:val="17"/>
        </w:rPr>
        <w:t>All contracts include schema version, idempotency key, correlation ID, producer, occurred-at timestamp and signature or authenticated transport context.</w:t>
      </w:r>
    </w:p>
    <w:p>
      <w:pPr>
        <w:pStyle w:val="Heading1"/>
      </w:pPr>
      <w:r>
        <w:t>Appendix C — Traceability and definition of done</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3024"/>
        <w:gridCol w:w="6854"/>
      </w:tblGrid>
      <w:tr>
        <w:trPr>
          <w:tblHeader w:val="true"/>
          <w:cantSplit/>
        </w:trPr>
        <w:tc>
          <w:tcPr>
            <w:tcW w:type="dxa" w:w="3024"/>
            <w:shd w:fill="183A63"/>
            <w:vAlign w:val="center"/>
            <w:tcMar>
              <w:top w:w="80" w:type="dxa"/>
              <w:start w:w="120" w:type="dxa"/>
              <w:bottom w:w="80" w:type="dxa"/>
              <w:end w:w="120" w:type="dxa"/>
            </w:tcMar>
          </w:tcPr>
          <w:p>
            <w:r>
              <w:rPr>
                <w:rFonts w:ascii="Arial" w:hAnsi="Arial"/>
                <w:b/>
                <w:color w:val="FFFFFF"/>
                <w:sz w:val="15"/>
              </w:rPr>
              <w:t>Deliverable relationship</w:t>
            </w:r>
          </w:p>
        </w:tc>
        <w:tc>
          <w:tcPr>
            <w:tcW w:type="dxa" w:w="6854"/>
            <w:shd w:fill="183A63"/>
            <w:vAlign w:val="center"/>
            <w:tcMar>
              <w:top w:w="80" w:type="dxa"/>
              <w:start w:w="120" w:type="dxa"/>
              <w:bottom w:w="80" w:type="dxa"/>
              <w:end w:w="120" w:type="dxa"/>
            </w:tcMar>
          </w:tcPr>
          <w:p>
            <w:r>
              <w:rPr>
                <w:rFonts w:ascii="Arial" w:hAnsi="Arial"/>
                <w:b/>
                <w:color w:val="FFFFFF"/>
                <w:sz w:val="15"/>
              </w:rPr>
              <w:t>Blueprint commitment</w:t>
            </w:r>
          </w:p>
        </w:tc>
      </w:tr>
      <w:tr>
        <w:trPr>
          <w:cantSplit/>
        </w:trPr>
        <w:tc>
          <w:tcPr>
            <w:tcW w:type="dxa" w:w="3024"/>
            <w:vAlign w:val="top"/>
            <w:tcMar>
              <w:top w:w="80" w:type="dxa"/>
              <w:start w:w="120" w:type="dxa"/>
              <w:bottom w:w="80" w:type="dxa"/>
              <w:end w:w="120" w:type="dxa"/>
            </w:tcMar>
          </w:tcPr>
          <w:p>
            <w:pPr>
              <w:spacing w:after="40" w:line="252" w:lineRule="auto"/>
            </w:pPr>
            <w:r>
              <w:rPr>
                <w:rFonts w:ascii="Arial" w:hAnsi="Arial"/>
                <w:b/>
                <w:color w:val="172033"/>
                <w:sz w:val="15"/>
              </w:rPr>
              <w:t>30-Module Competency Map</w:t>
            </w:r>
          </w:p>
        </w:tc>
        <w:tc>
          <w:tcPr>
            <w:tcW w:type="dxa" w:w="6854"/>
            <w:vAlign w:val="top"/>
            <w:tcMar>
              <w:top w:w="80" w:type="dxa"/>
              <w:start w:w="120" w:type="dxa"/>
              <w:bottom w:w="80" w:type="dxa"/>
              <w:end w:w="120" w:type="dxa"/>
            </w:tcMar>
          </w:tcPr>
          <w:p>
            <w:pPr>
              <w:spacing w:after="40" w:line="252" w:lineRule="auto"/>
            </w:pPr>
            <w:r>
              <w:rPr>
                <w:rFonts w:ascii="Arial" w:hAnsi="Arial"/>
                <w:b w:val="0"/>
                <w:color w:val="172033"/>
                <w:sz w:val="15"/>
              </w:rPr>
              <w:t>Every approved Knowledge Item maps to competencies, roles and evidence</w:t>
            </w:r>
          </w:p>
        </w:tc>
      </w:tr>
      <w:tr>
        <w:trPr>
          <w:cantSplit/>
        </w:trPr>
        <w:tc>
          <w:tcPr>
            <w:tcW w:type="dxa" w:w="3024"/>
            <w:vAlign w:val="top"/>
            <w:shd w:fill="F5F7FA"/>
            <w:tcMar>
              <w:top w:w="80" w:type="dxa"/>
              <w:start w:w="120" w:type="dxa"/>
              <w:bottom w:w="80" w:type="dxa"/>
              <w:end w:w="120" w:type="dxa"/>
            </w:tcMar>
          </w:tcPr>
          <w:p>
            <w:pPr>
              <w:spacing w:after="40" w:line="252" w:lineRule="auto"/>
            </w:pPr>
            <w:r>
              <w:rPr>
                <w:rFonts w:ascii="Arial" w:hAnsi="Arial"/>
                <w:b/>
                <w:color w:val="172033"/>
                <w:sz w:val="15"/>
              </w:rPr>
              <w:t>Role and Learning-Path Matrix</w:t>
            </w:r>
          </w:p>
        </w:tc>
        <w:tc>
          <w:tcPr>
            <w:tcW w:type="dxa" w:w="6854"/>
            <w:vAlign w:val="top"/>
            <w:shd w:fill="F5F7FA"/>
            <w:tcMar>
              <w:top w:w="80" w:type="dxa"/>
              <w:start w:w="120" w:type="dxa"/>
              <w:bottom w:w="80" w:type="dxa"/>
              <w:end w:w="120" w:type="dxa"/>
            </w:tcMar>
          </w:tcPr>
          <w:p>
            <w:pPr>
              <w:spacing w:after="40" w:line="252" w:lineRule="auto"/>
            </w:pPr>
            <w:r>
              <w:rPr>
                <w:rFonts w:ascii="Arial" w:hAnsi="Arial"/>
                <w:b w:val="0"/>
                <w:color w:val="172033"/>
                <w:sz w:val="15"/>
              </w:rPr>
              <w:t>Every controlled role has explicit requirements and equivalence rules</w:t>
            </w:r>
          </w:p>
        </w:tc>
      </w:tr>
      <w:tr>
        <w:trPr>
          <w:cantSplit/>
        </w:trPr>
        <w:tc>
          <w:tcPr>
            <w:tcW w:type="dxa" w:w="3024"/>
            <w:vAlign w:val="top"/>
            <w:tcMar>
              <w:top w:w="80" w:type="dxa"/>
              <w:start w:w="120" w:type="dxa"/>
              <w:bottom w:w="80" w:type="dxa"/>
              <w:end w:w="120" w:type="dxa"/>
            </w:tcMar>
          </w:tcPr>
          <w:p>
            <w:pPr>
              <w:spacing w:after="40" w:line="252" w:lineRule="auto"/>
            </w:pPr>
            <w:r>
              <w:rPr>
                <w:rFonts w:ascii="Arial" w:hAnsi="Arial"/>
                <w:b/>
                <w:color w:val="172033"/>
                <w:sz w:val="15"/>
              </w:rPr>
              <w:t>Curriculum Specification</w:t>
            </w:r>
          </w:p>
        </w:tc>
        <w:tc>
          <w:tcPr>
            <w:tcW w:type="dxa" w:w="6854"/>
            <w:vAlign w:val="top"/>
            <w:tcMar>
              <w:top w:w="80" w:type="dxa"/>
              <w:start w:w="120" w:type="dxa"/>
              <w:bottom w:w="80" w:type="dxa"/>
              <w:end w:w="120" w:type="dxa"/>
            </w:tcMar>
          </w:tcPr>
          <w:p>
            <w:pPr>
              <w:spacing w:after="40" w:line="252" w:lineRule="auto"/>
            </w:pPr>
            <w:r>
              <w:rPr>
                <w:rFonts w:ascii="Arial" w:hAnsi="Arial"/>
                <w:b w:val="0"/>
                <w:color w:val="172033"/>
                <w:sz w:val="15"/>
              </w:rPr>
              <w:t>Every course and lesson implements this hierarchy and governance lifecycle</w:t>
            </w:r>
          </w:p>
        </w:tc>
      </w:tr>
      <w:tr>
        <w:trPr>
          <w:cantSplit/>
        </w:trPr>
        <w:tc>
          <w:tcPr>
            <w:tcW w:type="dxa" w:w="3024"/>
            <w:vAlign w:val="top"/>
            <w:shd w:fill="F5F7FA"/>
            <w:tcMar>
              <w:top w:w="80" w:type="dxa"/>
              <w:start w:w="120" w:type="dxa"/>
              <w:bottom w:w="80" w:type="dxa"/>
              <w:end w:w="120" w:type="dxa"/>
            </w:tcMar>
          </w:tcPr>
          <w:p>
            <w:pPr>
              <w:spacing w:after="40" w:line="252" w:lineRule="auto"/>
            </w:pPr>
            <w:r>
              <w:rPr>
                <w:rFonts w:ascii="Arial" w:hAnsi="Arial"/>
                <w:b/>
                <w:color w:val="172033"/>
                <w:sz w:val="15"/>
              </w:rPr>
              <w:t>Question Bank</w:t>
            </w:r>
          </w:p>
        </w:tc>
        <w:tc>
          <w:tcPr>
            <w:tcW w:type="dxa" w:w="6854"/>
            <w:vAlign w:val="top"/>
            <w:shd w:fill="F5F7FA"/>
            <w:tcMar>
              <w:top w:w="80" w:type="dxa"/>
              <w:start w:w="120" w:type="dxa"/>
              <w:bottom w:w="80" w:type="dxa"/>
              <w:end w:w="120" w:type="dxa"/>
            </w:tcMar>
          </w:tcPr>
          <w:p>
            <w:pPr>
              <w:spacing w:after="40" w:line="252" w:lineRule="auto"/>
            </w:pPr>
            <w:r>
              <w:rPr>
                <w:rFonts w:ascii="Arial" w:hAnsi="Arial"/>
                <w:b w:val="0"/>
                <w:color w:val="172033"/>
                <w:sz w:val="15"/>
              </w:rPr>
              <w:t>Every scored item traces to approved knowledge and a competency</w:t>
            </w:r>
          </w:p>
        </w:tc>
      </w:tr>
      <w:tr>
        <w:trPr>
          <w:cantSplit/>
        </w:trPr>
        <w:tc>
          <w:tcPr>
            <w:tcW w:type="dxa" w:w="3024"/>
            <w:vAlign w:val="top"/>
            <w:tcMar>
              <w:top w:w="80" w:type="dxa"/>
              <w:start w:w="120" w:type="dxa"/>
              <w:bottom w:w="80" w:type="dxa"/>
              <w:end w:w="120" w:type="dxa"/>
            </w:tcMar>
          </w:tcPr>
          <w:p>
            <w:pPr>
              <w:spacing w:after="40" w:line="252" w:lineRule="auto"/>
            </w:pPr>
            <w:r>
              <w:rPr>
                <w:rFonts w:ascii="Arial" w:hAnsi="Arial"/>
                <w:b/>
                <w:color w:val="172033"/>
                <w:sz w:val="15"/>
              </w:rPr>
              <w:t>Certification Framework</w:t>
            </w:r>
          </w:p>
        </w:tc>
        <w:tc>
          <w:tcPr>
            <w:tcW w:type="dxa" w:w="6854"/>
            <w:vAlign w:val="top"/>
            <w:tcMar>
              <w:top w:w="80" w:type="dxa"/>
              <w:start w:w="120" w:type="dxa"/>
              <w:bottom w:w="80" w:type="dxa"/>
              <w:end w:w="120" w:type="dxa"/>
            </w:tcMar>
          </w:tcPr>
          <w:p>
            <w:pPr>
              <w:spacing w:after="40" w:line="252" w:lineRule="auto"/>
            </w:pPr>
            <w:r>
              <w:rPr>
                <w:rFonts w:ascii="Arial" w:hAnsi="Arial"/>
                <w:b w:val="0"/>
                <w:color w:val="172033"/>
                <w:sz w:val="15"/>
              </w:rPr>
              <w:t>Every certificate implements the separate-state and critical-failure laws</w:t>
            </w:r>
          </w:p>
        </w:tc>
      </w:tr>
      <w:tr>
        <w:trPr>
          <w:cantSplit/>
        </w:trPr>
        <w:tc>
          <w:tcPr>
            <w:tcW w:type="dxa" w:w="3024"/>
            <w:vAlign w:val="top"/>
            <w:shd w:fill="F5F7FA"/>
            <w:tcMar>
              <w:top w:w="80" w:type="dxa"/>
              <w:start w:w="120" w:type="dxa"/>
              <w:bottom w:w="80" w:type="dxa"/>
              <w:end w:w="120" w:type="dxa"/>
            </w:tcMar>
          </w:tcPr>
          <w:p>
            <w:pPr>
              <w:spacing w:after="40" w:line="252" w:lineRule="auto"/>
            </w:pPr>
            <w:r>
              <w:rPr>
                <w:rFonts w:ascii="Arial" w:hAnsi="Arial"/>
                <w:b/>
                <w:color w:val="172033"/>
                <w:sz w:val="15"/>
              </w:rPr>
              <w:t>Implementation Specifications</w:t>
            </w:r>
          </w:p>
        </w:tc>
        <w:tc>
          <w:tcPr>
            <w:tcW w:type="dxa" w:w="6854"/>
            <w:vAlign w:val="top"/>
            <w:shd w:fill="F5F7FA"/>
            <w:tcMar>
              <w:top w:w="80" w:type="dxa"/>
              <w:start w:w="120" w:type="dxa"/>
              <w:bottom w:w="80" w:type="dxa"/>
              <w:end w:w="120" w:type="dxa"/>
            </w:tcMar>
          </w:tcPr>
          <w:p>
            <w:pPr>
              <w:spacing w:after="40" w:line="252" w:lineRule="auto"/>
            </w:pPr>
            <w:r>
              <w:rPr>
                <w:rFonts w:ascii="Arial" w:hAnsi="Arial"/>
                <w:b w:val="0"/>
                <w:color w:val="172033"/>
                <w:sz w:val="15"/>
              </w:rPr>
              <w:t>Every slice preserves frontend parity, security, audit and acceptance</w:t>
            </w:r>
          </w:p>
        </w:tc>
      </w:tr>
      <w:tr>
        <w:trPr>
          <w:cantSplit/>
        </w:trPr>
        <w:tc>
          <w:tcPr>
            <w:tcW w:type="dxa" w:w="3024"/>
            <w:vAlign w:val="top"/>
            <w:tcMar>
              <w:top w:w="80" w:type="dxa"/>
              <w:start w:w="120" w:type="dxa"/>
              <w:bottom w:w="80" w:type="dxa"/>
              <w:end w:w="120" w:type="dxa"/>
            </w:tcMar>
          </w:tcPr>
          <w:p>
            <w:pPr>
              <w:spacing w:after="40" w:line="252" w:lineRule="auto"/>
            </w:pPr>
            <w:r>
              <w:rPr>
                <w:rFonts w:ascii="Arial" w:hAnsi="Arial"/>
                <w:b/>
                <w:color w:val="172033"/>
                <w:sz w:val="15"/>
              </w:rPr>
              <w:t>Independent Acceptance Pack</w:t>
            </w:r>
          </w:p>
        </w:tc>
        <w:tc>
          <w:tcPr>
            <w:tcW w:type="dxa" w:w="6854"/>
            <w:vAlign w:val="top"/>
            <w:tcMar>
              <w:top w:w="80" w:type="dxa"/>
              <w:start w:w="120" w:type="dxa"/>
              <w:bottom w:w="80" w:type="dxa"/>
              <w:end w:w="120" w:type="dxa"/>
            </w:tcMar>
          </w:tcPr>
          <w:p>
            <w:pPr>
              <w:spacing w:after="40" w:line="252" w:lineRule="auto"/>
            </w:pPr>
            <w:r>
              <w:rPr>
                <w:rFonts w:ascii="Arial" w:hAnsi="Arial"/>
                <w:b w:val="0"/>
                <w:color w:val="172033"/>
                <w:sz w:val="15"/>
              </w:rPr>
              <w:t>Every canonical law receives at least one verifiable test</w:t>
            </w:r>
          </w:p>
        </w:tc>
      </w:tr>
      <w:tr>
        <w:trPr>
          <w:cantSplit/>
        </w:trPr>
        <w:tc>
          <w:tcPr>
            <w:tcW w:type="dxa" w:w="3024"/>
            <w:vAlign w:val="top"/>
            <w:shd w:fill="F5F7FA"/>
            <w:tcMar>
              <w:top w:w="80" w:type="dxa"/>
              <w:start w:w="120" w:type="dxa"/>
              <w:bottom w:w="80" w:type="dxa"/>
              <w:end w:w="120" w:type="dxa"/>
            </w:tcMar>
          </w:tcPr>
          <w:p>
            <w:pPr>
              <w:spacing w:after="40" w:line="252" w:lineRule="auto"/>
            </w:pPr>
            <w:r>
              <w:rPr>
                <w:rFonts w:ascii="Arial" w:hAnsi="Arial"/>
                <w:b/>
                <w:color w:val="172033"/>
                <w:sz w:val="15"/>
              </w:rPr>
              <w:t>Academy Governance Register</w:t>
            </w:r>
          </w:p>
        </w:tc>
        <w:tc>
          <w:tcPr>
            <w:tcW w:type="dxa" w:w="6854"/>
            <w:vAlign w:val="top"/>
            <w:shd w:fill="F5F7FA"/>
            <w:tcMar>
              <w:top w:w="80" w:type="dxa"/>
              <w:start w:w="120" w:type="dxa"/>
              <w:bottom w:w="80" w:type="dxa"/>
              <w:end w:w="120" w:type="dxa"/>
            </w:tcMar>
          </w:tcPr>
          <w:p>
            <w:pPr>
              <w:spacing w:after="40" w:line="252" w:lineRule="auto"/>
            </w:pPr>
            <w:r>
              <w:rPr>
                <w:rFonts w:ascii="Arial" w:hAnsi="Arial"/>
                <w:b w:val="0"/>
                <w:color w:val="172033"/>
                <w:sz w:val="15"/>
              </w:rPr>
              <w:t>Every unresolved decision, exception, defect, risk and release is controlled</w:t>
            </w:r>
          </w:p>
        </w:tc>
      </w:tr>
    </w:tbl>
    <w:p>
      <w:pPr>
        <w:spacing w:after="20"/>
      </w:pPr>
    </w:p>
    <w:p>
      <w:pPr>
        <w:pStyle w:val="Heading2"/>
      </w:pPr>
      <w:r>
        <w:t>C1. Blueprint closure record</w:t>
      </w:r>
    </w:p>
    <w:tbl>
      <w:tblPr>
        <w:tblW w:type="dxa" w:w="9878"/>
        <w:jc w:val="left"/>
        <w:tblLayout w:type="fixed"/>
        <w:tblLook w:firstColumn="1" w:firstRow="1" w:lastColumn="0" w:lastRow="0" w:noHBand="0" w:noVBand="1" w:val="04A0"/>
        <w:tblBorders>
          <w:top w:val="single" w:sz="4" w:color="D8DEE8"/>
          <w:left w:val="single" w:sz="4" w:color="D8DEE8"/>
          <w:bottom w:val="single" w:sz="4" w:color="D8DEE8"/>
          <w:right w:val="single" w:sz="4" w:color="D8DEE8"/>
          <w:insideH w:val="single" w:sz="4" w:color="D8DEE8"/>
          <w:insideV w:val="single" w:sz="4" w:color="D8DEE8"/>
        </w:tblBorders>
      </w:tblPr>
      <w:tblGrid>
        <w:gridCol w:w="7056"/>
        <w:gridCol w:w="2822"/>
      </w:tblGrid>
      <w:tr>
        <w:trPr>
          <w:tblHeader w:val="true"/>
          <w:cantSplit/>
        </w:trPr>
        <w:tc>
          <w:tcPr>
            <w:tcW w:type="dxa" w:w="7056"/>
            <w:shd w:fill="183A63"/>
            <w:vAlign w:val="center"/>
            <w:tcMar>
              <w:top w:w="80" w:type="dxa"/>
              <w:start w:w="120" w:type="dxa"/>
              <w:bottom w:w="80" w:type="dxa"/>
              <w:end w:w="120" w:type="dxa"/>
            </w:tcMar>
          </w:tcPr>
          <w:p>
            <w:r>
              <w:rPr>
                <w:rFonts w:ascii="Arial" w:hAnsi="Arial"/>
                <w:b/>
                <w:color w:val="FFFFFF"/>
                <w:sz w:val="16"/>
              </w:rPr>
              <w:t>Decision</w:t>
            </w:r>
          </w:p>
        </w:tc>
        <w:tc>
          <w:tcPr>
            <w:tcW w:type="dxa" w:w="2822"/>
            <w:shd w:fill="183A63"/>
            <w:vAlign w:val="center"/>
            <w:tcMar>
              <w:top w:w="80" w:type="dxa"/>
              <w:start w:w="120" w:type="dxa"/>
              <w:bottom w:w="80" w:type="dxa"/>
              <w:end w:w="120" w:type="dxa"/>
            </w:tcMar>
          </w:tcPr>
          <w:p>
            <w:r>
              <w:rPr>
                <w:rFonts w:ascii="Arial" w:hAnsi="Arial"/>
                <w:b/>
                <w:color w:val="FFFFFF"/>
                <w:sz w:val="16"/>
              </w:rPr>
              <w:t>Status</w:t>
            </w:r>
          </w:p>
        </w:tc>
      </w:tr>
      <w:tr>
        <w:trPr>
          <w:cantSplit/>
        </w:trPr>
        <w:tc>
          <w:tcPr>
            <w:tcW w:type="dxa" w:w="7056"/>
            <w:vAlign w:val="top"/>
            <w:tcMar>
              <w:top w:w="80" w:type="dxa"/>
              <w:start w:w="120" w:type="dxa"/>
              <w:bottom w:w="80" w:type="dxa"/>
              <w:end w:w="120" w:type="dxa"/>
            </w:tcMar>
          </w:tcPr>
          <w:p>
            <w:pPr>
              <w:spacing w:after="40" w:line="252" w:lineRule="auto"/>
            </w:pPr>
            <w:r>
              <w:rPr>
                <w:rFonts w:ascii="Arial" w:hAnsi="Arial"/>
                <w:b/>
                <w:color w:val="172033"/>
                <w:sz w:val="16"/>
              </w:rPr>
              <w:t>Separate Academy repository and database</w:t>
            </w:r>
          </w:p>
        </w:tc>
        <w:tc>
          <w:tcPr>
            <w:tcW w:type="dxa" w:w="2822"/>
            <w:vAlign w:val="top"/>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shd w:fill="F5F7FA"/>
            <w:tcMar>
              <w:top w:w="80" w:type="dxa"/>
              <w:start w:w="120" w:type="dxa"/>
              <w:bottom w:w="80" w:type="dxa"/>
              <w:end w:w="120" w:type="dxa"/>
            </w:tcMar>
          </w:tcPr>
          <w:p>
            <w:pPr>
              <w:spacing w:after="40" w:line="252" w:lineRule="auto"/>
            </w:pPr>
            <w:r>
              <w:rPr>
                <w:rFonts w:ascii="Arial" w:hAnsi="Arial"/>
                <w:b/>
                <w:color w:val="172033"/>
                <w:sz w:val="16"/>
              </w:rPr>
              <w:t>Shared identity with bounded service integration</w:t>
            </w:r>
          </w:p>
        </w:tc>
        <w:tc>
          <w:tcPr>
            <w:tcW w:type="dxa" w:w="2822"/>
            <w:vAlign w:val="top"/>
            <w:shd w:fill="F5F7FA"/>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tcMar>
              <w:top w:w="80" w:type="dxa"/>
              <w:start w:w="120" w:type="dxa"/>
              <w:bottom w:w="80" w:type="dxa"/>
              <w:end w:w="120" w:type="dxa"/>
            </w:tcMar>
          </w:tcPr>
          <w:p>
            <w:pPr>
              <w:spacing w:after="40" w:line="252" w:lineRule="auto"/>
            </w:pPr>
            <w:r>
              <w:rPr>
                <w:rFonts w:ascii="Arial" w:hAnsi="Arial"/>
                <w:b/>
                <w:color w:val="172033"/>
                <w:sz w:val="16"/>
              </w:rPr>
              <w:t>OS owns event truth; Academy owns competence truth</w:t>
            </w:r>
          </w:p>
        </w:tc>
        <w:tc>
          <w:tcPr>
            <w:tcW w:type="dxa" w:w="2822"/>
            <w:vAlign w:val="top"/>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shd w:fill="F5F7FA"/>
            <w:tcMar>
              <w:top w:w="80" w:type="dxa"/>
              <w:start w:w="120" w:type="dxa"/>
              <w:bottom w:w="80" w:type="dxa"/>
              <w:end w:w="120" w:type="dxa"/>
            </w:tcMar>
          </w:tcPr>
          <w:p>
            <w:pPr>
              <w:spacing w:after="40" w:line="252" w:lineRule="auto"/>
            </w:pPr>
            <w:r>
              <w:rPr>
                <w:rFonts w:ascii="Arial" w:hAnsi="Arial"/>
                <w:b/>
                <w:color w:val="172033"/>
                <w:sz w:val="16"/>
              </w:rPr>
              <w:t>80% pass; 90% distinction; critical failures override total</w:t>
            </w:r>
          </w:p>
        </w:tc>
        <w:tc>
          <w:tcPr>
            <w:tcW w:type="dxa" w:w="2822"/>
            <w:vAlign w:val="top"/>
            <w:shd w:fill="F5F7FA"/>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tcMar>
              <w:top w:w="80" w:type="dxa"/>
              <w:start w:w="120" w:type="dxa"/>
              <w:bottom w:w="80" w:type="dxa"/>
              <w:end w:w="120" w:type="dxa"/>
            </w:tcMar>
          </w:tcPr>
          <w:p>
            <w:pPr>
              <w:spacing w:after="40" w:line="252" w:lineRule="auto"/>
            </w:pPr>
            <w:r>
              <w:rPr>
                <w:rFonts w:ascii="Arial" w:hAnsi="Arial"/>
                <w:b/>
                <w:color w:val="172033"/>
                <w:sz w:val="16"/>
              </w:rPr>
              <w:t>Unlimited governed retakes</w:t>
            </w:r>
          </w:p>
        </w:tc>
        <w:tc>
          <w:tcPr>
            <w:tcW w:type="dxa" w:w="2822"/>
            <w:vAlign w:val="top"/>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shd w:fill="F5F7FA"/>
            <w:tcMar>
              <w:top w:w="80" w:type="dxa"/>
              <w:start w:w="120" w:type="dxa"/>
              <w:bottom w:w="80" w:type="dxa"/>
              <w:end w:w="120" w:type="dxa"/>
            </w:tcMar>
          </w:tcPr>
          <w:p>
            <w:pPr>
              <w:spacing w:after="40" w:line="252" w:lineRule="auto"/>
            </w:pPr>
            <w:r>
              <w:rPr>
                <w:rFonts w:ascii="Arial" w:hAnsi="Arial"/>
                <w:b/>
                <w:color w:val="172033"/>
                <w:sz w:val="16"/>
              </w:rPr>
              <w:t>Annual default certification; six-month high-risk cycle</w:t>
            </w:r>
          </w:p>
        </w:tc>
        <w:tc>
          <w:tcPr>
            <w:tcW w:type="dxa" w:w="2822"/>
            <w:vAlign w:val="top"/>
            <w:shd w:fill="F5F7FA"/>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tcMar>
              <w:top w:w="80" w:type="dxa"/>
              <w:start w:w="120" w:type="dxa"/>
              <w:bottom w:w="80" w:type="dxa"/>
              <w:end w:w="120" w:type="dxa"/>
            </w:tcMar>
          </w:tcPr>
          <w:p>
            <w:pPr>
              <w:spacing w:after="40" w:line="252" w:lineRule="auto"/>
            </w:pPr>
            <w:r>
              <w:rPr>
                <w:rFonts w:ascii="Arial" w:hAnsi="Arial"/>
                <w:b/>
                <w:color w:val="172033"/>
                <w:sz w:val="16"/>
              </w:rPr>
              <w:t>Event-specific readiness before each assigned event</w:t>
            </w:r>
          </w:p>
        </w:tc>
        <w:tc>
          <w:tcPr>
            <w:tcW w:type="dxa" w:w="2822"/>
            <w:vAlign w:val="top"/>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shd w:fill="F5F7FA"/>
            <w:tcMar>
              <w:top w:w="80" w:type="dxa"/>
              <w:start w:w="120" w:type="dxa"/>
              <w:bottom w:w="80" w:type="dxa"/>
              <w:end w:w="120" w:type="dxa"/>
            </w:tcMar>
          </w:tcPr>
          <w:p>
            <w:pPr>
              <w:spacing w:after="40" w:line="252" w:lineRule="auto"/>
            </w:pPr>
            <w:r>
              <w:rPr>
                <w:rFonts w:ascii="Arial" w:hAnsi="Arial"/>
                <w:b/>
                <w:color w:val="172033"/>
                <w:sz w:val="16"/>
              </w:rPr>
              <w:t>Vertical and horizontal role-gap re-enrolment</w:t>
            </w:r>
          </w:p>
        </w:tc>
        <w:tc>
          <w:tcPr>
            <w:tcW w:type="dxa" w:w="2822"/>
            <w:vAlign w:val="top"/>
            <w:shd w:fill="F5F7FA"/>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tcMar>
              <w:top w:w="80" w:type="dxa"/>
              <w:start w:w="120" w:type="dxa"/>
              <w:bottom w:w="80" w:type="dxa"/>
              <w:end w:w="120" w:type="dxa"/>
            </w:tcMar>
          </w:tcPr>
          <w:p>
            <w:pPr>
              <w:spacing w:after="40" w:line="252" w:lineRule="auto"/>
            </w:pPr>
            <w:r>
              <w:rPr>
                <w:rFonts w:ascii="Arial" w:hAnsi="Arial"/>
                <w:b/>
                <w:color w:val="172033"/>
                <w:sz w:val="16"/>
              </w:rPr>
              <w:t>Full 30-module knowledge base and populated question bank are production deliverables</w:t>
            </w:r>
          </w:p>
        </w:tc>
        <w:tc>
          <w:tcPr>
            <w:tcW w:type="dxa" w:w="2822"/>
            <w:vAlign w:val="top"/>
            <w:tcMar>
              <w:top w:w="80" w:type="dxa"/>
              <w:start w:w="120" w:type="dxa"/>
              <w:bottom w:w="80" w:type="dxa"/>
              <w:end w:w="120" w:type="dxa"/>
            </w:tcMar>
          </w:tcPr>
          <w:p>
            <w:pPr>
              <w:spacing w:after="40" w:line="252" w:lineRule="auto"/>
            </w:pPr>
            <w:r>
              <w:rPr>
                <w:rFonts w:ascii="Arial" w:hAnsi="Arial"/>
                <w:b w:val="0"/>
                <w:color w:val="172033"/>
                <w:sz w:val="16"/>
              </w:rPr>
              <w:t>Adopted</w:t>
            </w:r>
          </w:p>
        </w:tc>
      </w:tr>
      <w:tr>
        <w:trPr>
          <w:cantSplit/>
        </w:trPr>
        <w:tc>
          <w:tcPr>
            <w:tcW w:type="dxa" w:w="7056"/>
            <w:vAlign w:val="top"/>
            <w:shd w:fill="F5F7FA"/>
            <w:tcMar>
              <w:top w:w="80" w:type="dxa"/>
              <w:start w:w="120" w:type="dxa"/>
              <w:bottom w:w="80" w:type="dxa"/>
              <w:end w:w="120" w:type="dxa"/>
            </w:tcMar>
          </w:tcPr>
          <w:p>
            <w:pPr>
              <w:spacing w:after="40" w:line="252" w:lineRule="auto"/>
            </w:pPr>
            <w:r>
              <w:rPr>
                <w:rFonts w:ascii="Arial" w:hAnsi="Arial"/>
                <w:b/>
                <w:color w:val="172033"/>
                <w:sz w:val="16"/>
              </w:rPr>
              <w:t>Frontend receives equal acceptance weight to backend</w:t>
            </w:r>
          </w:p>
        </w:tc>
        <w:tc>
          <w:tcPr>
            <w:tcW w:type="dxa" w:w="2822"/>
            <w:vAlign w:val="top"/>
            <w:shd w:fill="F5F7FA"/>
            <w:tcMar>
              <w:top w:w="80" w:type="dxa"/>
              <w:start w:w="120" w:type="dxa"/>
              <w:bottom w:w="80" w:type="dxa"/>
              <w:end w:w="120" w:type="dxa"/>
            </w:tcMar>
          </w:tcPr>
          <w:p>
            <w:pPr>
              <w:spacing w:after="40" w:line="252" w:lineRule="auto"/>
            </w:pPr>
            <w:r>
              <w:rPr>
                <w:rFonts w:ascii="Arial" w:hAnsi="Arial"/>
                <w:b w:val="0"/>
                <w:color w:val="172033"/>
                <w:sz w:val="16"/>
              </w:rPr>
              <w:t>Adopted</w:t>
            </w:r>
          </w:p>
        </w:tc>
      </w:tr>
    </w:tbl>
    <w:p>
      <w:pPr>
        <w:spacing w:after="20"/>
      </w:pPr>
    </w:p>
    <w:tbl>
      <w:tblPr>
        <w:tblW w:type="dxa" w:w="9878"/>
        <w:jc w:val="left"/>
        <w:tblLayout w:type="fixed"/>
        <w:tblLook w:firstColumn="1" w:firstRow="1" w:lastColumn="0" w:lastRow="0" w:noHBand="0" w:noVBand="1" w:val="04A0"/>
        <w:tblBorders>
          <w:top w:val="single" w:sz="6" w:color="B79F55"/>
          <w:left w:val="single" w:sz="6" w:color="B79F55"/>
          <w:bottom w:val="single" w:sz="6" w:color="B79F55"/>
          <w:right w:val="single" w:sz="6" w:color="B79F55"/>
          <w:insideH w:val="single" w:sz="6" w:color="B79F55"/>
          <w:insideV w:val="single" w:sz="6" w:color="B79F55"/>
        </w:tblBorders>
      </w:tblPr>
      <w:tblGrid>
        <w:gridCol w:w="9878"/>
      </w:tblGrid>
      <w:tr>
        <w:trPr>
          <w:tblHeader w:val="true"/>
          <w:cantSplit/>
        </w:trPr>
        <w:tc>
          <w:tcPr>
            <w:tcW w:type="dxa" w:w="9878"/>
            <w:shd w:fill="F7F2E8"/>
            <w:tcMar>
              <w:top w:w="80" w:type="dxa"/>
              <w:start w:w="120" w:type="dxa"/>
              <w:bottom w:w="80" w:type="dxa"/>
              <w:end w:w="120" w:type="dxa"/>
            </w:tcMar>
          </w:tcPr>
          <w:p>
            <w:pPr>
              <w:spacing w:after="0"/>
            </w:pPr>
            <w:r>
              <w:rPr>
                <w:rFonts w:ascii="Arial" w:hAnsi="Arial"/>
                <w:b/>
                <w:color w:val="B79F55"/>
                <w:sz w:val="19"/>
              </w:rPr>
              <w:t xml:space="preserve">RATIFICATION DECISION  </w:t>
            </w:r>
            <w:r>
              <w:rPr>
                <w:rFonts w:ascii="Arial" w:hAnsi="Arial"/>
                <w:b/>
                <w:color w:val="10233F"/>
                <w:sz w:val="19"/>
              </w:rPr>
              <w:t>Approve this document as the canonical build authority for Maison Doclar Academy, subject only to recorded amendments.</w:t>
            </w:r>
          </w:p>
        </w:tc>
      </w:tr>
    </w:tbl>
    <w:p>
      <w:pPr>
        <w:spacing w:after="2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085"/>
        <w:sz w:val="15"/>
      </w:rPr>
      <w:t>MAISON DOCLAR ACADEMY  /  CANONICAL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3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83A6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B79F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04" w:hanging="259"/>
      <w:contextualSpacing/>
    </w:pPr>
    <w:rPr>
      <w:rFonts w:ascii="Arial" w:hAnsi="Arial"/>
      <w:color w:val="1720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04" w:hanging="259"/>
      <w:contextualSpacing/>
    </w:pPr>
    <w:rPr>
      <w:rFonts w:ascii="Arial" w:hAnsi="Arial"/>
      <w:color w:val="1720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16" w:right="216"/>
    </w:pPr>
    <w:rPr>
      <w:rFonts w:ascii="Arial" w:hAnsi="Arial"/>
      <w:color w:val="1023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Canonical Blueprint</dc:title>
  <dc:subject>Architecture, curriculum, assessment, certification, frontend, integration and delivery</dc:subject>
  <dc:creator>Maison Doclar</dc:creator>
  <cp:keywords>Maison Doclar, Academy, training, certification, event intelligence</cp:keywords>
  <dc:description>Version 1.0</dc:description>
  <cp:lastModifiedBy/>
  <cp:revision>1</cp:revision>
  <dcterms:created xsi:type="dcterms:W3CDTF">2013-12-23T23:15:00Z</dcterms:created>
  <dcterms:modified xsi:type="dcterms:W3CDTF">2013-12-23T23:15:00Z</dcterms:modified>
  <cp:category/>
</cp:coreProperties>
</file>