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r>
        <w:rPr>
          <w:rFonts w:ascii="Arial" w:hAnsi="Arial"/>
          <w:b/>
          <w:color w:val="B79F85"/>
          <w:sz w:val="22"/>
        </w:rPr>
        <w:t>MAISON DOCLAR</w:t>
      </w:r>
    </w:p>
    <w:p>
      <w:pPr>
        <w:spacing w:after="80"/>
      </w:pPr>
      <w:r>
        <w:rPr>
          <w:rFonts w:ascii="Arial" w:hAnsi="Arial"/>
          <w:b/>
          <w:color w:val="10243E"/>
          <w:sz w:val="32"/>
        </w:rPr>
        <w:t>Academy</w:t>
      </w:r>
    </w:p>
    <w:p>
      <w:pPr>
        <w:spacing w:after="200"/>
      </w:pPr>
      <w:r>
        <w:rPr>
          <w:rFonts w:ascii="Arial" w:hAnsi="Arial"/>
          <w:b/>
          <w:color w:val="10243E"/>
          <w:sz w:val="54"/>
        </w:rPr>
        <w:t>Complete Frontend Experience Specification</w:t>
      </w:r>
    </w:p>
    <w:p>
      <w:pPr>
        <w:spacing w:after="500"/>
      </w:pPr>
      <w:r>
        <w:rPr>
          <w:rFonts w:ascii="Arial" w:hAnsi="Arial"/>
          <w:b w:val="0"/>
          <w:color w:val="667085"/>
          <w:sz w:val="25"/>
        </w:rPr>
        <w:t>Mobile learner journeys and operational interfaces for managers, assessors, administrators and the CEO</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05" w:type="dxa"/>
              <w:bottom w:w="70" w:type="dxa"/>
              <w:end w:w="105" w:type="dxa"/>
            </w:tcMar>
          </w:tcPr>
          <w:p>
            <w:r>
              <w:rPr>
                <w:rFonts w:ascii="Arial" w:hAnsi="Arial"/>
                <w:b/>
                <w:color w:val="FFFFFF"/>
                <w:sz w:val="17"/>
              </w:rPr>
              <w:t>Document</w:t>
            </w:r>
          </w:p>
        </w:tc>
        <w:tc>
          <w:tcPr>
            <w:tcW w:type="dxa" w:w="7160"/>
            <w:shd w:fill="10243E"/>
            <w:tcMar>
              <w:top w:w="70" w:type="dxa"/>
              <w:start w:w="105" w:type="dxa"/>
              <w:bottom w:w="70" w:type="dxa"/>
              <w:end w:w="105" w:type="dxa"/>
            </w:tcMar>
          </w:tcPr>
          <w:p>
            <w:r>
              <w:rPr>
                <w:rFonts w:ascii="Arial" w:hAnsi="Arial"/>
                <w:b/>
                <w:color w:val="FFFFFF"/>
                <w:sz w:val="17"/>
              </w:rPr>
              <w:t>Control value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7"/>
              </w:rPr>
              <w:t>Owner</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7"/>
              </w:rPr>
              <w:t>CEO / Academy Product and Governance</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7"/>
              </w:rPr>
              <w:t>Version</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7"/>
              </w:rPr>
              <w:t>1.0</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7"/>
              </w:rPr>
              <w:t>Status</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7"/>
              </w:rPr>
              <w:t>Draft for ratification</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7"/>
              </w:rPr>
              <w:t>Primary surfaces</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7"/>
              </w:rPr>
              <w:t>Mobile learner web app; responsive manager, assessor, administrator and CEO workspaces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7"/>
              </w:rPr>
              <w:t>Accessibility</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7"/>
              </w:rPr>
              <w:t>WCAG 2.2 AA minimum</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7"/>
              </w:rPr>
              <w:t>Controlling sources</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7"/>
              </w:rPr>
              <w:t>Academy Blueprint, Integration Contract, Curriculum, Assessment, Certification, Data and Permissions Specifications v1.0</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7"/>
              </w:rPr>
              <w:t>Effect</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7"/>
              </w:rPr>
              <w:t>Authoritative frontend product and acceptance contract when ratified</w:t>
            </w:r>
          </w:p>
        </w:tc>
      </w:tr>
    </w:tbl>
    <w:p>
      <w:pPr>
        <w:spacing w:after="200"/>
      </w:pPr>
      <w:r>
        <w:rPr>
          <w:rFonts w:ascii="Arial" w:hAnsi="Arial"/>
          <w:b w:val="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EXPERIENCE LAW</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The frontend must make the correct next action obvious, the consequence understandable and the governing boundary visible. Beauty, speed, accessibility, permission safety and operational usefulness are one product requirement—not separate phases.</w:t>
            </w:r>
          </w:p>
        </w:tc>
      </w:tr>
    </w:tbl>
    <w:p>
      <w:r>
        <w:br w:type="page"/>
      </w:r>
    </w:p>
    <w:p>
      <w:pPr>
        <w:pStyle w:val="Heading1"/>
      </w:pPr>
      <w:r>
        <w:t>1. Product intent and non-negotiable outcomes</w:t>
      </w:r>
    </w:p>
    <w:p>
      <w:pPr>
        <w:spacing w:after="100"/>
      </w:pPr>
      <w:r>
        <w:rPr>
          <w:rFonts w:ascii="Arial" w:hAnsi="Arial"/>
          <w:b w:val="0"/>
        </w:rPr>
        <w:t>The Academy frontend turns Maison Doclar doctrine into confident human performance. It must work for a frontline learner on a phone, an assessor judging evidence, a manager protecting readiness, an administrator operating governed workflows and a CEO seeing whether the organisation can deliver its promise.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Outcome</w:t>
            </w:r>
          </w:p>
        </w:tc>
        <w:tc>
          <w:tcPr>
            <w:tcW w:type="dxa" w:w="7460"/>
            <w:shd w:fill="10243E"/>
            <w:tcMar>
              <w:top w:w="70" w:type="dxa"/>
              <w:start w:w="105" w:type="dxa"/>
              <w:bottom w:w="70" w:type="dxa"/>
              <w:end w:w="105" w:type="dxa"/>
            </w:tcMar>
          </w:tcPr>
          <w:p>
            <w:r>
              <w:rPr>
                <w:rFonts w:ascii="Arial" w:hAnsi="Arial"/>
                <w:b/>
                <w:color w:val="FFFFFF"/>
                <w:sz w:val="17"/>
              </w:rPr>
              <w:t>Frontend obligation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7"/>
              </w:rPr>
              <w:t>Clarity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7"/>
              </w:rPr>
              <w:t>Show what matters now, why it matters and the next permitted action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7"/>
              </w:rPr>
              <w:t>Readiness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7"/>
              </w:rPr>
              <w:t>Separate learning completion, certification, event readiness and Event OS operational authority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7"/>
              </w:rPr>
              <w:t>Confidence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7"/>
              </w:rPr>
              <w:t>Preserve progress, explain state and confirm consequential actions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7"/>
              </w:rPr>
              <w:t>Efficiency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7"/>
              </w:rPr>
              <w:t>Use role-focused workspaces, queues, filters, bulk preview and sensible defaults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7"/>
              </w:rPr>
              <w:t>Integrity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7"/>
              </w:rPr>
              <w:t>Protect keys/evidence, prevent self-approval and expose version/freshness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7"/>
              </w:rPr>
              <w:t>Premium delivery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7"/>
              </w:rPr>
              <w:t>Calm, precise, restrained interface with excellent mobile behaviour</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7"/>
              </w:rPr>
              <w:t>Inclusion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7"/>
              </w:rPr>
              <w:t>WCAG 2.2 AA, low-bandwidth resilience and accessible alternatives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7"/>
              </w:rPr>
              <w:t>Accountability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7"/>
              </w:rPr>
              <w:t>Make decision owner, reason, deadline and audit reference visible where authorised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NO FALSE AUTHORITY</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A completed lesson, passing score, certificate or Academy “Ready” indicator must never look like an event credential, access permission or live operational authority. Those belong to the Event OS.</w:t>
            </w:r>
          </w:p>
        </w:tc>
      </w:tr>
    </w:tbl>
    <w:p>
      <w:r>
        <w:br w:type="page"/>
      </w:r>
    </w:p>
    <w:p>
      <w:pPr>
        <w:pStyle w:val="Heading1"/>
      </w:pPr>
      <w:r>
        <w:t>2. Experience principles</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05" w:type="dxa"/>
              <w:bottom w:w="70" w:type="dxa"/>
              <w:end w:w="105" w:type="dxa"/>
            </w:tcMar>
          </w:tcPr>
          <w:p>
            <w:r>
              <w:rPr>
                <w:rFonts w:ascii="Arial" w:hAnsi="Arial"/>
                <w:b/>
                <w:color w:val="FFFFFF"/>
                <w:sz w:val="17"/>
              </w:rPr>
              <w:t>Principle</w:t>
            </w:r>
          </w:p>
        </w:tc>
        <w:tc>
          <w:tcPr>
            <w:tcW w:type="dxa" w:w="7510"/>
            <w:shd w:fill="10243E"/>
            <w:tcMar>
              <w:top w:w="70" w:type="dxa"/>
              <w:start w:w="105" w:type="dxa"/>
              <w:bottom w:w="70" w:type="dxa"/>
              <w:end w:w="105" w:type="dxa"/>
            </w:tcMar>
          </w:tcPr>
          <w:p>
            <w:r>
              <w:rPr>
                <w:rFonts w:ascii="Arial" w:hAnsi="Arial"/>
                <w:b/>
                <w:color w:val="FFFFFF"/>
                <w:sz w:val="17"/>
              </w:rPr>
              <w:t>Applied rule</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One clear priority</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Each landing view leads with the most urgent permitted action</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Progressive disclosure</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Show essential decisions first; reveal detail without losing context</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Status with meaning</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Every status includes label, consequence, timestamp and next action</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No colour-only meaning</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Icon, word and shape accompany every semantic colour</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Safe by design</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Restricted objects are absent; direct-link denials do not leak existence</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Mobile first where work happens</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Learner and event-day views are designed from 360 px upward</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Desktop depth where comparison matters</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Authoring, queues, governance and analytics expand responsibly</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Version truth</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Published version, effective date and stale state are visible</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Human authority</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AI suggestions are labelled, sourced, editable where allowed and never self-executing</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Graceful recovery</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Drafts autosave; network loss, duplicate submission and resumed sessions are safe</w:t>
            </w:r>
          </w:p>
        </w:tc>
      </w:tr>
    </w:tbl>
    <w:p>
      <w:r>
        <w:br w:type="page"/>
      </w:r>
    </w:p>
    <w:p>
      <w:pPr>
        <w:pStyle w:val="Heading1"/>
      </w:pPr>
      <w:r>
        <w:t>3. Design system and visual language</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0243E"/>
            <w:tcMar>
              <w:top w:w="70" w:type="dxa"/>
              <w:start w:w="105" w:type="dxa"/>
              <w:bottom w:w="70" w:type="dxa"/>
              <w:end w:w="105" w:type="dxa"/>
            </w:tcMar>
          </w:tcPr>
          <w:p>
            <w:r>
              <w:rPr>
                <w:rFonts w:ascii="Arial" w:hAnsi="Arial"/>
                <w:b/>
                <w:color w:val="FFFFFF"/>
                <w:sz w:val="17"/>
              </w:rPr>
              <w:t>Token</w:t>
            </w:r>
          </w:p>
        </w:tc>
        <w:tc>
          <w:tcPr>
            <w:tcW w:type="dxa" w:w="7560"/>
            <w:shd w:fill="10243E"/>
            <w:tcMar>
              <w:top w:w="70" w:type="dxa"/>
              <w:start w:w="105" w:type="dxa"/>
              <w:bottom w:w="70" w:type="dxa"/>
              <w:end w:w="105" w:type="dxa"/>
            </w:tcMar>
          </w:tcPr>
          <w:p>
            <w:r>
              <w:rPr>
                <w:rFonts w:ascii="Arial" w:hAnsi="Arial"/>
                <w:b/>
                <w:color w:val="FFFFFF"/>
                <w:sz w:val="17"/>
              </w:rPr>
              <w:t>Specification</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Typography</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Inter preferred; approved system sans fallback; minimum 16 px learner body on mobile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Obsidian</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Primary text/navigation: #111318 or approved equivalent</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Ivory</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Primary surface: #FAF8F3 or accessible equivalent</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Maison gold</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Restrained accent: #B79F85; never sole status indicator</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Success</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Deep green plus check icon and text</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Warning</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Amber/brown plus warning icon and action</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Failure/critical</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Deep red plus explicit failure label; never decorative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Focus</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High-contrast 2 px visible ring with offset</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Corners</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8-12 px, consistent by component family</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Spacing</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4 px base grid; 8/12/16/24/32/48 scale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Touch targets</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Minimum 44 x 44 CSS px</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Motion</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Purposeful, under 250 ms normally; respects reduced-motion preference</w:t>
            </w:r>
          </w:p>
        </w:tc>
      </w:tr>
    </w:tbl>
    <w:p>
      <w:pPr>
        <w:pStyle w:val="Heading2"/>
      </w:pPr>
      <w:r>
        <w:t>3.1 Component hierarchy</w:t>
      </w:r>
    </w:p>
    <w:p>
      <w:pPr>
        <w:pStyle w:val="ListBullet"/>
        <w:spacing w:after="60"/>
        <w:ind w:left="547" w:hanging="274"/>
      </w:pPr>
      <w:r>
        <w:t>Primary action: one per decision region; clear verb and outcome.</w:t>
      </w:r>
    </w:p>
    <w:p>
      <w:pPr>
        <w:pStyle w:val="ListBullet"/>
        <w:spacing w:after="60"/>
        <w:ind w:left="547" w:hanging="274"/>
      </w:pPr>
      <w:r>
        <w:t>Cards: use for distinct actionable objects, not to box every paragraph.</w:t>
      </w:r>
    </w:p>
    <w:p>
      <w:pPr>
        <w:pStyle w:val="ListBullet"/>
        <w:spacing w:after="60"/>
        <w:ind w:left="547" w:hanging="274"/>
      </w:pPr>
      <w:r>
        <w:t>Tables: desktop comparison only; transform into labelled cards or priority rows on small screens.</w:t>
      </w:r>
    </w:p>
    <w:p>
      <w:pPr>
        <w:pStyle w:val="ListBullet"/>
        <w:spacing w:after="60"/>
        <w:ind w:left="547" w:hanging="274"/>
      </w:pPr>
      <w:r>
        <w:t>Badges: concise state only; never carry the full explanation.</w:t>
      </w:r>
    </w:p>
    <w:p>
      <w:pPr>
        <w:pStyle w:val="ListBullet"/>
        <w:spacing w:after="60"/>
        <w:ind w:left="547" w:hanging="274"/>
      </w:pPr>
      <w:r>
        <w:t>Drawers: quick detail while retaining list context; full page for complex decisions.</w:t>
      </w:r>
    </w:p>
    <w:p>
      <w:pPr>
        <w:pStyle w:val="ListBullet"/>
        <w:spacing w:after="60"/>
        <w:ind w:left="547" w:hanging="274"/>
      </w:pPr>
      <w:r>
        <w:t>Dialogs: confirmation or short bounded task; never long content or inaccessible nested workflows.</w:t>
      </w:r>
    </w:p>
    <w:p>
      <w:pPr>
        <w:pStyle w:val="ListBullet"/>
        <w:spacing w:after="60"/>
        <w:ind w:left="547" w:hanging="274"/>
      </w:pPr>
      <w:r>
        <w:t>Charts: decision-supporting trends with textual summary and accessible data view.</w:t>
      </w:r>
    </w:p>
    <w:p>
      <w:r>
        <w:br w:type="page"/>
      </w:r>
    </w:p>
    <w:p>
      <w:pPr>
        <w:pStyle w:val="Heading1"/>
      </w:pPr>
      <w:r>
        <w:t>4. Global information architecture</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c>
          <w:tcPr>
            <w:tcW w:type="dxa" w:w="1700"/>
            <w:shd w:fill="10243E"/>
            <w:tcMar>
              <w:top w:w="70" w:type="dxa"/>
              <w:start w:w="105" w:type="dxa"/>
              <w:bottom w:w="70" w:type="dxa"/>
              <w:end w:w="105" w:type="dxa"/>
            </w:tcMar>
          </w:tcPr>
          <w:p>
            <w:r>
              <w:rPr>
                <w:rFonts w:ascii="Arial" w:hAnsi="Arial"/>
                <w:b/>
                <w:color w:val="FFFFFF"/>
                <w:sz w:val="17"/>
              </w:rPr>
              <w:t>Area</w:t>
            </w:r>
          </w:p>
        </w:tc>
        <w:tc>
          <w:tcPr>
            <w:tcW w:type="dxa" w:w="4300"/>
            <w:shd w:fill="10243E"/>
            <w:tcMar>
              <w:top w:w="70" w:type="dxa"/>
              <w:start w:w="105" w:type="dxa"/>
              <w:bottom w:w="70" w:type="dxa"/>
              <w:end w:w="105" w:type="dxa"/>
            </w:tcMar>
          </w:tcPr>
          <w:p>
            <w:r>
              <w:rPr>
                <w:rFonts w:ascii="Arial" w:hAnsi="Arial"/>
                <w:b/>
                <w:color w:val="FFFFFF"/>
                <w:sz w:val="17"/>
              </w:rPr>
              <w:t>Purpose</w:t>
            </w:r>
          </w:p>
        </w:tc>
        <w:tc>
          <w:tcPr>
            <w:tcW w:type="dxa" w:w="3360"/>
            <w:shd w:fill="10243E"/>
            <w:tcMar>
              <w:top w:w="70" w:type="dxa"/>
              <w:start w:w="105" w:type="dxa"/>
              <w:bottom w:w="70" w:type="dxa"/>
              <w:end w:w="105" w:type="dxa"/>
            </w:tcMar>
          </w:tcPr>
          <w:p>
            <w:r>
              <w:rPr>
                <w:rFonts w:ascii="Arial" w:hAnsi="Arial"/>
                <w:b/>
                <w:color w:val="FFFFFF"/>
                <w:sz w:val="17"/>
              </w:rPr>
              <w:t>Who sees it</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Home</w:t>
            </w:r>
          </w:p>
        </w:tc>
        <w:tc>
          <w:tcPr>
            <w:tcW w:type="dxa" w:w="4300"/>
            <w:shd w:fill="FFFFFF"/>
            <w:vAlign w:val="top"/>
            <w:tcMar>
              <w:top w:w="70" w:type="dxa"/>
              <w:start w:w="105" w:type="dxa"/>
              <w:bottom w:w="70" w:type="dxa"/>
              <w:end w:w="105" w:type="dxa"/>
            </w:tcMar>
          </w:tcPr>
          <w:p>
            <w:pPr>
              <w:spacing w:after="20" w:line="240" w:lineRule="auto"/>
            </w:pPr>
            <w:r>
              <w:rPr>
                <w:rFonts w:ascii="Arial" w:hAnsi="Arial"/>
                <w:color w:val="172033"/>
                <w:sz w:val="16"/>
              </w:rPr>
              <w:t>Role-specific priorities, deadlines, alerts and resumable work</w:t>
            </w:r>
          </w:p>
        </w:tc>
        <w:tc>
          <w:tcPr>
            <w:tcW w:type="dxa" w:w="3360"/>
            <w:shd w:fill="FFFFFF"/>
            <w:vAlign w:val="top"/>
            <w:tcMar>
              <w:top w:w="70" w:type="dxa"/>
              <w:start w:w="105" w:type="dxa"/>
              <w:bottom w:w="70" w:type="dxa"/>
              <w:end w:w="105" w:type="dxa"/>
            </w:tcMar>
          </w:tcPr>
          <w:p>
            <w:pPr>
              <w:spacing w:after="20" w:line="240" w:lineRule="auto"/>
            </w:pPr>
            <w:r>
              <w:rPr>
                <w:rFonts w:ascii="Arial" w:hAnsi="Arial"/>
                <w:color w:val="172033"/>
                <w:sz w:val="16"/>
              </w:rPr>
              <w:t>All roles</w:t>
            </w:r>
          </w:p>
        </w:tc>
      </w:tr>
      <w:tr>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6"/>
              </w:rPr>
              <w:t>Learn</w:t>
            </w:r>
          </w:p>
        </w:tc>
        <w:tc>
          <w:tcPr>
            <w:tcW w:type="dxa" w:w="4300"/>
            <w:shd w:fill="F6F7F9"/>
            <w:vAlign w:val="top"/>
            <w:tcMar>
              <w:top w:w="70" w:type="dxa"/>
              <w:start w:w="105" w:type="dxa"/>
              <w:bottom w:w="70" w:type="dxa"/>
              <w:end w:w="105" w:type="dxa"/>
            </w:tcMar>
          </w:tcPr>
          <w:p>
            <w:pPr>
              <w:spacing w:after="20" w:line="240" w:lineRule="auto"/>
            </w:pPr>
            <w:r>
              <w:rPr>
                <w:rFonts w:ascii="Arial" w:hAnsi="Arial"/>
                <w:color w:val="172033"/>
                <w:sz w:val="16"/>
              </w:rPr>
              <w:t>Assigned paths, catalogue, lessons and resources</w:t>
            </w:r>
          </w:p>
        </w:tc>
        <w:tc>
          <w:tcPr>
            <w:tcW w:type="dxa" w:w="3360"/>
            <w:shd w:fill="F6F7F9"/>
            <w:vAlign w:val="top"/>
            <w:tcMar>
              <w:top w:w="70" w:type="dxa"/>
              <w:start w:w="105" w:type="dxa"/>
              <w:bottom w:w="70" w:type="dxa"/>
              <w:end w:w="105" w:type="dxa"/>
            </w:tcMar>
          </w:tcPr>
          <w:p>
            <w:pPr>
              <w:spacing w:after="20" w:line="240" w:lineRule="auto"/>
            </w:pPr>
            <w:r>
              <w:rPr>
                <w:rFonts w:ascii="Arial" w:hAnsi="Arial"/>
                <w:color w:val="172033"/>
                <w:sz w:val="16"/>
              </w:rPr>
              <w:t>Learner; authorised previews</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Assess</w:t>
            </w:r>
          </w:p>
        </w:tc>
        <w:tc>
          <w:tcPr>
            <w:tcW w:type="dxa" w:w="4300"/>
            <w:shd w:fill="FFFFFF"/>
            <w:vAlign w:val="top"/>
            <w:tcMar>
              <w:top w:w="70" w:type="dxa"/>
              <w:start w:w="105" w:type="dxa"/>
              <w:bottom w:w="70" w:type="dxa"/>
              <w:end w:w="105" w:type="dxa"/>
            </w:tcMar>
          </w:tcPr>
          <w:p>
            <w:pPr>
              <w:spacing w:after="20" w:line="240" w:lineRule="auto"/>
            </w:pPr>
            <w:r>
              <w:rPr>
                <w:rFonts w:ascii="Arial" w:hAnsi="Arial"/>
                <w:color w:val="172033"/>
                <w:sz w:val="16"/>
              </w:rPr>
              <w:t>Attempts, practical evidence and assessor queues</w:t>
            </w:r>
          </w:p>
        </w:tc>
        <w:tc>
          <w:tcPr>
            <w:tcW w:type="dxa" w:w="3360"/>
            <w:shd w:fill="FFFFFF"/>
            <w:vAlign w:val="top"/>
            <w:tcMar>
              <w:top w:w="70" w:type="dxa"/>
              <w:start w:w="105" w:type="dxa"/>
              <w:bottom w:w="70" w:type="dxa"/>
              <w:end w:w="105" w:type="dxa"/>
            </w:tcMar>
          </w:tcPr>
          <w:p>
            <w:pPr>
              <w:spacing w:after="20" w:line="240" w:lineRule="auto"/>
            </w:pPr>
            <w:r>
              <w:rPr>
                <w:rFonts w:ascii="Arial" w:hAnsi="Arial"/>
                <w:color w:val="172033"/>
                <w:sz w:val="16"/>
              </w:rPr>
              <w:t>Learner/Assessor by scope</w:t>
            </w:r>
          </w:p>
        </w:tc>
      </w:tr>
      <w:tr>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6"/>
              </w:rPr>
              <w:t>Certificates</w:t>
            </w:r>
          </w:p>
        </w:tc>
        <w:tc>
          <w:tcPr>
            <w:tcW w:type="dxa" w:w="4300"/>
            <w:shd w:fill="F6F7F9"/>
            <w:vAlign w:val="top"/>
            <w:tcMar>
              <w:top w:w="70" w:type="dxa"/>
              <w:start w:w="105" w:type="dxa"/>
              <w:bottom w:w="70" w:type="dxa"/>
              <w:end w:w="105" w:type="dxa"/>
            </w:tcMar>
          </w:tcPr>
          <w:p>
            <w:pPr>
              <w:spacing w:after="20" w:line="240" w:lineRule="auto"/>
            </w:pPr>
            <w:r>
              <w:rPr>
                <w:rFonts w:ascii="Arial" w:hAnsi="Arial"/>
                <w:color w:val="172033"/>
                <w:sz w:val="16"/>
              </w:rPr>
              <w:t>Current awards, expiry, renewal and verification</w:t>
            </w:r>
          </w:p>
        </w:tc>
        <w:tc>
          <w:tcPr>
            <w:tcW w:type="dxa" w:w="3360"/>
            <w:shd w:fill="F6F7F9"/>
            <w:vAlign w:val="top"/>
            <w:tcMar>
              <w:top w:w="70" w:type="dxa"/>
              <w:start w:w="105" w:type="dxa"/>
              <w:bottom w:w="70" w:type="dxa"/>
              <w:end w:w="105" w:type="dxa"/>
            </w:tcMar>
          </w:tcPr>
          <w:p>
            <w:pPr>
              <w:spacing w:after="20" w:line="240" w:lineRule="auto"/>
            </w:pPr>
            <w:r>
              <w:rPr>
                <w:rFonts w:ascii="Arial" w:hAnsi="Arial"/>
                <w:color w:val="172033"/>
                <w:sz w:val="16"/>
              </w:rPr>
              <w:t>Self; safe team/governance views</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Events</w:t>
            </w:r>
          </w:p>
        </w:tc>
        <w:tc>
          <w:tcPr>
            <w:tcW w:type="dxa" w:w="4300"/>
            <w:shd w:fill="FFFFFF"/>
            <w:vAlign w:val="top"/>
            <w:tcMar>
              <w:top w:w="70" w:type="dxa"/>
              <w:start w:w="105" w:type="dxa"/>
              <w:bottom w:w="70" w:type="dxa"/>
              <w:end w:w="105" w:type="dxa"/>
            </w:tcMar>
          </w:tcPr>
          <w:p>
            <w:pPr>
              <w:spacing w:after="20" w:line="240" w:lineRule="auto"/>
            </w:pPr>
            <w:r>
              <w:rPr>
                <w:rFonts w:ascii="Arial" w:hAnsi="Arial"/>
                <w:color w:val="172033"/>
                <w:sz w:val="16"/>
              </w:rPr>
              <w:t>Assignment-linked training package and readiness</w:t>
            </w:r>
          </w:p>
        </w:tc>
        <w:tc>
          <w:tcPr>
            <w:tcW w:type="dxa" w:w="3360"/>
            <w:shd w:fill="FFFFFF"/>
            <w:vAlign w:val="top"/>
            <w:tcMar>
              <w:top w:w="70" w:type="dxa"/>
              <w:start w:w="105" w:type="dxa"/>
              <w:bottom w:w="70" w:type="dxa"/>
              <w:end w:w="105" w:type="dxa"/>
            </w:tcMar>
          </w:tcPr>
          <w:p>
            <w:pPr>
              <w:spacing w:after="20" w:line="240" w:lineRule="auto"/>
            </w:pPr>
            <w:r>
              <w:rPr>
                <w:rFonts w:ascii="Arial" w:hAnsi="Arial"/>
                <w:color w:val="172033"/>
                <w:sz w:val="16"/>
              </w:rPr>
              <w:t>Assigned learner/manager/governance</w:t>
            </w:r>
          </w:p>
        </w:tc>
      </w:tr>
      <w:tr>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6"/>
              </w:rPr>
              <w:t>Team</w:t>
            </w:r>
          </w:p>
        </w:tc>
        <w:tc>
          <w:tcPr>
            <w:tcW w:type="dxa" w:w="4300"/>
            <w:shd w:fill="F6F7F9"/>
            <w:vAlign w:val="top"/>
            <w:tcMar>
              <w:top w:w="70" w:type="dxa"/>
              <w:start w:w="105" w:type="dxa"/>
              <w:bottom w:w="70" w:type="dxa"/>
              <w:end w:w="105" w:type="dxa"/>
            </w:tcMar>
          </w:tcPr>
          <w:p>
            <w:pPr>
              <w:spacing w:after="20" w:line="240" w:lineRule="auto"/>
            </w:pPr>
            <w:r>
              <w:rPr>
                <w:rFonts w:ascii="Arial" w:hAnsi="Arial"/>
                <w:color w:val="172033"/>
                <w:sz w:val="16"/>
              </w:rPr>
              <w:t>People, role paths, readiness and actions</w:t>
            </w:r>
          </w:p>
        </w:tc>
        <w:tc>
          <w:tcPr>
            <w:tcW w:type="dxa" w:w="3360"/>
            <w:shd w:fill="F6F7F9"/>
            <w:vAlign w:val="top"/>
            <w:tcMar>
              <w:top w:w="70" w:type="dxa"/>
              <w:start w:w="105" w:type="dxa"/>
              <w:bottom w:w="70" w:type="dxa"/>
              <w:end w:w="105" w:type="dxa"/>
            </w:tcMar>
          </w:tcPr>
          <w:p>
            <w:pPr>
              <w:spacing w:after="20" w:line="240" w:lineRule="auto"/>
            </w:pPr>
            <w:r>
              <w:rPr>
                <w:rFonts w:ascii="Arial" w:hAnsi="Arial"/>
                <w:color w:val="172033"/>
                <w:sz w:val="16"/>
              </w:rPr>
              <w:t>Manager</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Content</w:t>
            </w:r>
          </w:p>
        </w:tc>
        <w:tc>
          <w:tcPr>
            <w:tcW w:type="dxa" w:w="4300"/>
            <w:shd w:fill="FFFFFF"/>
            <w:vAlign w:val="top"/>
            <w:tcMar>
              <w:top w:w="70" w:type="dxa"/>
              <w:start w:w="105" w:type="dxa"/>
              <w:bottom w:w="70" w:type="dxa"/>
              <w:end w:w="105" w:type="dxa"/>
            </w:tcMar>
          </w:tcPr>
          <w:p>
            <w:pPr>
              <w:spacing w:after="20" w:line="240" w:lineRule="auto"/>
            </w:pPr>
            <w:r>
              <w:rPr>
                <w:rFonts w:ascii="Arial" w:hAnsi="Arial"/>
                <w:color w:val="172033"/>
                <w:sz w:val="16"/>
              </w:rPr>
              <w:t>Curriculum and assessment author/review workspace</w:t>
            </w:r>
          </w:p>
        </w:tc>
        <w:tc>
          <w:tcPr>
            <w:tcW w:type="dxa" w:w="3360"/>
            <w:shd w:fill="FFFFFF"/>
            <w:vAlign w:val="top"/>
            <w:tcMar>
              <w:top w:w="70" w:type="dxa"/>
              <w:start w:w="105" w:type="dxa"/>
              <w:bottom w:w="70" w:type="dxa"/>
              <w:end w:w="105" w:type="dxa"/>
            </w:tcMar>
          </w:tcPr>
          <w:p>
            <w:pPr>
              <w:spacing w:after="20" w:line="240" w:lineRule="auto"/>
            </w:pPr>
            <w:r>
              <w:rPr>
                <w:rFonts w:ascii="Arial" w:hAnsi="Arial"/>
                <w:color w:val="172033"/>
                <w:sz w:val="16"/>
              </w:rPr>
              <w:t>Author/reviewer/admin by grant</w:t>
            </w:r>
          </w:p>
        </w:tc>
      </w:tr>
      <w:tr>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6"/>
              </w:rPr>
              <w:t>Operations</w:t>
            </w:r>
          </w:p>
        </w:tc>
        <w:tc>
          <w:tcPr>
            <w:tcW w:type="dxa" w:w="4300"/>
            <w:shd w:fill="F6F7F9"/>
            <w:vAlign w:val="top"/>
            <w:tcMar>
              <w:top w:w="70" w:type="dxa"/>
              <w:start w:w="105" w:type="dxa"/>
              <w:bottom w:w="70" w:type="dxa"/>
              <w:end w:w="105" w:type="dxa"/>
            </w:tcMar>
          </w:tcPr>
          <w:p>
            <w:pPr>
              <w:spacing w:after="20" w:line="240" w:lineRule="auto"/>
            </w:pPr>
            <w:r>
              <w:rPr>
                <w:rFonts w:ascii="Arial" w:hAnsi="Arial"/>
                <w:color w:val="172033"/>
                <w:sz w:val="16"/>
              </w:rPr>
              <w:t>Identity, enrolment, cohorts, queues and integration</w:t>
            </w:r>
          </w:p>
        </w:tc>
        <w:tc>
          <w:tcPr>
            <w:tcW w:type="dxa" w:w="3360"/>
            <w:shd w:fill="F6F7F9"/>
            <w:vAlign w:val="top"/>
            <w:tcMar>
              <w:top w:w="70" w:type="dxa"/>
              <w:start w:w="105" w:type="dxa"/>
              <w:bottom w:w="70" w:type="dxa"/>
              <w:end w:w="105" w:type="dxa"/>
            </w:tcMar>
          </w:tcPr>
          <w:p>
            <w:pPr>
              <w:spacing w:after="20" w:line="240" w:lineRule="auto"/>
            </w:pPr>
            <w:r>
              <w:rPr>
                <w:rFonts w:ascii="Arial" w:hAnsi="Arial"/>
                <w:color w:val="172033"/>
                <w:sz w:val="16"/>
              </w:rPr>
              <w:t>Function-limited administrators</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Governance</w:t>
            </w:r>
          </w:p>
        </w:tc>
        <w:tc>
          <w:tcPr>
            <w:tcW w:type="dxa" w:w="4300"/>
            <w:shd w:fill="FFFFFF"/>
            <w:vAlign w:val="top"/>
            <w:tcMar>
              <w:top w:w="70" w:type="dxa"/>
              <w:start w:w="105" w:type="dxa"/>
              <w:bottom w:w="70" w:type="dxa"/>
              <w:end w:w="105" w:type="dxa"/>
            </w:tcMar>
          </w:tcPr>
          <w:p>
            <w:pPr>
              <w:spacing w:after="20" w:line="240" w:lineRule="auto"/>
            </w:pPr>
            <w:r>
              <w:rPr>
                <w:rFonts w:ascii="Arial" w:hAnsi="Arial"/>
                <w:color w:val="172033"/>
                <w:sz w:val="16"/>
              </w:rPr>
              <w:t>Coverage, risk, exceptions, approvals and audit</w:t>
            </w:r>
          </w:p>
        </w:tc>
        <w:tc>
          <w:tcPr>
            <w:tcW w:type="dxa" w:w="3360"/>
            <w:shd w:fill="FFFFFF"/>
            <w:vAlign w:val="top"/>
            <w:tcMar>
              <w:top w:w="70" w:type="dxa"/>
              <w:start w:w="105" w:type="dxa"/>
              <w:bottom w:w="70" w:type="dxa"/>
              <w:end w:w="105" w:type="dxa"/>
            </w:tcMar>
          </w:tcPr>
          <w:p>
            <w:pPr>
              <w:spacing w:after="20" w:line="240" w:lineRule="auto"/>
            </w:pPr>
            <w:r>
              <w:rPr>
                <w:rFonts w:ascii="Arial" w:hAnsi="Arial"/>
                <w:color w:val="172033"/>
                <w:sz w:val="16"/>
              </w:rPr>
              <w:t>CEO/governance</w:t>
            </w:r>
          </w:p>
        </w:tc>
      </w:tr>
      <w:tr>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6"/>
              </w:rPr>
              <w:t>Profile &amp; support</w:t>
            </w:r>
          </w:p>
        </w:tc>
        <w:tc>
          <w:tcPr>
            <w:tcW w:type="dxa" w:w="4300"/>
            <w:shd w:fill="F6F7F9"/>
            <w:vAlign w:val="top"/>
            <w:tcMar>
              <w:top w:w="70" w:type="dxa"/>
              <w:start w:w="105" w:type="dxa"/>
              <w:bottom w:w="70" w:type="dxa"/>
              <w:end w:w="105" w:type="dxa"/>
            </w:tcMar>
          </w:tcPr>
          <w:p>
            <w:pPr>
              <w:spacing w:after="20" w:line="240" w:lineRule="auto"/>
            </w:pPr>
            <w:r>
              <w:rPr>
                <w:rFonts w:ascii="Arial" w:hAnsi="Arial"/>
                <w:color w:val="172033"/>
                <w:sz w:val="16"/>
              </w:rPr>
              <w:t>Identity, accessibility, preferences, help and sign-out</w:t>
            </w:r>
          </w:p>
        </w:tc>
        <w:tc>
          <w:tcPr>
            <w:tcW w:type="dxa" w:w="3360"/>
            <w:shd w:fill="F6F7F9"/>
            <w:vAlign w:val="top"/>
            <w:tcMar>
              <w:top w:w="70" w:type="dxa"/>
              <w:start w:w="105" w:type="dxa"/>
              <w:bottom w:w="70" w:type="dxa"/>
              <w:end w:w="105" w:type="dxa"/>
            </w:tcMar>
          </w:tcPr>
          <w:p>
            <w:pPr>
              <w:spacing w:after="20" w:line="240" w:lineRule="auto"/>
            </w:pPr>
            <w:r>
              <w:rPr>
                <w:rFonts w:ascii="Arial" w:hAnsi="Arial"/>
                <w:color w:val="172033"/>
                <w:sz w:val="16"/>
              </w:rPr>
              <w:t>All roles</w:t>
            </w:r>
          </w:p>
        </w:tc>
      </w:tr>
    </w:tbl>
    <w:p>
      <w:pPr>
        <w:pStyle w:val="Heading2"/>
      </w:pPr>
      <w:r>
        <w:t>4.1 Navigation</w:t>
      </w:r>
    </w:p>
    <w:p>
      <w:pPr>
        <w:pStyle w:val="ListBullet"/>
        <w:spacing w:after="60"/>
        <w:ind w:left="547" w:hanging="274"/>
      </w:pPr>
      <w:r>
        <w:t>Mobile learner: bottom navigation with Home, Learn, Events, Certificates and More; current item labelled.</w:t>
      </w:r>
    </w:p>
    <w:p>
      <w:pPr>
        <w:pStyle w:val="ListBullet"/>
        <w:spacing w:after="60"/>
        <w:ind w:left="547" w:hanging="274"/>
      </w:pPr>
      <w:r>
        <w:t>Operational mobile: compact top bar plus role switcher and task inbox; high-risk actions remain full-context.</w:t>
      </w:r>
    </w:p>
    <w:p>
      <w:pPr>
        <w:pStyle w:val="ListBullet"/>
        <w:spacing w:after="60"/>
        <w:ind w:left="547" w:hanging="274"/>
      </w:pPr>
      <w:r>
        <w:t>Desktop: left navigation, top context bar and content area; no hidden critical actions in hover-only menus.</w:t>
      </w:r>
    </w:p>
    <w:p>
      <w:pPr>
        <w:pStyle w:val="ListBullet"/>
        <w:spacing w:after="60"/>
        <w:ind w:left="547" w:hanging="274"/>
      </w:pPr>
      <w:r>
        <w:t>A person with multiple roles must explicitly switch workspace. The active role, organisation and event scope stay visible.</w:t>
      </w:r>
    </w:p>
    <w:p>
      <w:pPr>
        <w:pStyle w:val="ListBullet"/>
        <w:spacing w:after="60"/>
        <w:ind w:left="547" w:hanging="274"/>
      </w:pPr>
      <w:r>
        <w:t>Deep links restore the permitted destination after authentication; denied links return a safe explanation and valid next route.</w:t>
      </w:r>
    </w:p>
    <w:p>
      <w:r>
        <w:br w:type="page"/>
      </w:r>
    </w:p>
    <w:p>
      <w:pPr>
        <w:pStyle w:val="Heading1"/>
      </w:pPr>
      <w:r>
        <w:t>5. Global state and feedback contract</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05" w:type="dxa"/>
              <w:bottom w:w="70" w:type="dxa"/>
              <w:end w:w="105" w:type="dxa"/>
            </w:tcMar>
          </w:tcPr>
          <w:p>
            <w:r>
              <w:rPr>
                <w:rFonts w:ascii="Arial" w:hAnsi="Arial"/>
                <w:b/>
                <w:color w:val="FFFFFF"/>
                <w:sz w:val="17"/>
              </w:rPr>
              <w:t>State</w:t>
            </w:r>
          </w:p>
        </w:tc>
        <w:tc>
          <w:tcPr>
            <w:tcW w:type="dxa" w:w="7510"/>
            <w:shd w:fill="10243E"/>
            <w:tcMar>
              <w:top w:w="70" w:type="dxa"/>
              <w:start w:w="105" w:type="dxa"/>
              <w:bottom w:w="70" w:type="dxa"/>
              <w:end w:w="105" w:type="dxa"/>
            </w:tcMar>
          </w:tcPr>
          <w:p>
            <w:r>
              <w:rPr>
                <w:rFonts w:ascii="Arial" w:hAnsi="Arial"/>
                <w:b/>
                <w:color w:val="FFFFFF"/>
                <w:sz w:val="17"/>
              </w:rPr>
              <w:t>Required treatment</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Loading</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Skeleton matching final layout; preserve navigation; no indefinite spinner</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Empty</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Explain why empty and provide the next permitted action</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Success</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Confirm what changed, effective time and next consequence</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Validation error</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Inline, specific, associated to field; summary at top for long forms</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System error</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Plain-language failure, safe retry and reference code; never expose internals</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Offline</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Persistent banner, what remains available, queued action count and last sync</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Stale</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Timestamp, cause and refresh/reassessment action</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Denied</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State permission/scope reason safely and route to request/help if allowed</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Pending approval</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Owner, stage, submitted version and expected next step</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Locked/frozen</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Why editing ended and how correction/appeal works</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Conflict</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Stop action, identify conflict category and require reassignment</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Destructive/high impact</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Preview target, dependencies and irreversible/prospective effect</w:t>
            </w:r>
          </w:p>
        </w:tc>
      </w:tr>
    </w:tbl>
    <w:p>
      <w:r>
        <w:br w:type="page"/>
      </w:r>
    </w:p>
    <w:p>
      <w:pPr>
        <w:pStyle w:val="Heading1"/>
      </w:pPr>
      <w:r>
        <w:t>6. Authentication, onboarding and role context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Journey step</w:t>
            </w:r>
          </w:p>
        </w:tc>
        <w:tc>
          <w:tcPr>
            <w:tcW w:type="dxa" w:w="7460"/>
            <w:shd w:fill="10243E"/>
            <w:tcMar>
              <w:top w:w="70" w:type="dxa"/>
              <w:start w:w="105" w:type="dxa"/>
              <w:bottom w:w="70" w:type="dxa"/>
              <w:end w:w="105" w:type="dxa"/>
            </w:tcMar>
          </w:tcPr>
          <w:p>
            <w:r>
              <w:rPr>
                <w:rFonts w:ascii="Arial" w:hAnsi="Arial"/>
                <w:b/>
                <w:color w:val="FFFFFF"/>
                <w:sz w:val="17"/>
              </w:rPr>
              <w:t>Experience requirement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Invite/open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Branded welcome; organisation and invited role; link-expiry handling</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Identity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Minimum fields; verified identity distinguished from editable display data</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Authentication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Passwordless/approved method; MFA for privileged roles; clear recovery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Consent/notices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Short, layered and versioned; required acknowledgements explicit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Accessibility setup</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Text size, captions, contrast, motion and assistance preference without stigma</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Role confirmation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Show assigned role/seniority and learning implication; learner cannot self-promote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Orientation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Three screens maximum: Learn, prove, stay ready; authority boundary included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Home arrival</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Personalised Now/Next/Event Required/Refreshers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Returning user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Resume last meaningful position, not generic homepage when safe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Session expiry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Warn, preserve draft locally where permitted, reauthenticate and resume</w:t>
            </w:r>
          </w:p>
        </w:tc>
      </w:tr>
    </w:tbl>
    <w:p>
      <w:r>
        <w:br w:type="page"/>
      </w:r>
    </w:p>
    <w:p>
      <w:pPr>
        <w:pStyle w:val="Heading1"/>
      </w:pPr>
      <w:r>
        <w:t>7. Learner mobile home</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0243E"/>
            <w:tcMar>
              <w:top w:w="70" w:type="dxa"/>
              <w:start w:w="105" w:type="dxa"/>
              <w:bottom w:w="70" w:type="dxa"/>
              <w:end w:w="105" w:type="dxa"/>
            </w:tcMar>
          </w:tcPr>
          <w:p>
            <w:r>
              <w:rPr>
                <w:rFonts w:ascii="Arial" w:hAnsi="Arial"/>
                <w:b/>
                <w:color w:val="FFFFFF"/>
                <w:sz w:val="17"/>
              </w:rPr>
              <w:t>Region</w:t>
            </w:r>
          </w:p>
        </w:tc>
        <w:tc>
          <w:tcPr>
            <w:tcW w:type="dxa" w:w="7560"/>
            <w:shd w:fill="10243E"/>
            <w:tcMar>
              <w:top w:w="70" w:type="dxa"/>
              <w:start w:w="105" w:type="dxa"/>
              <w:bottom w:w="70" w:type="dxa"/>
              <w:end w:w="105" w:type="dxa"/>
            </w:tcMar>
          </w:tcPr>
          <w:p>
            <w:r>
              <w:rPr>
                <w:rFonts w:ascii="Arial" w:hAnsi="Arial"/>
                <w:b/>
                <w:color w:val="FFFFFF"/>
                <w:sz w:val="17"/>
              </w:rPr>
              <w:t>Content and behaviour</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Context header</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Name, active organisation/role; event context only when assigned</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Now</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Single highest-priority item: due/critical/event-blocking/resume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Next</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Up to three sequenced actions with time estimate and consequence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Event Required</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Event, assigned role, package version, deadline, readiness state and changed items</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Refreshers</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Expiring certificates/components with exact dates and renewal action</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Progress</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Path completion by required units; no misleading overall percentage across optional work</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Certificates</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Current/expiring/pending state; Pass/Distinction separate from deployment eligibility</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Alerts</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Critical first; dismiss only when informational; action-required alerts persist</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Support</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Search help, report issue, accessibility support and contact route</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PRIORITY ORDER</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Critical safety/integrity blocker &gt; event requirement due before assignment &gt; certification expiry risk &gt; overdue mandatory learning &gt; resumable current lesson &gt; optional learning.</w:t>
            </w:r>
          </w:p>
        </w:tc>
      </w:tr>
    </w:tbl>
    <w:p>
      <w:r>
        <w:br w:type="page"/>
      </w:r>
    </w:p>
    <w:p>
      <w:pPr>
        <w:pStyle w:val="Heading1"/>
      </w:pPr>
      <w:r>
        <w:t>8. Learner path and course discovery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Screen</w:t>
            </w:r>
          </w:p>
        </w:tc>
        <w:tc>
          <w:tcPr>
            <w:tcW w:type="dxa" w:w="7460"/>
            <w:shd w:fill="10243E"/>
            <w:tcMar>
              <w:top w:w="70" w:type="dxa"/>
              <w:start w:w="105" w:type="dxa"/>
              <w:bottom w:w="70" w:type="dxa"/>
              <w:end w:w="105" w:type="dxa"/>
            </w:tcMar>
          </w:tcPr>
          <w:p>
            <w:r>
              <w:rPr>
                <w:rFonts w:ascii="Arial" w:hAnsi="Arial"/>
                <w:b/>
                <w:color w:val="FFFFFF"/>
                <w:sz w:val="17"/>
              </w:rPr>
              <w:t>Must show</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My learning</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Mandatory, optional and restricted sections; prerequisites; due date; status; consequence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Role path</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Role outcome, modules/competencies, sequence, estimated effort and certification effect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Course detail</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Purpose, outcomes, audience, prerequisites, lessons, assessment, validity and source version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Catalogue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Only authorised published items; filters by role/domain/duration; optional status clear</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Restricted item</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Absent unless entitlement permits a safe listing; no request promise if approval route does not exist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Role change gaps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Retained equivalents, destination gaps, new authority implications and enrolment status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Search</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Title/topic results with role relevance; no key, draft or restricted-content leakage</w:t>
            </w:r>
          </w:p>
        </w:tc>
      </w:tr>
    </w:tbl>
    <w:p>
      <w:pPr>
        <w:pStyle w:val="Heading2"/>
      </w:pPr>
      <w:r>
        <w:t>8.1 Progress rules</w:t>
      </w:r>
    </w:p>
    <w:p>
      <w:pPr>
        <w:pStyle w:val="ListBullet"/>
        <w:spacing w:after="60"/>
        <w:ind w:left="547" w:hanging="274"/>
      </w:pPr>
      <w:r>
        <w:t>Progress is server-authoritative and resumes at the last confirmed unit.</w:t>
      </w:r>
    </w:p>
    <w:p>
      <w:pPr>
        <w:pStyle w:val="ListBullet"/>
        <w:spacing w:after="60"/>
        <w:ind w:left="547" w:hanging="274"/>
      </w:pPr>
      <w:r>
        <w:t>A superseded course shows whether completion remains valid, needs delta learning or is no longer sufficient.</w:t>
      </w:r>
    </w:p>
    <w:p>
      <w:pPr>
        <w:pStyle w:val="ListBullet"/>
        <w:spacing w:after="60"/>
        <w:ind w:left="547" w:hanging="274"/>
      </w:pPr>
      <w:r>
        <w:t>Prerequisite locks state the prerequisite and action; they do not feel like errors.</w:t>
      </w:r>
    </w:p>
    <w:p>
      <w:pPr>
        <w:pStyle w:val="ListBullet"/>
        <w:spacing w:after="60"/>
        <w:ind w:left="547" w:hanging="274"/>
      </w:pPr>
      <w:r>
        <w:t>Optional learning never hides mandatory debt.</w:t>
      </w:r>
    </w:p>
    <w:p>
      <w:pPr>
        <w:pStyle w:val="ListBullet"/>
        <w:spacing w:after="60"/>
        <w:ind w:left="547" w:hanging="274"/>
      </w:pPr>
      <w:r>
        <w:t>A manager assignment is labelled with assigning authority, date and rationale/category where authorised.</w:t>
      </w:r>
    </w:p>
    <w:p>
      <w:r>
        <w:br w:type="page"/>
      </w:r>
    </w:p>
    <w:p>
      <w:pPr>
        <w:pStyle w:val="Heading1"/>
      </w:pPr>
      <w:r>
        <w:t>9. Mobile learning player</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0243E"/>
            <w:tcMar>
              <w:top w:w="70" w:type="dxa"/>
              <w:start w:w="105" w:type="dxa"/>
              <w:bottom w:w="70" w:type="dxa"/>
              <w:end w:w="105" w:type="dxa"/>
            </w:tcMar>
          </w:tcPr>
          <w:p>
            <w:r>
              <w:rPr>
                <w:rFonts w:ascii="Arial" w:hAnsi="Arial"/>
                <w:b/>
                <w:color w:val="FFFFFF"/>
                <w:sz w:val="17"/>
              </w:rPr>
              <w:t>Element</w:t>
            </w:r>
          </w:p>
        </w:tc>
        <w:tc>
          <w:tcPr>
            <w:tcW w:type="dxa" w:w="7560"/>
            <w:shd w:fill="10243E"/>
            <w:tcMar>
              <w:top w:w="70" w:type="dxa"/>
              <w:start w:w="105" w:type="dxa"/>
              <w:bottom w:w="70" w:type="dxa"/>
              <w:end w:w="105" w:type="dxa"/>
            </w:tcMar>
          </w:tcPr>
          <w:p>
            <w:r>
              <w:rPr>
                <w:rFonts w:ascii="Arial" w:hAnsi="Arial"/>
                <w:b/>
                <w:color w:val="FFFFFF"/>
                <w:sz w:val="17"/>
              </w:rPr>
              <w:t>Specification</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Top bar</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Back, lesson title, progress, save/sync state and close; no accidental loss</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Lesson opening</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Objective, relevance, expected time, authority boundary and version/source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Content</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Short readable sections; examples; Lagos/local overlay visibly versioned; glossary inline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Media</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Captions/transcript, playback speed, audio description/alternative where needed</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Knowledge checks</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One task at a time; immediate teaching feedback only when blueprint permits</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Scenario</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Context, evidence, decision options, rationale prompt and consequence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Resources</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Download/mark useful where authorised; controlled version label</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Completion</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Required interactions satisfied; clear next lesson or assessment gate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Offline</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Eligible content cached, protected, expiring and reconciled; restricted assessments not assumed offline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Exit/resume</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Autosave exact position and entered draft where permitted; show last sync</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CONTENT DENSITY</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Mobile lessons favour one idea per screen region, 45-75 character line lengths where possible and visible progress. Endless undifferentiated text is a failed learner experience.</w:t>
            </w:r>
          </w:p>
        </w:tc>
      </w:tr>
    </w:tbl>
    <w:p>
      <w:r>
        <w:br w:type="page"/>
      </w:r>
    </w:p>
    <w:p>
      <w:pPr>
        <w:pStyle w:val="Heading1"/>
      </w:pPr>
      <w:r>
        <w:t>10. Learner assessment journey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Stage</w:t>
            </w:r>
          </w:p>
        </w:tc>
        <w:tc>
          <w:tcPr>
            <w:tcW w:type="dxa" w:w="7460"/>
            <w:shd w:fill="10243E"/>
            <w:tcMar>
              <w:top w:w="70" w:type="dxa"/>
              <w:start w:w="105" w:type="dxa"/>
              <w:bottom w:w="70" w:type="dxa"/>
              <w:end w:w="105" w:type="dxa"/>
            </w:tcMar>
          </w:tcPr>
          <w:p>
            <w:r>
              <w:rPr>
                <w:rFonts w:ascii="Arial" w:hAnsi="Arial"/>
                <w:b/>
                <w:color w:val="FFFFFF"/>
                <w:sz w:val="17"/>
              </w:rPr>
              <w:t>Required experience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Eligibility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Explain prerequisites, attempt status, permitted start window and accommodations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Briefing</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Format, duration, pass 80%, distinction 90%, critical-fail rule, retake and integrity terms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Start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Explicit confirmation; freeze form/version; device/network check when relevant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Objective items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Clear prompt, navigation rules, unanswered marker and review flag; no answer leakage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Scenario/constructed response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Structured evidence area, word/file limits, autosave and rubric dimensions where disclosure is allowed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Practical booking</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Available slots/assessor rules, preparation and reschedule policy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Submission review</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Answered/unanswered summary, declarations and final-submit warning</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Submitted</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Immutable receipt, timestamp, attempt ID and what awaits manual review</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Interrupted</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Resume only according to attempt policy; show preserved state and incident path</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Technical failure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Do not imply fail; create support case and governed replacement path</w:t>
            </w:r>
          </w:p>
        </w:tc>
      </w:tr>
    </w:tbl>
    <w:p>
      <w:pPr>
        <w:pStyle w:val="Heading2"/>
      </w:pPr>
      <w:r>
        <w:t>10.1 Assessment safeguards</w:t>
      </w:r>
    </w:p>
    <w:p>
      <w:pPr>
        <w:pStyle w:val="ListBullet"/>
        <w:spacing w:after="60"/>
        <w:ind w:left="547" w:hanging="274"/>
      </w:pPr>
      <w:r>
        <w:t>No correctness feedback during a secure summative attempt unless the blueprint explicitly permits it.</w:t>
      </w:r>
    </w:p>
    <w:p>
      <w:pPr>
        <w:pStyle w:val="ListBullet"/>
        <w:spacing w:after="60"/>
        <w:ind w:left="547" w:hanging="274"/>
      </w:pPr>
      <w:r>
        <w:t>Timer warnings are accessible and do not obscure content.</w:t>
      </w:r>
    </w:p>
    <w:p>
      <w:pPr>
        <w:pStyle w:val="ListBullet"/>
        <w:spacing w:after="60"/>
        <w:ind w:left="547" w:hanging="274"/>
      </w:pPr>
      <w:r>
        <w:t>The Back action never silently submit or discard.</w:t>
      </w:r>
    </w:p>
    <w:p>
      <w:pPr>
        <w:pStyle w:val="ListBullet"/>
        <w:spacing w:after="60"/>
        <w:ind w:left="547" w:hanging="274"/>
      </w:pPr>
      <w:r>
        <w:t>Copy, print, screenshot or offline restrictions are proportionate and never presented as perfect security.</w:t>
      </w:r>
    </w:p>
    <w:p>
      <w:pPr>
        <w:pStyle w:val="ListBullet"/>
        <w:spacing w:after="60"/>
        <w:ind w:left="547" w:hanging="274"/>
      </w:pPr>
      <w:r>
        <w:t>Critical questions are not visually identified if that would weaken assessment validity.</w:t>
      </w:r>
    </w:p>
    <w:p>
      <w:r>
        <w:br w:type="page"/>
      </w:r>
    </w:p>
    <w:p>
      <w:pPr>
        <w:pStyle w:val="Heading1"/>
      </w:pPr>
      <w:r>
        <w:t>11. Results, remediation, retakes and appeals</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05" w:type="dxa"/>
              <w:bottom w:w="70" w:type="dxa"/>
              <w:end w:w="105" w:type="dxa"/>
            </w:tcMar>
          </w:tcPr>
          <w:p>
            <w:r>
              <w:rPr>
                <w:rFonts w:ascii="Arial" w:hAnsi="Arial"/>
                <w:b/>
                <w:color w:val="FFFFFF"/>
                <w:sz w:val="17"/>
              </w:rPr>
              <w:t>Outcome</w:t>
            </w:r>
          </w:p>
        </w:tc>
        <w:tc>
          <w:tcPr>
            <w:tcW w:type="dxa" w:w="7510"/>
            <w:shd w:fill="10243E"/>
            <w:tcMar>
              <w:top w:w="70" w:type="dxa"/>
              <w:start w:w="105" w:type="dxa"/>
              <w:bottom w:w="70" w:type="dxa"/>
              <w:end w:w="105" w:type="dxa"/>
            </w:tcMar>
          </w:tcPr>
          <w:p>
            <w:r>
              <w:rPr>
                <w:rFonts w:ascii="Arial" w:hAnsi="Arial"/>
                <w:b/>
                <w:color w:val="FFFFFF"/>
                <w:sz w:val="17"/>
              </w:rPr>
              <w:t>Presentation</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Distinction</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90%+ plus all mandatory and critical gates; gold may accent but text names outcome</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Pass</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80-89% plus all mandatory and critical gates</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Retake required</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Below 80% or failed required gate; next eligible action and remediation</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Critical fail</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Plain consequence without revealing protected key; mandatory remediation</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Pending manual review</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Components pending, owner/queue state and notification expectation</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Held</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Safe reason category, process owner and action if any</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Voided</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Technical/integrity process result and replacement/appeal route</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Appeal eligible</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Deadline, permitted grounds, evidence upload, independence and status timeline</w:t>
            </w:r>
          </w:p>
        </w:tc>
      </w:tr>
    </w:tbl>
    <w:p>
      <w:pPr>
        <w:pStyle w:val="ListBullet"/>
        <w:spacing w:after="60"/>
        <w:ind w:left="547" w:hanging="274"/>
      </w:pPr>
      <w:r>
        <w:t>Show component feedback only to the disclosure level approved by the assessment blueprint.</w:t>
      </w:r>
    </w:p>
    <w:p>
      <w:pPr>
        <w:pStyle w:val="ListBullet"/>
        <w:spacing w:after="60"/>
        <w:ind w:left="547" w:hanging="274"/>
      </w:pPr>
      <w:r>
        <w:t>Unlimited governed retakes are represented as fresh attempts; previous outcomes remain in history.</w:t>
      </w:r>
    </w:p>
    <w:p>
      <w:pPr>
        <w:pStyle w:val="ListBullet"/>
        <w:spacing w:after="60"/>
        <w:ind w:left="547" w:hanging="274"/>
      </w:pPr>
      <w:r>
        <w:t>Do not gamify failure, rank learners or use celebratory animation where a critical gate failed.</w:t>
      </w:r>
    </w:p>
    <w:p>
      <w:pPr>
        <w:pStyle w:val="ListBullet"/>
        <w:spacing w:after="60"/>
        <w:ind w:left="547" w:hanging="274"/>
      </w:pPr>
      <w:r>
        <w:t>A retake screen distinguishes required remediation, readiness date and start eligibility.</w:t>
      </w:r>
    </w:p>
    <w:p>
      <w:r>
        <w:br w:type="page"/>
      </w:r>
    </w:p>
    <w:p>
      <w:pPr>
        <w:pStyle w:val="Heading1"/>
      </w:pPr>
      <w:r>
        <w:t>12. Certificates and renewal experience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Surface</w:t>
            </w:r>
          </w:p>
        </w:tc>
        <w:tc>
          <w:tcPr>
            <w:tcW w:type="dxa" w:w="7460"/>
            <w:shd w:fill="10243E"/>
            <w:tcMar>
              <w:top w:w="70" w:type="dxa"/>
              <w:start w:w="105" w:type="dxa"/>
              <w:bottom w:w="70" w:type="dxa"/>
              <w:end w:w="105" w:type="dxa"/>
            </w:tcMar>
          </w:tcPr>
          <w:p>
            <w:r>
              <w:rPr>
                <w:rFonts w:ascii="Arial" w:hAnsi="Arial"/>
                <w:b/>
                <w:color w:val="FFFFFF"/>
                <w:sz w:val="17"/>
              </w:rPr>
              <w:t>Required content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Certificate list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Scheme, role scope, Pass/Distinction, state, effective/expiry and restriction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Certificate detail</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ID, evidence scope, component validity, endorsements and verification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Status language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Current, Expiring, Pending, Suspended, Revoked, Expired or Superseded in text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Renewal plan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Requirements, carried evidence, gaps, due dates and event/roster consequence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Countdown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Exact date/time and timezone; 60/30/14/7-day urgency pattern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Verification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Privacy-minimal reference and explicit “not event authority” statement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Role change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Destination scheme gaps and continued/ended scope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Suspension/revocation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Safe reason category, effective time, impact and appeal/reinstatement process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BADGE SEPARATION</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Pass/Distinction, certificate state, Academy event readiness and Event OS operational eligibility use different labels, icons and visual groups. They must never merge into one green badge.</w:t>
            </w:r>
          </w:p>
        </w:tc>
      </w:tr>
    </w:tbl>
    <w:p>
      <w:r>
        <w:br w:type="page"/>
      </w:r>
    </w:p>
    <w:p>
      <w:pPr>
        <w:pStyle w:val="Heading1"/>
      </w:pPr>
      <w:r>
        <w:t>13. Event-specific learner experience</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0243E"/>
            <w:tcMar>
              <w:top w:w="70" w:type="dxa"/>
              <w:start w:w="105" w:type="dxa"/>
              <w:bottom w:w="70" w:type="dxa"/>
              <w:end w:w="105" w:type="dxa"/>
            </w:tcMar>
          </w:tcPr>
          <w:p>
            <w:r>
              <w:rPr>
                <w:rFonts w:ascii="Arial" w:hAnsi="Arial"/>
                <w:b/>
                <w:color w:val="FFFFFF"/>
                <w:sz w:val="17"/>
              </w:rPr>
              <w:t>Screen/state</w:t>
            </w:r>
          </w:p>
        </w:tc>
        <w:tc>
          <w:tcPr>
            <w:tcW w:type="dxa" w:w="7560"/>
            <w:shd w:fill="10243E"/>
            <w:tcMar>
              <w:top w:w="70" w:type="dxa"/>
              <w:start w:w="105" w:type="dxa"/>
              <w:bottom w:w="70" w:type="dxa"/>
              <w:end w:w="105" w:type="dxa"/>
            </w:tcMar>
          </w:tcPr>
          <w:p>
            <w:r>
              <w:rPr>
                <w:rFonts w:ascii="Arial" w:hAnsi="Arial"/>
                <w:b/>
                <w:color w:val="FFFFFF"/>
                <w:sz w:val="17"/>
              </w:rPr>
              <w:t>Experience requirement</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Event card</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Event name, date, assignment role, package version, deadline and readiness</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Package overview</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Why training is required; durable learning reused; event-specific units; estimated time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Role-filtered content</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Only approved facts needed for the learner’s role; sensitive details minimised</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Change notice</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What changed, materiality, affected units, acknowledgement/reassessment and effective time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Briefing acknowledgement</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Exact version, key duties, escalation and learner declaration</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Scenario/rehearsal</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Role/zone-specific decisions and practical evidence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Readiness result</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Ready, Pending, Not Ready or Stale; blocker and responsible next action</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Event-day view</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Fast read-only requirements, latest verified readiness and offline freshness</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Event closed</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Readiness expires; durable completion retained only under equivalence rules</w:t>
            </w:r>
          </w:p>
        </w:tc>
      </w:tr>
    </w:tbl>
    <w:p>
      <w:pPr>
        <w:pStyle w:val="ListBullet"/>
        <w:spacing w:after="60"/>
        <w:ind w:left="547" w:hanging="274"/>
      </w:pPr>
      <w:r>
        <w:t>Event OS owns assignment and operational authority; the Academy displays supplied assignment context without editing it.</w:t>
      </w:r>
    </w:p>
    <w:p>
      <w:pPr>
        <w:pStyle w:val="ListBullet"/>
        <w:spacing w:after="60"/>
        <w:ind w:left="547" w:hanging="274"/>
      </w:pPr>
      <w:r>
        <w:t>A material package change marks affected readiness Stale and leads directly to delta learning/reassessment.</w:t>
      </w:r>
    </w:p>
    <w:p>
      <w:pPr>
        <w:pStyle w:val="ListBullet"/>
        <w:spacing w:after="60"/>
        <w:ind w:left="547" w:hanging="274"/>
      </w:pPr>
      <w:r>
        <w:t>No guest list, seating, biometric, credential or check-in detail appears unless an approved minimum training purpose requires it.</w:t>
      </w:r>
    </w:p>
    <w:p>
      <w:pPr>
        <w:pStyle w:val="ListBullet"/>
        <w:spacing w:after="60"/>
        <w:ind w:left="547" w:hanging="274"/>
      </w:pPr>
      <w:r>
        <w:t>A learner can report a mismatch but cannot change event truth.</w:t>
      </w:r>
    </w:p>
    <w:p>
      <w:r>
        <w:br w:type="page"/>
      </w:r>
    </w:p>
    <w:p>
      <w:pPr>
        <w:pStyle w:val="Heading1"/>
      </w:pPr>
      <w:r>
        <w:t>14. Low-bandwidth, offline and device resilience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Condition</w:t>
            </w:r>
          </w:p>
        </w:tc>
        <w:tc>
          <w:tcPr>
            <w:tcW w:type="dxa" w:w="7460"/>
            <w:shd w:fill="10243E"/>
            <w:tcMar>
              <w:top w:w="70" w:type="dxa"/>
              <w:start w:w="105" w:type="dxa"/>
              <w:bottom w:w="70" w:type="dxa"/>
              <w:end w:w="105" w:type="dxa"/>
            </w:tcMar>
          </w:tcPr>
          <w:p>
            <w:r>
              <w:rPr>
                <w:rFonts w:ascii="Arial" w:hAnsi="Arial"/>
                <w:b/>
                <w:color w:val="FFFFFF"/>
                <w:sz w:val="17"/>
              </w:rPr>
              <w:t>Required behaviour</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Slow network</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Prioritise text/state; lazy-load non-essential media; show meaningful progress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Offline lesson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Allow only pre-authorised cached content; show expiry/version and local progress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Offline assessment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Disabled by default for secure summative work; explicit supported modes only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Queued acknowledgement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Clearly “saved on device—not yet submitted”; prevent false readiness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Reconnect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Idempotent sync, conflict detection and server receipt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Multiple devices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Server truth wins; present conflict and choose safe resume point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Old browser/device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Graceful supported-baseline message and alternative route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Storage pressure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Explain unavailable download; do not silently evict needed work</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Notification failure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In-app obligations remain authoritative; channel delivery is not completion</w:t>
            </w:r>
          </w:p>
        </w:tc>
      </w:tr>
    </w:tbl>
    <w:p>
      <w:r>
        <w:br w:type="page"/>
      </w:r>
    </w:p>
    <w:p>
      <w:pPr>
        <w:pStyle w:val="Heading1"/>
      </w:pPr>
      <w:r>
        <w:t>15. Manager workspace</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0243E"/>
            <w:tcMar>
              <w:top w:w="70" w:type="dxa"/>
              <w:start w:w="105" w:type="dxa"/>
              <w:bottom w:w="70" w:type="dxa"/>
              <w:end w:w="105" w:type="dxa"/>
            </w:tcMar>
          </w:tcPr>
          <w:p>
            <w:r>
              <w:rPr>
                <w:rFonts w:ascii="Arial" w:hAnsi="Arial"/>
                <w:b/>
                <w:color w:val="FFFFFF"/>
                <w:sz w:val="17"/>
              </w:rPr>
              <w:t>Page</w:t>
            </w:r>
          </w:p>
        </w:tc>
        <w:tc>
          <w:tcPr>
            <w:tcW w:type="dxa" w:w="7560"/>
            <w:shd w:fill="10243E"/>
            <w:tcMar>
              <w:top w:w="70" w:type="dxa"/>
              <w:start w:w="105" w:type="dxa"/>
              <w:bottom w:w="70" w:type="dxa"/>
              <w:end w:w="105" w:type="dxa"/>
            </w:tcMar>
          </w:tcPr>
          <w:p>
            <w:r>
              <w:rPr>
                <w:rFonts w:ascii="Arial" w:hAnsi="Arial"/>
                <w:b/>
                <w:color w:val="FFFFFF"/>
                <w:sz w:val="17"/>
              </w:rPr>
              <w:t>Primary decisions and actions</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Manager home</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Who is blocked, expiring, overdue or event-critical; recommended action</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Team roster</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Person, role, learning, certificate and event readiness summaries; filters/sort</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Person summary</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Approved role path, due work, certificate state and safe blockers; no keys/raw evidence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Assign learning</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Choose approved path/course, people, due date and reason; preview conflicts/impact</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Role movement</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Compare current/destination role, retained competence, gaps and proposed enrolment</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Event readiness</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Assigned team by event/role/package; Not Ready/Stale first; staffing consequence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Renewal planner</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30/60/90-day certificate risk and affected future assignments</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Approvals</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Only routine manager approvals granted by policy; conflict and self-approval checks</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Reports</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Completion/readiness trends with privacy-safe drilldown and export scope</w:t>
            </w:r>
          </w:p>
        </w:tc>
      </w:tr>
    </w:tbl>
    <w:p>
      <w:pPr>
        <w:pStyle w:val="Heading2"/>
      </w:pPr>
      <w:r>
        <w:t>15.1 Manager interaction laws</w:t>
      </w:r>
    </w:p>
    <w:p>
      <w:pPr>
        <w:pStyle w:val="ListBullet"/>
        <w:spacing w:after="60"/>
        <w:ind w:left="547" w:hanging="274"/>
      </w:pPr>
      <w:r>
        <w:t>Default to exceptions requiring action, not vanity totals.</w:t>
      </w:r>
    </w:p>
    <w:p>
      <w:pPr>
        <w:pStyle w:val="ListBullet"/>
        <w:spacing w:after="60"/>
        <w:ind w:left="547" w:hanging="274"/>
      </w:pPr>
      <w:r>
        <w:t>Bulk enrolment shows exact targets, prerequisites, duplicates, restricted items and final count before commit.</w:t>
      </w:r>
    </w:p>
    <w:p>
      <w:pPr>
        <w:pStyle w:val="ListBullet"/>
        <w:spacing w:after="60"/>
        <w:ind w:left="547" w:hanging="274"/>
      </w:pPr>
      <w:r>
        <w:t>Managers can initiate remediation but cannot alter results, waive critical failure or extend validity.</w:t>
      </w:r>
    </w:p>
    <w:p>
      <w:pPr>
        <w:pStyle w:val="ListBullet"/>
        <w:spacing w:after="60"/>
        <w:ind w:left="547" w:hanging="274"/>
      </w:pPr>
      <w:r>
        <w:t>Every blocker names who can resolve it without revealing restricted evidence.</w:t>
      </w:r>
    </w:p>
    <w:p>
      <w:pPr>
        <w:pStyle w:val="ListBullet"/>
        <w:spacing w:after="60"/>
        <w:ind w:left="547" w:hanging="274"/>
      </w:pPr>
      <w:r>
        <w:t>Mobile manager view supports urgent review and contact; complex bulk work is desktop-optimised.</w:t>
      </w:r>
    </w:p>
    <w:p>
      <w:r>
        <w:br w:type="page"/>
      </w:r>
    </w:p>
    <w:p>
      <w:pPr>
        <w:pStyle w:val="Heading1"/>
      </w:pPr>
      <w:r>
        <w:t>16. Assessor workspace</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05" w:type="dxa"/>
              <w:bottom w:w="70" w:type="dxa"/>
              <w:end w:w="105" w:type="dxa"/>
            </w:tcMar>
          </w:tcPr>
          <w:p>
            <w:r>
              <w:rPr>
                <w:rFonts w:ascii="Arial" w:hAnsi="Arial"/>
                <w:b/>
                <w:color w:val="FFFFFF"/>
                <w:sz w:val="17"/>
              </w:rPr>
              <w:t>Page</w:t>
            </w:r>
          </w:p>
        </w:tc>
        <w:tc>
          <w:tcPr>
            <w:tcW w:type="dxa" w:w="7510"/>
            <w:shd w:fill="10243E"/>
            <w:tcMar>
              <w:top w:w="70" w:type="dxa"/>
              <w:start w:w="105" w:type="dxa"/>
              <w:bottom w:w="70" w:type="dxa"/>
              <w:end w:w="105" w:type="dxa"/>
            </w:tcMar>
          </w:tcPr>
          <w:p>
            <w:r>
              <w:rPr>
                <w:rFonts w:ascii="Arial" w:hAnsi="Arial"/>
                <w:b/>
                <w:color w:val="FFFFFF"/>
                <w:sz w:val="17"/>
              </w:rPr>
              <w:t>Primary content and controls</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Assessor home</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Assigned, due soon, overdue, returned and conflicted cases</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Assignment detail</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Learner identity minimum, assessment/form version, rubric, deadline and conflict declaration</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Evidence viewer</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Secure media/document viewer, timestamps, provenance and accessibility support</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Scoring workspace</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Criterion-by-criterion judgement, rationale, critical gates, autosave and completeness check</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Practical observation</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Mobile-friendly rubric, offline-safe draft if approved, evidence capture and learner acknowledgement</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Submit judgement</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Validation, score/gate preview, declarations and immutable submit</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Moderation</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Original evidence/judgement, blind review where policy requires, reasoned outcome</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Panel/capstone</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Members, quorum, conflict, independent scores, deliberation record and final decision</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Returned case</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Requested correction vs prohibited evidence mutation clearly separated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ASSESSOR SAFETY</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The interface must never show an unassigned case, let the assessor change the approved rubric, expose the full question bank or permit self/direct-report assessment where policy prohibits it.</w:t>
            </w:r>
          </w:p>
        </w:tc>
      </w:tr>
    </w:tbl>
    <w:p>
      <w:r>
        <w:br w:type="page"/>
      </w:r>
    </w:p>
    <w:p>
      <w:pPr>
        <w:pStyle w:val="Heading1"/>
      </w:pPr>
      <w:r>
        <w:t>17. Administrator workspace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Functional area</w:t>
            </w:r>
          </w:p>
        </w:tc>
        <w:tc>
          <w:tcPr>
            <w:tcW w:type="dxa" w:w="7460"/>
            <w:shd w:fill="10243E"/>
            <w:tcMar>
              <w:top w:w="70" w:type="dxa"/>
              <w:start w:w="105" w:type="dxa"/>
              <w:bottom w:w="70" w:type="dxa"/>
              <w:end w:w="105" w:type="dxa"/>
            </w:tcMar>
          </w:tcPr>
          <w:p>
            <w:r>
              <w:rPr>
                <w:rFonts w:ascii="Arial" w:hAnsi="Arial"/>
                <w:b/>
                <w:color w:val="FFFFFF"/>
                <w:sz w:val="17"/>
              </w:rPr>
              <w:t>Required interface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Identity/access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Invites, verified identity, role grants, MFA state, access expiry and approval evidence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Enrolment/cohorts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Create/import, validate, deduplicate, preview, commit and exception report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Learning operations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Assignment queues, due-date correction workflow and learner support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Assessment operations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Schedule, form allocation, technical incident, held outcome and authorised release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Certification operations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Evidence bundle completeness, deterministic outcome, issue/status action and dependency impact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Content operations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Approved-version publish/supersede; cannot perform missing approval</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Event integration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Identity/event/package mapping, message status, reconciliation and retry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Data/privacy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Purpose-bound correction/export/retention queues and dual control</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Support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Ticket-scoped diagnostic view, impersonation boundary and audit reference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System health</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Queue latency, failed jobs, stale integrations and notification delivery</w:t>
            </w:r>
          </w:p>
        </w:tc>
      </w:tr>
    </w:tbl>
    <w:p>
      <w:pPr>
        <w:pStyle w:val="Heading2"/>
      </w:pPr>
      <w:r>
        <w:t>17.1 Administrative bulk-action pattern</w:t>
      </w:r>
    </w:p>
    <w:p>
      <w:pPr>
        <w:pStyle w:val="ListBullet"/>
        <w:spacing w:after="60"/>
        <w:ind w:left="547" w:hanging="274"/>
      </w:pPr>
      <w:r>
        <w:t>Select or upload targets.</w:t>
      </w:r>
    </w:p>
    <w:p>
      <w:pPr>
        <w:pStyle w:val="ListBullet"/>
        <w:spacing w:after="60"/>
        <w:ind w:left="547" w:hanging="274"/>
      </w:pPr>
      <w:r>
        <w:t>Validate identities, tenant, scope, duplicates and policy.</w:t>
      </w:r>
    </w:p>
    <w:p>
      <w:pPr>
        <w:pStyle w:val="ListBullet"/>
        <w:spacing w:after="60"/>
        <w:ind w:left="547" w:hanging="274"/>
      </w:pPr>
      <w:r>
        <w:t>Preview successful, warning and blocked rows separately.</w:t>
      </w:r>
    </w:p>
    <w:p>
      <w:pPr>
        <w:pStyle w:val="ListBullet"/>
        <w:spacing w:after="60"/>
        <w:ind w:left="547" w:hanging="274"/>
      </w:pPr>
      <w:r>
        <w:t>Require reason and any independent approval.</w:t>
      </w:r>
    </w:p>
    <w:p>
      <w:pPr>
        <w:pStyle w:val="ListBullet"/>
        <w:spacing w:after="60"/>
        <w:ind w:left="547" w:hanging="274"/>
      </w:pPr>
      <w:r>
        <w:t>Commit idempotently with progress and cancellable pre-commit stage.</w:t>
      </w:r>
    </w:p>
    <w:p>
      <w:pPr>
        <w:pStyle w:val="ListBullet"/>
        <w:spacing w:after="60"/>
        <w:ind w:left="547" w:hanging="274"/>
      </w:pPr>
      <w:r>
        <w:t>Return row-level receipt, exceptions and rollback/correction path.</w:t>
      </w:r>
    </w:p>
    <w:p>
      <w:r>
        <w:br w:type="page"/>
      </w:r>
    </w:p>
    <w:p>
      <w:pPr>
        <w:pStyle w:val="Heading1"/>
      </w:pPr>
      <w:r>
        <w:t>18. CEO and governance workspace</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05" w:type="dxa"/>
              <w:bottom w:w="70" w:type="dxa"/>
              <w:end w:w="105" w:type="dxa"/>
            </w:tcMar>
          </w:tcPr>
          <w:p>
            <w:r>
              <w:rPr>
                <w:rFonts w:ascii="Arial" w:hAnsi="Arial"/>
                <w:b/>
                <w:color w:val="FFFFFF"/>
                <w:sz w:val="17"/>
              </w:rPr>
              <w:t>Region</w:t>
            </w:r>
          </w:p>
        </w:tc>
        <w:tc>
          <w:tcPr>
            <w:tcW w:type="dxa" w:w="7510"/>
            <w:shd w:fill="10243E"/>
            <w:tcMar>
              <w:top w:w="70" w:type="dxa"/>
              <w:start w:w="105" w:type="dxa"/>
              <w:bottom w:w="70" w:type="dxa"/>
              <w:end w:w="105" w:type="dxa"/>
            </w:tcMar>
          </w:tcPr>
          <w:p>
            <w:r>
              <w:rPr>
                <w:rFonts w:ascii="Arial" w:hAnsi="Arial"/>
                <w:b/>
                <w:color w:val="FFFFFF"/>
                <w:sz w:val="17"/>
              </w:rPr>
              <w:t>Decision support</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Executive readiness</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Certified capacity by role, event exposure and unresolved critical gaps</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Coverage</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30-module/competency coverage by role path, assessment and evidence mode</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Change impact</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Affected courses, assessments, certificates, people, events and deadlines before approval</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Governance queue</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Criticality, new schemes, material curriculum, revocation/reinstatement and exceptions</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Executive certification</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CEO/Event Director capstone state, panel independence and expiry; no self-decision control</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Risk signals</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Repeated critical failures, overdue reviews, leakage, dispensations, access anomalies and stale integration</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Role mobility</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Promotion/lateral gap size, readiness lead time and succession capacity</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Quality</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Assessment reliability, item exposure, moderation difference and learner support indicators</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Audit</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Decision reconstruction, delegated authority and privileged actions</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Local/global</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Lagos overlay currency and event-local overlay gaps</w:t>
            </w:r>
          </w:p>
        </w:tc>
      </w:tr>
    </w:tbl>
    <w:p>
      <w:pPr>
        <w:pStyle w:val="Heading2"/>
      </w:pPr>
      <w:r>
        <w:t>18.1 CEO decision page</w:t>
      </w:r>
    </w:p>
    <w:p>
      <w:pPr>
        <w:pStyle w:val="ListBullet"/>
        <w:spacing w:after="60"/>
        <w:ind w:left="547" w:hanging="274"/>
      </w:pPr>
      <w:r>
        <w:t>State the decision, why it matters and deadline.</w:t>
      </w:r>
    </w:p>
    <w:p>
      <w:pPr>
        <w:pStyle w:val="ListBullet"/>
        <w:spacing w:after="60"/>
        <w:ind w:left="547" w:hanging="274"/>
      </w:pPr>
      <w:r>
        <w:t>Show exact proposed version and plain-language change summary.</w:t>
      </w:r>
    </w:p>
    <w:p>
      <w:pPr>
        <w:pStyle w:val="ListBullet"/>
        <w:spacing w:after="60"/>
        <w:ind w:left="547" w:hanging="274"/>
      </w:pPr>
      <w:r>
        <w:t>Show evidence, required reviews, dissent and unresolved conditions.</w:t>
      </w:r>
    </w:p>
    <w:p>
      <w:pPr>
        <w:pStyle w:val="ListBullet"/>
        <w:spacing w:after="60"/>
        <w:ind w:left="547" w:hanging="274"/>
      </w:pPr>
      <w:r>
        <w:t>Show dependency and live-event impact before confirmation.</w:t>
      </w:r>
    </w:p>
    <w:p>
      <w:pPr>
        <w:pStyle w:val="ListBullet"/>
        <w:spacing w:after="60"/>
        <w:ind w:left="547" w:hanging="274"/>
      </w:pPr>
      <w:r>
        <w:t>Require reason, authority/delegation and strong re-authentication where material.</w:t>
      </w:r>
    </w:p>
    <w:p>
      <w:pPr>
        <w:pStyle w:val="ListBullet"/>
        <w:spacing w:after="60"/>
        <w:ind w:left="547" w:hanging="274"/>
      </w:pPr>
      <w:r>
        <w:t>Create an immutable receipt; CEO cannot edit underlying frozen evidence.</w:t>
      </w:r>
    </w:p>
    <w:p>
      <w:r>
        <w:br w:type="page"/>
      </w:r>
    </w:p>
    <w:p>
      <w:pPr>
        <w:pStyle w:val="Heading1"/>
      </w:pPr>
      <w:r>
        <w:t>19. Author and reviewer experience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Workspace</w:t>
            </w:r>
          </w:p>
        </w:tc>
        <w:tc>
          <w:tcPr>
            <w:tcW w:type="dxa" w:w="7460"/>
            <w:shd w:fill="10243E"/>
            <w:tcMar>
              <w:top w:w="70" w:type="dxa"/>
              <w:start w:w="105" w:type="dxa"/>
              <w:bottom w:w="70" w:type="dxa"/>
              <w:end w:w="105" w:type="dxa"/>
            </w:tcMar>
          </w:tcPr>
          <w:p>
            <w:r>
              <w:rPr>
                <w:rFonts w:ascii="Arial" w:hAnsi="Arial"/>
                <w:b/>
                <w:color w:val="FFFFFF"/>
                <w:sz w:val="17"/>
              </w:rPr>
              <w:t>Required capability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Curriculum studio</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Structured course/module/lesson outline; competency mapping; prerequisite and role targeting</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Lesson editor</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Blocks for doctrine, scenario, local overlay, media, source, activity and authority boundary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Assessment studio</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Blueprint coverage, item formats, rubric, criticality, difficulty and protected rationale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Version comparison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Semantic diff, source/effective date and downstream impact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Validation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Missing mapping/source/accessibility/review/assessment coverage errors before submit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Review queue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Assigned domain, conflict declaration, checklist, inline comment and approve/request changes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Publication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Exact approved version only; effective date, migration/supersession and learner impact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Preview</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Learner mobile, manager summary and accessible mode previews without exposing draft publicly</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MAKER-CHECKER</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The frontend identifies the person, not only their role. An author cannot approve their own version; a reviewer cannot operate outside the assigned domain; an administrator cannot publish around a missing approval.</w:t>
            </w:r>
          </w:p>
        </w:tc>
      </w:tr>
    </w:tbl>
    <w:p>
      <w:r>
        <w:br w:type="page"/>
      </w:r>
    </w:p>
    <w:p>
      <w:pPr>
        <w:pStyle w:val="Heading1"/>
      </w:pPr>
      <w:r>
        <w:t>20. Search, notifications and action inbox</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05" w:type="dxa"/>
              <w:bottom w:w="70" w:type="dxa"/>
              <w:end w:w="105" w:type="dxa"/>
            </w:tcMar>
          </w:tcPr>
          <w:p>
            <w:r>
              <w:rPr>
                <w:rFonts w:ascii="Arial" w:hAnsi="Arial"/>
                <w:b/>
                <w:color w:val="FFFFFF"/>
                <w:sz w:val="17"/>
              </w:rPr>
              <w:t>Capability</w:t>
            </w:r>
          </w:p>
        </w:tc>
        <w:tc>
          <w:tcPr>
            <w:tcW w:type="dxa" w:w="7510"/>
            <w:shd w:fill="10243E"/>
            <w:tcMar>
              <w:top w:w="70" w:type="dxa"/>
              <w:start w:w="105" w:type="dxa"/>
              <w:bottom w:w="70" w:type="dxa"/>
              <w:end w:w="105" w:type="dxa"/>
            </w:tcMar>
          </w:tcPr>
          <w:p>
            <w:r>
              <w:rPr>
                <w:rFonts w:ascii="Arial" w:hAnsi="Arial"/>
                <w:b/>
                <w:color w:val="FFFFFF"/>
                <w:sz w:val="17"/>
              </w:rPr>
              <w:t>Specification</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Global search</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Scoped by active role/organisation/event; permission-safe results and suggestions</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Action inbox</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One list of tasks requiring the actor; priority, due date, owner and context</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Notification centre</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Unread/action-required distinction; durable link to authoritative in-app record</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Channels</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Email/SMS/WhatsApp contain minimal data and secure link; no keys/private evidence</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Preferences</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User-controlled optional notices; mandatory operational/governance alerts cannot be silenced</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Escalation</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Escalate owner/manager/governance by policy without widening data access</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Digest</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Useful grouped summary; never replace immediate critical alert</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Read receipt</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Used only where policy requires; notification delivery is not acknowledgement</w:t>
            </w:r>
          </w:p>
        </w:tc>
      </w:tr>
    </w:tbl>
    <w:p>
      <w:r>
        <w:br w:type="page"/>
      </w:r>
    </w:p>
    <w:p>
      <w:pPr>
        <w:pStyle w:val="Heading1"/>
      </w:pPr>
      <w:r>
        <w:t>21. Responsive behaviour by breakpoint</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10243E"/>
            <w:tcMar>
              <w:top w:w="70" w:type="dxa"/>
              <w:start w:w="105" w:type="dxa"/>
              <w:bottom w:w="70" w:type="dxa"/>
              <w:end w:w="105" w:type="dxa"/>
            </w:tcMar>
          </w:tcPr>
          <w:p>
            <w:r>
              <w:rPr>
                <w:rFonts w:ascii="Arial" w:hAnsi="Arial"/>
                <w:b/>
                <w:color w:val="FFFFFF"/>
                <w:sz w:val="17"/>
              </w:rPr>
              <w:t>Width</w:t>
            </w:r>
          </w:p>
        </w:tc>
        <w:tc>
          <w:tcPr>
            <w:tcW w:type="dxa" w:w="7660"/>
            <w:shd w:fill="10243E"/>
            <w:tcMar>
              <w:top w:w="70" w:type="dxa"/>
              <w:start w:w="105" w:type="dxa"/>
              <w:bottom w:w="70" w:type="dxa"/>
              <w:end w:w="105" w:type="dxa"/>
            </w:tcMar>
          </w:tcPr>
          <w:p>
            <w:r>
              <w:rPr>
                <w:rFonts w:ascii="Arial" w:hAnsi="Arial"/>
                <w:b/>
                <w:color w:val="FFFFFF"/>
                <w:sz w:val="17"/>
              </w:rPr>
              <w:t>Layout law</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360-479 px</w:t>
            </w:r>
          </w:p>
        </w:tc>
        <w:tc>
          <w:tcPr>
            <w:tcW w:type="dxa" w:w="7660"/>
            <w:shd w:fill="FFFFFF"/>
            <w:vAlign w:val="top"/>
            <w:tcMar>
              <w:top w:w="70" w:type="dxa"/>
              <w:start w:w="105" w:type="dxa"/>
              <w:bottom w:w="70" w:type="dxa"/>
              <w:end w:w="105" w:type="dxa"/>
            </w:tcMar>
          </w:tcPr>
          <w:p>
            <w:pPr>
              <w:spacing w:after="20" w:line="240" w:lineRule="auto"/>
            </w:pPr>
            <w:r>
              <w:rPr>
                <w:rFonts w:ascii="Arial" w:hAnsi="Arial"/>
                <w:color w:val="172033"/>
                <w:sz w:val="16"/>
              </w:rPr>
              <w:t>Single column; bottom learner navigation; sticky primary action; tables become labelled cards</w:t>
            </w:r>
          </w:p>
        </w:tc>
      </w:tr>
      <w:tr>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6"/>
              </w:rPr>
              <w:t>480-767 px</w:t>
            </w:r>
          </w:p>
        </w:tc>
        <w:tc>
          <w:tcPr>
            <w:tcW w:type="dxa" w:w="7660"/>
            <w:shd w:fill="F6F7F9"/>
            <w:vAlign w:val="top"/>
            <w:tcMar>
              <w:top w:w="70" w:type="dxa"/>
              <w:start w:w="105" w:type="dxa"/>
              <w:bottom w:w="70" w:type="dxa"/>
              <w:end w:w="105" w:type="dxa"/>
            </w:tcMar>
          </w:tcPr>
          <w:p>
            <w:pPr>
              <w:spacing w:after="20" w:line="240" w:lineRule="auto"/>
            </w:pPr>
            <w:r>
              <w:rPr>
                <w:rFonts w:ascii="Arial" w:hAnsi="Arial"/>
                <w:color w:val="172033"/>
                <w:sz w:val="16"/>
              </w:rPr>
              <w:t>Single column with richer cards; two-up only for short comparable values</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768-1023 px</w:t>
            </w:r>
          </w:p>
        </w:tc>
        <w:tc>
          <w:tcPr>
            <w:tcW w:type="dxa" w:w="7660"/>
            <w:shd w:fill="FFFFFF"/>
            <w:vAlign w:val="top"/>
            <w:tcMar>
              <w:top w:w="70" w:type="dxa"/>
              <w:start w:w="105" w:type="dxa"/>
              <w:bottom w:w="70" w:type="dxa"/>
              <w:end w:w="105" w:type="dxa"/>
            </w:tcMar>
          </w:tcPr>
          <w:p>
            <w:pPr>
              <w:spacing w:after="20" w:line="240" w:lineRule="auto"/>
            </w:pPr>
            <w:r>
              <w:rPr>
                <w:rFonts w:ascii="Arial" w:hAnsi="Arial"/>
                <w:color w:val="172033"/>
                <w:sz w:val="16"/>
              </w:rPr>
              <w:t>Collapsible side navigation; master/detail may use drawer; touch remains first-class</w:t>
            </w:r>
          </w:p>
        </w:tc>
      </w:tr>
      <w:tr>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6"/>
              </w:rPr>
              <w:t>1024-1439 px</w:t>
            </w:r>
          </w:p>
        </w:tc>
        <w:tc>
          <w:tcPr>
            <w:tcW w:type="dxa" w:w="7660"/>
            <w:shd w:fill="F6F7F9"/>
            <w:vAlign w:val="top"/>
            <w:tcMar>
              <w:top w:w="70" w:type="dxa"/>
              <w:start w:w="105" w:type="dxa"/>
              <w:bottom w:w="70" w:type="dxa"/>
              <w:end w:w="105" w:type="dxa"/>
            </w:tcMar>
          </w:tcPr>
          <w:p>
            <w:pPr>
              <w:spacing w:after="20" w:line="240" w:lineRule="auto"/>
            </w:pPr>
            <w:r>
              <w:rPr>
                <w:rFonts w:ascii="Arial" w:hAnsi="Arial"/>
                <w:color w:val="172033"/>
                <w:sz w:val="16"/>
              </w:rPr>
              <w:t>Persistent side navigation; list/detail split; dense tables with horizontal safety</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1440 px+</w:t>
            </w:r>
          </w:p>
        </w:tc>
        <w:tc>
          <w:tcPr>
            <w:tcW w:type="dxa" w:w="7660"/>
            <w:shd w:fill="FFFFFF"/>
            <w:vAlign w:val="top"/>
            <w:tcMar>
              <w:top w:w="70" w:type="dxa"/>
              <w:start w:w="105" w:type="dxa"/>
              <w:bottom w:w="70" w:type="dxa"/>
              <w:end w:w="105" w:type="dxa"/>
            </w:tcMar>
          </w:tcPr>
          <w:p>
            <w:pPr>
              <w:spacing w:after="20" w:line="240" w:lineRule="auto"/>
            </w:pPr>
            <w:r>
              <w:rPr>
                <w:rFonts w:ascii="Arial" w:hAnsi="Arial"/>
                <w:color w:val="172033"/>
                <w:sz w:val="16"/>
              </w:rPr>
              <w:t>Constrain readable text; use added width for comparison, filters and context—not stretched prose</w:t>
            </w:r>
          </w:p>
        </w:tc>
      </w:tr>
    </w:tbl>
    <w:p>
      <w:pPr>
        <w:pStyle w:val="Heading2"/>
      </w:pPr>
      <w:r>
        <w:t>21.1 Responsive acceptance</w:t>
      </w:r>
    </w:p>
    <w:p>
      <w:pPr>
        <w:pStyle w:val="ListBullet"/>
        <w:spacing w:after="60"/>
        <w:ind w:left="547" w:hanging="274"/>
      </w:pPr>
      <w:r>
        <w:t>No essential control requires hover.</w:t>
      </w:r>
    </w:p>
    <w:p>
      <w:pPr>
        <w:pStyle w:val="ListBullet"/>
        <w:spacing w:after="60"/>
        <w:ind w:left="547" w:hanging="274"/>
      </w:pPr>
      <w:r>
        <w:t>No horizontal scroll for learner content at 360 px.</w:t>
      </w:r>
    </w:p>
    <w:p>
      <w:pPr>
        <w:pStyle w:val="ListBullet"/>
        <w:spacing w:after="60"/>
        <w:ind w:left="547" w:hanging="274"/>
      </w:pPr>
      <w:r>
        <w:t>Sticky actions never cover focused fields, keyboard or validation message.</w:t>
      </w:r>
    </w:p>
    <w:p>
      <w:pPr>
        <w:pStyle w:val="ListBullet"/>
        <w:spacing w:after="60"/>
        <w:ind w:left="547" w:hanging="274"/>
      </w:pPr>
      <w:r>
        <w:t>Zoom to 200% retains content and function without two-dimensional scrolling except genuine data grids.</w:t>
      </w:r>
    </w:p>
    <w:p>
      <w:pPr>
        <w:pStyle w:val="ListBullet"/>
        <w:spacing w:after="60"/>
        <w:ind w:left="547" w:hanging="274"/>
      </w:pPr>
      <w:r>
        <w:t>Orientation change preserves state.</w:t>
      </w:r>
    </w:p>
    <w:p>
      <w:pPr>
        <w:pStyle w:val="ListBullet"/>
        <w:spacing w:after="60"/>
        <w:ind w:left="547" w:hanging="274"/>
      </w:pPr>
      <w:r>
        <w:t>Safe-area insets and mobile browser bars do not hide actions.</w:t>
      </w:r>
    </w:p>
    <w:p>
      <w:r>
        <w:br w:type="page"/>
      </w:r>
    </w:p>
    <w:p>
      <w:pPr>
        <w:pStyle w:val="Heading1"/>
      </w:pPr>
      <w:r>
        <w:t>22. Accessibility and inclusive learning</w:t>
      </w:r>
    </w:p>
    <w:tbl>
      <w:tblPr>
        <w:tblStyle w:val="TableGrid"/>
        <w:tblW w:type="dxa" w:w="9360"/>
        <w:jc w:val="left"/>
        <w:tblLayout w:type="fixed"/>
        <w:tblLook w:firstColumn="1" w:firstRow="1" w:lastColumn="0" w:lastRow="0" w:noHBand="0" w:noVBand="1" w:val="04A0"/>
        <w:tblInd w:w="120" w:type="dxa"/>
      </w:tblPr>
      <w:tblGrid>
        <w:gridCol w:w="1750"/>
        <w:gridCol w:w="7610"/>
      </w:tblGrid>
      <w:tr>
        <w:tc>
          <w:tcPr>
            <w:tcW w:type="dxa" w:w="1750"/>
            <w:shd w:fill="10243E"/>
            <w:tcMar>
              <w:top w:w="70" w:type="dxa"/>
              <w:start w:w="105" w:type="dxa"/>
              <w:bottom w:w="70" w:type="dxa"/>
              <w:end w:w="105" w:type="dxa"/>
            </w:tcMar>
          </w:tcPr>
          <w:p>
            <w:r>
              <w:rPr>
                <w:rFonts w:ascii="Arial" w:hAnsi="Arial"/>
                <w:b/>
                <w:color w:val="FFFFFF"/>
                <w:sz w:val="17"/>
              </w:rPr>
              <w:t>Area</w:t>
            </w:r>
          </w:p>
        </w:tc>
        <w:tc>
          <w:tcPr>
            <w:tcW w:type="dxa" w:w="7610"/>
            <w:shd w:fill="10243E"/>
            <w:tcMar>
              <w:top w:w="70" w:type="dxa"/>
              <w:start w:w="105" w:type="dxa"/>
              <w:bottom w:w="70" w:type="dxa"/>
              <w:end w:w="105" w:type="dxa"/>
            </w:tcMar>
          </w:tcPr>
          <w:p>
            <w:r>
              <w:rPr>
                <w:rFonts w:ascii="Arial" w:hAnsi="Arial"/>
                <w:b/>
                <w:color w:val="FFFFFF"/>
                <w:sz w:val="17"/>
              </w:rPr>
              <w:t>Minimum requirement</w:t>
            </w:r>
          </w:p>
        </w:tc>
      </w:tr>
      <w:tr>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6"/>
              </w:rPr>
              <w:t>Structure</w:t>
            </w:r>
          </w:p>
        </w:tc>
        <w:tc>
          <w:tcPr>
            <w:tcW w:type="dxa" w:w="7610"/>
            <w:shd w:fill="FFFFFF"/>
            <w:vAlign w:val="top"/>
            <w:tcMar>
              <w:top w:w="70" w:type="dxa"/>
              <w:start w:w="105" w:type="dxa"/>
              <w:bottom w:w="70" w:type="dxa"/>
              <w:end w:w="105" w:type="dxa"/>
            </w:tcMar>
          </w:tcPr>
          <w:p>
            <w:pPr>
              <w:spacing w:after="20" w:line="240" w:lineRule="auto"/>
            </w:pPr>
            <w:r>
              <w:rPr>
                <w:rFonts w:ascii="Arial" w:hAnsi="Arial"/>
                <w:color w:val="172033"/>
                <w:sz w:val="16"/>
              </w:rPr>
              <w:t>Semantic headings, landmarks, lists, labels and table headers</w:t>
            </w:r>
          </w:p>
        </w:tc>
      </w:tr>
      <w:tr>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6"/>
              </w:rPr>
              <w:t>Keyboard</w:t>
            </w:r>
          </w:p>
        </w:tc>
        <w:tc>
          <w:tcPr>
            <w:tcW w:type="dxa" w:w="7610"/>
            <w:shd w:fill="F6F7F9"/>
            <w:vAlign w:val="top"/>
            <w:tcMar>
              <w:top w:w="70" w:type="dxa"/>
              <w:start w:w="105" w:type="dxa"/>
              <w:bottom w:w="70" w:type="dxa"/>
              <w:end w:w="105" w:type="dxa"/>
            </w:tcMar>
          </w:tcPr>
          <w:p>
            <w:pPr>
              <w:spacing w:after="20" w:line="240" w:lineRule="auto"/>
            </w:pPr>
            <w:r>
              <w:rPr>
                <w:rFonts w:ascii="Arial" w:hAnsi="Arial"/>
                <w:color w:val="172033"/>
                <w:sz w:val="16"/>
              </w:rPr>
              <w:t>Logical order, visible focus, skip link, no keyboard trap</w:t>
            </w:r>
          </w:p>
        </w:tc>
      </w:tr>
      <w:tr>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6"/>
              </w:rPr>
              <w:t>Screen reader</w:t>
            </w:r>
          </w:p>
        </w:tc>
        <w:tc>
          <w:tcPr>
            <w:tcW w:type="dxa" w:w="7610"/>
            <w:shd w:fill="FFFFFF"/>
            <w:vAlign w:val="top"/>
            <w:tcMar>
              <w:top w:w="70" w:type="dxa"/>
              <w:start w:w="105" w:type="dxa"/>
              <w:bottom w:w="70" w:type="dxa"/>
              <w:end w:w="105" w:type="dxa"/>
            </w:tcMar>
          </w:tcPr>
          <w:p>
            <w:pPr>
              <w:spacing w:after="20" w:line="240" w:lineRule="auto"/>
            </w:pPr>
            <w:r>
              <w:rPr>
                <w:rFonts w:ascii="Arial" w:hAnsi="Arial"/>
                <w:color w:val="172033"/>
                <w:sz w:val="16"/>
              </w:rPr>
              <w:t>Names/roles/values, live status announcements and meaningful errors</w:t>
            </w:r>
          </w:p>
        </w:tc>
      </w:tr>
      <w:tr>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6"/>
              </w:rPr>
              <w:t>Contrast</w:t>
            </w:r>
          </w:p>
        </w:tc>
        <w:tc>
          <w:tcPr>
            <w:tcW w:type="dxa" w:w="7610"/>
            <w:shd w:fill="F6F7F9"/>
            <w:vAlign w:val="top"/>
            <w:tcMar>
              <w:top w:w="70" w:type="dxa"/>
              <w:start w:w="105" w:type="dxa"/>
              <w:bottom w:w="70" w:type="dxa"/>
              <w:end w:w="105" w:type="dxa"/>
            </w:tcMar>
          </w:tcPr>
          <w:p>
            <w:pPr>
              <w:spacing w:after="20" w:line="240" w:lineRule="auto"/>
            </w:pPr>
            <w:r>
              <w:rPr>
                <w:rFonts w:ascii="Arial" w:hAnsi="Arial"/>
                <w:color w:val="172033"/>
                <w:sz w:val="16"/>
              </w:rPr>
              <w:t>WCAG 2.2 AA; gold used only where contrast passes</w:t>
            </w:r>
          </w:p>
        </w:tc>
      </w:tr>
      <w:tr>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6"/>
              </w:rPr>
              <w:t>Text</w:t>
            </w:r>
          </w:p>
        </w:tc>
        <w:tc>
          <w:tcPr>
            <w:tcW w:type="dxa" w:w="7610"/>
            <w:shd w:fill="FFFFFF"/>
            <w:vAlign w:val="top"/>
            <w:tcMar>
              <w:top w:w="70" w:type="dxa"/>
              <w:start w:w="105" w:type="dxa"/>
              <w:bottom w:w="70" w:type="dxa"/>
              <w:end w:w="105" w:type="dxa"/>
            </w:tcMar>
          </w:tcPr>
          <w:p>
            <w:pPr>
              <w:spacing w:after="20" w:line="240" w:lineRule="auto"/>
            </w:pPr>
            <w:r>
              <w:rPr>
                <w:rFonts w:ascii="Arial" w:hAnsi="Arial"/>
                <w:color w:val="172033"/>
                <w:sz w:val="16"/>
              </w:rPr>
              <w:t>Resize/reflow, plain language, defined terms and readable line length</w:t>
            </w:r>
          </w:p>
        </w:tc>
      </w:tr>
      <w:tr>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6"/>
              </w:rPr>
              <w:t>Media</w:t>
            </w:r>
          </w:p>
        </w:tc>
        <w:tc>
          <w:tcPr>
            <w:tcW w:type="dxa" w:w="7610"/>
            <w:shd w:fill="F6F7F9"/>
            <w:vAlign w:val="top"/>
            <w:tcMar>
              <w:top w:w="70" w:type="dxa"/>
              <w:start w:w="105" w:type="dxa"/>
              <w:bottom w:w="70" w:type="dxa"/>
              <w:end w:w="105" w:type="dxa"/>
            </w:tcMar>
          </w:tcPr>
          <w:p>
            <w:pPr>
              <w:spacing w:after="20" w:line="240" w:lineRule="auto"/>
            </w:pPr>
            <w:r>
              <w:rPr>
                <w:rFonts w:ascii="Arial" w:hAnsi="Arial"/>
                <w:color w:val="172033"/>
                <w:sz w:val="16"/>
              </w:rPr>
              <w:t>Captions, transcript and equivalent learning route</w:t>
            </w:r>
          </w:p>
        </w:tc>
      </w:tr>
      <w:tr>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6"/>
              </w:rPr>
              <w:t>Time</w:t>
            </w:r>
          </w:p>
        </w:tc>
        <w:tc>
          <w:tcPr>
            <w:tcW w:type="dxa" w:w="7610"/>
            <w:shd w:fill="FFFFFF"/>
            <w:vAlign w:val="top"/>
            <w:tcMar>
              <w:top w:w="70" w:type="dxa"/>
              <w:start w:w="105" w:type="dxa"/>
              <w:bottom w:w="70" w:type="dxa"/>
              <w:end w:w="105" w:type="dxa"/>
            </w:tcMar>
          </w:tcPr>
          <w:p>
            <w:pPr>
              <w:spacing w:after="20" w:line="240" w:lineRule="auto"/>
            </w:pPr>
            <w:r>
              <w:rPr>
                <w:rFonts w:ascii="Arial" w:hAnsi="Arial"/>
                <w:color w:val="172033"/>
                <w:sz w:val="16"/>
              </w:rPr>
              <w:t>Warn, extend via approved accommodation and preserve work</w:t>
            </w:r>
          </w:p>
        </w:tc>
      </w:tr>
      <w:tr>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6"/>
              </w:rPr>
              <w:t>Motor</w:t>
            </w:r>
          </w:p>
        </w:tc>
        <w:tc>
          <w:tcPr>
            <w:tcW w:type="dxa" w:w="7610"/>
            <w:shd w:fill="F6F7F9"/>
            <w:vAlign w:val="top"/>
            <w:tcMar>
              <w:top w:w="70" w:type="dxa"/>
              <w:start w:w="105" w:type="dxa"/>
              <w:bottom w:w="70" w:type="dxa"/>
              <w:end w:w="105" w:type="dxa"/>
            </w:tcMar>
          </w:tcPr>
          <w:p>
            <w:pPr>
              <w:spacing w:after="20" w:line="240" w:lineRule="auto"/>
            </w:pPr>
            <w:r>
              <w:rPr>
                <w:rFonts w:ascii="Arial" w:hAnsi="Arial"/>
                <w:color w:val="172033"/>
                <w:sz w:val="16"/>
              </w:rPr>
              <w:t>44 px targets, spacing, no precision-only gestures</w:t>
            </w:r>
          </w:p>
        </w:tc>
      </w:tr>
      <w:tr>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6"/>
              </w:rPr>
              <w:t>Cognitive</w:t>
            </w:r>
          </w:p>
        </w:tc>
        <w:tc>
          <w:tcPr>
            <w:tcW w:type="dxa" w:w="7610"/>
            <w:shd w:fill="FFFFFF"/>
            <w:vAlign w:val="top"/>
            <w:tcMar>
              <w:top w:w="70" w:type="dxa"/>
              <w:start w:w="105" w:type="dxa"/>
              <w:bottom w:w="70" w:type="dxa"/>
              <w:end w:w="105" w:type="dxa"/>
            </w:tcMar>
          </w:tcPr>
          <w:p>
            <w:pPr>
              <w:spacing w:after="20" w:line="240" w:lineRule="auto"/>
            </w:pPr>
            <w:r>
              <w:rPr>
                <w:rFonts w:ascii="Arial" w:hAnsi="Arial"/>
                <w:color w:val="172033"/>
                <w:sz w:val="16"/>
              </w:rPr>
              <w:t>Consistent navigation, chunking, progress, confirmation and recoverable error</w:t>
            </w:r>
          </w:p>
        </w:tc>
      </w:tr>
      <w:tr>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6"/>
              </w:rPr>
              <w:t>Assessment</w:t>
            </w:r>
          </w:p>
        </w:tc>
        <w:tc>
          <w:tcPr>
            <w:tcW w:type="dxa" w:w="7610"/>
            <w:shd w:fill="F6F7F9"/>
            <w:vAlign w:val="top"/>
            <w:tcMar>
              <w:top w:w="70" w:type="dxa"/>
              <w:start w:w="105" w:type="dxa"/>
              <w:bottom w:w="70" w:type="dxa"/>
              <w:end w:w="105" w:type="dxa"/>
            </w:tcMar>
          </w:tcPr>
          <w:p>
            <w:pPr>
              <w:spacing w:after="20" w:line="240" w:lineRule="auto"/>
            </w:pPr>
            <w:r>
              <w:rPr>
                <w:rFonts w:ascii="Arial" w:hAnsi="Arial"/>
                <w:color w:val="172033"/>
                <w:sz w:val="16"/>
              </w:rPr>
              <w:t>Accommodation applied without exposing sensitive reason or changing tested competence</w:t>
            </w:r>
          </w:p>
        </w:tc>
      </w:tr>
      <w:tr>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6"/>
              </w:rPr>
              <w:t>Charts</w:t>
            </w:r>
          </w:p>
        </w:tc>
        <w:tc>
          <w:tcPr>
            <w:tcW w:type="dxa" w:w="7610"/>
            <w:shd w:fill="FFFFFF"/>
            <w:vAlign w:val="top"/>
            <w:tcMar>
              <w:top w:w="70" w:type="dxa"/>
              <w:start w:w="105" w:type="dxa"/>
              <w:bottom w:w="70" w:type="dxa"/>
              <w:end w:w="105" w:type="dxa"/>
            </w:tcMar>
          </w:tcPr>
          <w:p>
            <w:pPr>
              <w:spacing w:after="20" w:line="240" w:lineRule="auto"/>
            </w:pPr>
            <w:r>
              <w:rPr>
                <w:rFonts w:ascii="Arial" w:hAnsi="Arial"/>
                <w:color w:val="172033"/>
                <w:sz w:val="16"/>
              </w:rPr>
              <w:t>Text summary and accessible data table/view</w:t>
            </w:r>
          </w:p>
        </w:tc>
      </w:tr>
      <w:tr>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6"/>
              </w:rPr>
              <w:t>Documents/uploads</w:t>
            </w:r>
          </w:p>
        </w:tc>
        <w:tc>
          <w:tcPr>
            <w:tcW w:type="dxa" w:w="7610"/>
            <w:shd w:fill="F6F7F9"/>
            <w:vAlign w:val="top"/>
            <w:tcMar>
              <w:top w:w="70" w:type="dxa"/>
              <w:start w:w="105" w:type="dxa"/>
              <w:bottom w:w="70" w:type="dxa"/>
              <w:end w:w="105" w:type="dxa"/>
            </w:tcMar>
          </w:tcPr>
          <w:p>
            <w:pPr>
              <w:spacing w:after="20" w:line="240" w:lineRule="auto"/>
            </w:pPr>
            <w:r>
              <w:rPr>
                <w:rFonts w:ascii="Arial" w:hAnsi="Arial"/>
                <w:color w:val="172033"/>
                <w:sz w:val="16"/>
              </w:rPr>
              <w:t>Accessible format guidance and validation</w:t>
            </w:r>
          </w:p>
        </w:tc>
      </w:tr>
    </w:tbl>
    <w:p>
      <w:r>
        <w:br w:type="page"/>
      </w:r>
    </w:p>
    <w:p>
      <w:pPr>
        <w:pStyle w:val="Heading1"/>
      </w:pPr>
      <w:r>
        <w:t>23. Data, privacy and security in the interface</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05" w:type="dxa"/>
              <w:bottom w:w="70" w:type="dxa"/>
              <w:end w:w="105" w:type="dxa"/>
            </w:tcMar>
          </w:tcPr>
          <w:p>
            <w:r>
              <w:rPr>
                <w:rFonts w:ascii="Arial" w:hAnsi="Arial"/>
                <w:b/>
                <w:color w:val="FFFFFF"/>
                <w:sz w:val="17"/>
              </w:rPr>
              <w:t>Risk</w:t>
            </w:r>
          </w:p>
        </w:tc>
        <w:tc>
          <w:tcPr>
            <w:tcW w:type="dxa" w:w="7510"/>
            <w:shd w:fill="10243E"/>
            <w:tcMar>
              <w:top w:w="70" w:type="dxa"/>
              <w:start w:w="105" w:type="dxa"/>
              <w:bottom w:w="70" w:type="dxa"/>
              <w:end w:w="105" w:type="dxa"/>
            </w:tcMar>
          </w:tcPr>
          <w:p>
            <w:r>
              <w:rPr>
                <w:rFonts w:ascii="Arial" w:hAnsi="Arial"/>
                <w:b/>
                <w:color w:val="FFFFFF"/>
                <w:sz w:val="17"/>
              </w:rPr>
              <w:t>Frontend control</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Overexposure</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Field-level rendering from server-authorised view model; no client-only hiding</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Cached sensitive data</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Avoid persistent browser storage; encrypt/expire approved offline content</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URLs/logs</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No answers, tokens, sensitive names or evidence in URLs/analytics</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Screenshots/shared devices</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Privacy mode and timeout where justified; do not claim prevention is absolute</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Exports</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Preview fields/rows, classification, purpose, watermark/expiry and recipient</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Uploads</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Type/size/malware state, consent, provenance and secure failure handling</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Impersonation</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Visible banner, narrow scope, reason, expiry and audit</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Analytics</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No keystrokes, raw answers, evidence or special-category data</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Errors</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No existence, tenant, answer or internal-system leakage</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Session</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MFA/step-up, inactivity handling and clear sign-out from all devices where allowed</w:t>
            </w:r>
          </w:p>
        </w:tc>
      </w:tr>
    </w:tbl>
    <w:p>
      <w:r>
        <w:br w:type="page"/>
      </w:r>
    </w:p>
    <w:p>
      <w:pPr>
        <w:pStyle w:val="Heading1"/>
      </w:pPr>
      <w:r>
        <w:t>24. Performance and reliability targets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Measure</w:t>
            </w:r>
          </w:p>
        </w:tc>
        <w:tc>
          <w:tcPr>
            <w:tcW w:type="dxa" w:w="7460"/>
            <w:shd w:fill="10243E"/>
            <w:tcMar>
              <w:top w:w="70" w:type="dxa"/>
              <w:start w:w="105" w:type="dxa"/>
              <w:bottom w:w="70" w:type="dxa"/>
              <w:end w:w="105" w:type="dxa"/>
            </w:tcMar>
          </w:tcPr>
          <w:p>
            <w:r>
              <w:rPr>
                <w:rFonts w:ascii="Arial" w:hAnsi="Arial"/>
                <w:b/>
                <w:color w:val="FFFFFF"/>
                <w:sz w:val="17"/>
              </w:rPr>
              <w:t>Target / rule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Core learner pages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Useful content within 2.5 s at p75 on representative Lagos mobile conditions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Interaction response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Visual response under 100 ms; server actions show progress promptly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Layout stability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Core Web Vitals CLS &lt;= 0.1 target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Image/media</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Responsive formats, lazy loading and explicit size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Bundle discipline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Role-based code splitting; do not load author/admin tools for learners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Autosave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Visible local/pending/server-confirmed states; idempotent writes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Availability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Read-only learning/status degrades safely when mutation services fail</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Monitoring</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Frontend errors, latency and failed journeys correlated without sensitive payload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Browser support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Published support matrix; test current major mobile/desktop engines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Release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Feature flags and rollback for high-risk changes; no mixed incompatible contract versions</w:t>
            </w:r>
          </w:p>
        </w:tc>
      </w:tr>
    </w:tbl>
    <w:p>
      <w:r>
        <w:br w:type="page"/>
      </w:r>
    </w:p>
    <w:p>
      <w:pPr>
        <w:pStyle w:val="Heading1"/>
      </w:pPr>
      <w:r>
        <w:t>25. Frontend architecture contract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Layer</w:t>
            </w:r>
          </w:p>
        </w:tc>
        <w:tc>
          <w:tcPr>
            <w:tcW w:type="dxa" w:w="7460"/>
            <w:shd w:fill="10243E"/>
            <w:tcMar>
              <w:top w:w="70" w:type="dxa"/>
              <w:start w:w="105" w:type="dxa"/>
              <w:bottom w:w="70" w:type="dxa"/>
              <w:end w:w="105" w:type="dxa"/>
            </w:tcMar>
          </w:tcPr>
          <w:p>
            <w:r>
              <w:rPr>
                <w:rFonts w:ascii="Arial" w:hAnsi="Arial"/>
                <w:b/>
                <w:color w:val="FFFFFF"/>
                <w:sz w:val="17"/>
              </w:rPr>
              <w:t>Responsibility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Design tokens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Single source for colour, type, spacing, focus, radius and status semantics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Component library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Accessible primitives and tested Maison patterns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App shell</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Authentication, role/org/event context, navigation, notification and error boundary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Route guards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Early safe routing; never substitute for server authorisation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View models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Server-shaped minimum data per role and purpose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State/query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Cache keys include organisation/event/role/version; invalidation on material change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Forms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Schema validation, server validation, draft/autosave and error summary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Workflow client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Explicit state machine; cannot skip approval/attempt/certificate states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Offline layer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Allow-list content, version/expiry, encryption and reconciliation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Telemetry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Journey/performance/error events with privacy classification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Testing</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Unit, component, accessibility, contract, responsive and end-to-end suites</w:t>
            </w:r>
          </w:p>
        </w:tc>
      </w:tr>
    </w:tbl>
    <w:p>
      <w:pPr>
        <w:pStyle w:val="Heading2"/>
      </w:pPr>
      <w:r>
        <w:t>25.1 Route families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Route family</w:t>
            </w:r>
          </w:p>
        </w:tc>
        <w:tc>
          <w:tcPr>
            <w:tcW w:type="dxa" w:w="7460"/>
            <w:shd w:fill="10243E"/>
            <w:tcMar>
              <w:top w:w="70" w:type="dxa"/>
              <w:start w:w="105" w:type="dxa"/>
              <w:bottom w:w="70" w:type="dxa"/>
              <w:end w:w="105" w:type="dxa"/>
            </w:tcMar>
          </w:tcPr>
          <w:p>
            <w:r>
              <w:rPr>
                <w:rFonts w:ascii="Arial" w:hAnsi="Arial"/>
                <w:b/>
                <w:color w:val="FFFFFF"/>
                <w:sz w:val="17"/>
              </w:rPr>
              <w:t>Examples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Learner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/home, /learn, /courses/:id, /player/:lesson, /attempts/:id, /certificates, /events/:id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Manager</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/manager, /manager/team, /manager/assign, /manager/events/:id, /manager/renewals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Assessor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/assessor, /assessor/cases/:id, /assessor/panels/:id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Admin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/admin/people, /admin/enrolments, /admin/assessment-ops, /admin/certification, /admin/integrations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Governance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/governance, /governance/decisions/:id, /governance/risk, /governance/audit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Content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/content/curriculum, /content/assessments, /reviews/:id</w:t>
            </w:r>
          </w:p>
        </w:tc>
      </w:tr>
    </w:tbl>
    <w:p>
      <w:r>
        <w:br w:type="page"/>
      </w:r>
    </w:p>
    <w:p>
      <w:pPr>
        <w:pStyle w:val="Heading1"/>
      </w:pPr>
      <w:r>
        <w:t>26. Analytics and intelligence presentation</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0243E"/>
            <w:tcMar>
              <w:top w:w="70" w:type="dxa"/>
              <w:start w:w="105" w:type="dxa"/>
              <w:bottom w:w="70" w:type="dxa"/>
              <w:end w:w="105" w:type="dxa"/>
            </w:tcMar>
          </w:tcPr>
          <w:p>
            <w:r>
              <w:rPr>
                <w:rFonts w:ascii="Arial" w:hAnsi="Arial"/>
                <w:b/>
                <w:color w:val="FFFFFF"/>
                <w:sz w:val="17"/>
              </w:rPr>
              <w:t>Audience</w:t>
            </w:r>
          </w:p>
        </w:tc>
        <w:tc>
          <w:tcPr>
            <w:tcW w:type="dxa" w:w="7560"/>
            <w:shd w:fill="10243E"/>
            <w:tcMar>
              <w:top w:w="70" w:type="dxa"/>
              <w:start w:w="105" w:type="dxa"/>
              <w:bottom w:w="70" w:type="dxa"/>
              <w:end w:w="105" w:type="dxa"/>
            </w:tcMar>
          </w:tcPr>
          <w:p>
            <w:r>
              <w:rPr>
                <w:rFonts w:ascii="Arial" w:hAnsi="Arial"/>
                <w:b/>
                <w:color w:val="FFFFFF"/>
                <w:sz w:val="17"/>
              </w:rPr>
              <w:t>Intelligence shown</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Learner</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Due work, likely completion time, readiness blocker and renewal risk; no comparative ranking</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Manager</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Role capacity, overdue/expiring team members, event readiness debt and recommended staffing/training action</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Assessor lead</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Queue age, critical cases, conflict/reassignment and moderation variance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Administrator</w:t>
            </w:r>
          </w:p>
        </w:tc>
        <w:tc>
          <w:tcPr>
            <w:tcW w:type="dxa" w:w="7560"/>
            <w:shd w:fill="F6F7F9"/>
            <w:vAlign w:val="top"/>
            <w:tcMar>
              <w:top w:w="70" w:type="dxa"/>
              <w:start w:w="105" w:type="dxa"/>
              <w:bottom w:w="70" w:type="dxa"/>
              <w:end w:w="105" w:type="dxa"/>
            </w:tcMar>
          </w:tcPr>
          <w:p>
            <w:pPr>
              <w:spacing w:after="20" w:line="240" w:lineRule="auto"/>
            </w:pPr>
            <w:r>
              <w:rPr>
                <w:rFonts w:ascii="Arial" w:hAnsi="Arial"/>
                <w:color w:val="172033"/>
                <w:sz w:val="16"/>
              </w:rPr>
              <w:t>Operational failures, reconciliation debt, notification failure and manual-review latency</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CEO</w:t>
            </w:r>
          </w:p>
        </w:tc>
        <w:tc>
          <w:tcPr>
            <w:tcW w:type="dxa" w:w="7560"/>
            <w:shd w:fill="FFFFFF"/>
            <w:vAlign w:val="top"/>
            <w:tcMar>
              <w:top w:w="70" w:type="dxa"/>
              <w:start w:w="105" w:type="dxa"/>
              <w:bottom w:w="70" w:type="dxa"/>
              <w:end w:w="105" w:type="dxa"/>
            </w:tcMar>
          </w:tcPr>
          <w:p>
            <w:pPr>
              <w:spacing w:after="20" w:line="240" w:lineRule="auto"/>
            </w:pPr>
            <w:r>
              <w:rPr>
                <w:rFonts w:ascii="Arial" w:hAnsi="Arial"/>
                <w:color w:val="172033"/>
                <w:sz w:val="16"/>
              </w:rPr>
              <w:t>Coverage, capacity, critical gaps, change impact, repeat failure, dispensations and governance debt</w:t>
            </w:r>
          </w:p>
        </w:tc>
      </w:tr>
    </w:tbl>
    <w:p>
      <w:pPr>
        <w:pStyle w:val="ListBullet"/>
        <w:spacing w:after="60"/>
        <w:ind w:left="547" w:hanging="274"/>
      </w:pPr>
      <w:r>
        <w:t>Every recommendation states evidence, freshness and whether it is deterministic or AI-assisted.</w:t>
      </w:r>
    </w:p>
    <w:p>
      <w:pPr>
        <w:pStyle w:val="ListBullet"/>
        <w:spacing w:after="60"/>
        <w:ind w:left="547" w:hanging="274"/>
      </w:pPr>
      <w:r>
        <w:t>AI suggestions never publish, assess, certify, revoke, approve or authorise automatically.</w:t>
      </w:r>
    </w:p>
    <w:p>
      <w:pPr>
        <w:pStyle w:val="ListBullet"/>
        <w:spacing w:after="60"/>
        <w:ind w:left="547" w:hanging="274"/>
      </w:pPr>
      <w:r>
        <w:t>Charts lead to an authorised action or explanation; decorative dashboards are excluded.</w:t>
      </w:r>
    </w:p>
    <w:p>
      <w:pPr>
        <w:pStyle w:val="ListBullet"/>
        <w:spacing w:after="60"/>
        <w:ind w:left="547" w:hanging="274"/>
      </w:pPr>
      <w:r>
        <w:t>Small cohorts use suppression/aggregation so individuals are not inferred improperly.</w:t>
      </w:r>
    </w:p>
    <w:p>
      <w:r>
        <w:br w:type="page"/>
      </w:r>
    </w:p>
    <w:p>
      <w:pPr>
        <w:pStyle w:val="Heading1"/>
      </w:pPr>
      <w:r>
        <w:t>27. Acceptance tests - learner and shared experience</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105" w:type="dxa"/>
              <w:bottom w:w="70" w:type="dxa"/>
              <w:end w:w="105" w:type="dxa"/>
            </w:tcMar>
          </w:tcPr>
          <w:p>
            <w:r>
              <w:rPr>
                <w:rFonts w:ascii="Arial" w:hAnsi="Arial"/>
                <w:b/>
                <w:color w:val="FFFFFF"/>
                <w:sz w:val="17"/>
              </w:rPr>
              <w:t>ID</w:t>
            </w:r>
          </w:p>
        </w:tc>
        <w:tc>
          <w:tcPr>
            <w:tcW w:type="dxa" w:w="8260"/>
            <w:shd w:fill="10243E"/>
            <w:tcMar>
              <w:top w:w="70" w:type="dxa"/>
              <w:start w:w="105" w:type="dxa"/>
              <w:bottom w:w="70" w:type="dxa"/>
              <w:end w:w="105" w:type="dxa"/>
            </w:tcMar>
          </w:tcPr>
          <w:p>
            <w:r>
              <w:rPr>
                <w:rFonts w:ascii="Arial" w:hAnsi="Arial"/>
                <w:b/>
                <w:color w:val="FFFFFF"/>
                <w:sz w:val="17"/>
              </w:rPr>
              <w:t>Acceptance condition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FE-01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At 360 px the learner can complete onboarding, a lesson and submission without horizontal scrolling</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FE-02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Learner Home prioritises critical/event/certification actions in the specified order</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FE-03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Now, Next, Event Required and Refreshers show consequence and next action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FE-04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Mandatory, optional and restricted learning are unmistakably different</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FE-05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 locked prerequisite explains the dependency and permitted route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FE-06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Learning progress resumes from the last server-confirmed unit</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FE-07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Every player view shows progress, version/source and save/sync state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FE-08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Media has captions/transcript or an equivalent accessible route</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FE-09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Offline content shows version, expiry and unsubmitted state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FE-10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Queued offline work never creates false completion or readiness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FE-11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Assessment briefing states 80/90 thresholds and critical-fail law</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FE-12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Secure attempts autosave safely without revealing correctness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FE-13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Final submission shows unanswered items and becomes immutable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FE-14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Technical failure produces support/replacement handling, not an automatic fail</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FE-15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Result screens correctly distinguish Distinction, Pass, Retake, Critical Fail and Pending</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FE-16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Unlimited retakes create fresh attempts while preserving history</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FE-17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Certificate achievement is visually separate from event deployment eligibility</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FE-18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Exact expiry/timezone and renewal requirements are displayed</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FE-19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Material event change marks affected readiness Stale and leads to delta action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FE-20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Event learner view cannot edit OS assignment or expose unnecessary event/guest data</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FE-21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Every page has loading, empty, error, stale, denied and success treatment where applicable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FE-22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Unauthorised objects do not leak through URLs, search, counts or errors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FE-23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All status meaning survives monochrome and includes text/icon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FE-24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Keyboard, screen reader, focus, 200% zoom and reduced-motion tests pass WCAG 2.2 AA</w:t>
            </w:r>
          </w:p>
        </w:tc>
      </w:tr>
    </w:tbl>
    <w:p>
      <w:r>
        <w:br w:type="page"/>
      </w:r>
    </w:p>
    <w:p>
      <w:pPr>
        <w:pStyle w:val="Heading1"/>
      </w:pPr>
      <w:r>
        <w:t>28. Acceptance tests - operational workspaces</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105" w:type="dxa"/>
              <w:bottom w:w="70" w:type="dxa"/>
              <w:end w:w="105" w:type="dxa"/>
            </w:tcMar>
          </w:tcPr>
          <w:p>
            <w:r>
              <w:rPr>
                <w:rFonts w:ascii="Arial" w:hAnsi="Arial"/>
                <w:b/>
                <w:color w:val="FFFFFF"/>
                <w:sz w:val="17"/>
              </w:rPr>
              <w:t>ID</w:t>
            </w:r>
          </w:p>
        </w:tc>
        <w:tc>
          <w:tcPr>
            <w:tcW w:type="dxa" w:w="8260"/>
            <w:shd w:fill="10243E"/>
            <w:tcMar>
              <w:top w:w="70" w:type="dxa"/>
              <w:start w:w="105" w:type="dxa"/>
              <w:bottom w:w="70" w:type="dxa"/>
              <w:end w:w="105" w:type="dxa"/>
            </w:tcMar>
          </w:tcPr>
          <w:p>
            <w:r>
              <w:rPr>
                <w:rFonts w:ascii="Arial" w:hAnsi="Arial"/>
                <w:b/>
                <w:color w:val="FFFFFF"/>
                <w:sz w:val="17"/>
              </w:rPr>
              <w:t>Acceptance condition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FE-25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Manager sees safe team readiness but no keys, raw responses or protected notes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FE-26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Bulk assignment validates and previews targets, duplicates, blocks and impact before commit</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FE-27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Role movement view separates retained competence, destination gaps and permission activation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FE-28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Assessor sees only assigned cases after conflict and currency checks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FE-29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Assessor cannot change rubric/criticality or submit an incomplete mandatory judgement</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FE-30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CEO/Event Director capstone enforces qualified independent panel and blocks self-decision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FE-31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Administrator cannot create a pass, waive critical failure or grant OS authority</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FE-32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Administrative bulk actions are idempotent and return row-level receipts/exceptions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FE-33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Content author cannot approve own version and admin cannot bypass missing approval</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FE-34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CEO decision page shows version, reviews, dissent, evidence and dependency impact</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FE-35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CEO cannot edit frozen evidence or use the interface to self-approve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FE-36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Active role, organisation and event scope remain visible after workspace switching</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FE-37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Direct API denial and frontend denial agree for every protected action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FE-38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Restricted exports require purpose, exact preview, approval and audit</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FE-39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Break-glass mode is visible, scoped, expiring and cannot bypass critical controls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FE-40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OS integration failure displays freshness and fails closed without inventing readiness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FE-41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No keys, raw answers, evidence or sensitive data enter telemetry or URLs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FE-42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Role-based bundles do not ship protected author/admin code or data to ordinary learners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FE-43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Representative Lagos mobile network test meets the useful-content target</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FE-44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Automated and manual responsive checks pass at all specified breakpoints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FE-45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Critical end-to-end journeys pass for learner, manager, assessor, admin and CEO</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FE-46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Every high-impact action creates a human-readable immutable receipt</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FE-47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AI-supported recommendations show source/freshness and require human decision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FE-48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Reference event validates package change, offline learner, readiness debt and executive oversight</w:t>
            </w:r>
          </w:p>
        </w:tc>
      </w:tr>
    </w:tbl>
    <w:p>
      <w:r>
        <w:br w:type="page"/>
      </w:r>
    </w:p>
    <w:p>
      <w:pPr>
        <w:pStyle w:val="Heading1"/>
      </w:pPr>
      <w:r>
        <w:t>29. Definition of frontend complete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Release gate</w:t>
            </w:r>
          </w:p>
        </w:tc>
        <w:tc>
          <w:tcPr>
            <w:tcW w:type="dxa" w:w="7460"/>
            <w:shd w:fill="10243E"/>
            <w:tcMar>
              <w:top w:w="70" w:type="dxa"/>
              <w:start w:w="105" w:type="dxa"/>
              <w:bottom w:w="70" w:type="dxa"/>
              <w:end w:w="105" w:type="dxa"/>
            </w:tcMar>
          </w:tcPr>
          <w:p>
            <w:r>
              <w:rPr>
                <w:rFonts w:ascii="Arial" w:hAnsi="Arial"/>
                <w:b/>
                <w:color w:val="FFFFFF"/>
                <w:sz w:val="17"/>
              </w:rPr>
              <w:t>Evidence required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Design system</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Tokens and accessible components documented, tested and used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Learner mobile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All core journeys complete from 360 px; low-bandwidth/offline cases proven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Manager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Team, assignment, role-gap, event and renewal decisions proven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Assessor</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Objective/manual/practical/panel journeys and conflict controls proven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Administrator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Function-limited operations, bulk preview, receipts and reconciliation proven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CEO</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Governance intelligence, impact analysis and decision controls proven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Permissions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Permissions Matrix mapped to routes, components, view models and APIs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Accessibility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Automated checks plus keyboard/screen-reader/zoom/manual review passed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Performance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Budgets and representative-device/network tests passed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Security/privacy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Threat review, telemetry review and restricted-data tests passed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Integration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Academy-OS freshness, minimum payload and failure states passed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Operations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Monitoring, support, incident and rollback procedures approved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DONE MEANS USABLE</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A backend endpoint, a styled screen or a happy-path demo is not frontend completion. The release is complete only when the authorised person can understand, perform, recover from and verify the real task under representative conditions.</w:t>
            </w:r>
          </w:p>
        </w:tc>
      </w:tr>
    </w:tbl>
    <w:p>
      <w:pPr>
        <w:pStyle w:val="Heading2"/>
      </w:pPr>
      <w:r>
        <w:t>29.1 Ratification record</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05" w:type="dxa"/>
              <w:bottom w:w="70" w:type="dxa"/>
              <w:end w:w="105" w:type="dxa"/>
            </w:tcMar>
          </w:tcPr>
          <w:p>
            <w:r>
              <w:rPr>
                <w:rFonts w:ascii="Arial" w:hAnsi="Arial"/>
                <w:b/>
                <w:color w:val="FFFFFF"/>
                <w:sz w:val="17"/>
              </w:rPr>
              <w:t>Field</w:t>
            </w:r>
          </w:p>
        </w:tc>
        <w:tc>
          <w:tcPr>
            <w:tcW w:type="dxa" w:w="7160"/>
            <w:shd w:fill="10243E"/>
            <w:tcMar>
              <w:top w:w="70" w:type="dxa"/>
              <w:start w:w="105" w:type="dxa"/>
              <w:bottom w:w="70" w:type="dxa"/>
              <w:end w:w="105" w:type="dxa"/>
            </w:tcMar>
          </w:tcPr>
          <w:p>
            <w:r>
              <w:rPr>
                <w:rFonts w:ascii="Arial" w:hAnsi="Arial"/>
                <w:b/>
                <w:color w:val="FFFFFF"/>
                <w:sz w:val="17"/>
              </w:rPr>
              <w:t>Value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Document / version</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Maison Doclar Academy Complete Frontend Experience Specification / v1.0</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8"/>
              </w:rPr>
              <w:t>Decision</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8"/>
              </w:rPr>
              <w:t>Approve / Approve with amendments / Return for revision</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CEO signature / date</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8"/>
              </w:rPr>
              <w:t>Effective from</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Next scheduled review</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bl>
    <w:p>
      <w:pPr>
        <w:spacing w:after="0"/>
        <w:jc w:val="center"/>
      </w:pPr>
      <w:r>
        <w:rPr>
          <w:rFonts w:ascii="Arial" w:hAnsi="Arial"/>
          <w:b/>
          <w:color w:val="667085"/>
          <w:sz w:val="17"/>
        </w:rPr>
        <w:t>End of controlled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Controlled document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67085"/>
        <w:sz w:val="17"/>
      </w:rPr>
      <w:t>MAISON DOCLAR  /  ACADEMY FRONTEND EXPERIENCE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43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B79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Complete Frontend Experience Specification</dc:title>
  <dc:subject>Mobile learner and operational role interfaces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