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r>
        <w:rPr>
          <w:rFonts w:ascii="Arial" w:hAnsi="Arial"/>
          <w:b/>
          <w:color w:val="B79F85"/>
          <w:sz w:val="22"/>
        </w:rPr>
        <w:t>MAISON DOCLAR</w:t>
      </w:r>
    </w:p>
    <w:p>
      <w:pPr>
        <w:spacing w:after="80"/>
      </w:pPr>
      <w:r>
        <w:rPr>
          <w:rFonts w:ascii="Arial" w:hAnsi="Arial"/>
          <w:b/>
          <w:color w:val="10243E"/>
          <w:sz w:val="32"/>
        </w:rPr>
        <w:t>Academy</w:t>
      </w:r>
    </w:p>
    <w:p>
      <w:pPr>
        <w:spacing w:after="200"/>
      </w:pPr>
      <w:r>
        <w:rPr>
          <w:rFonts w:ascii="Arial" w:hAnsi="Arial"/>
          <w:b/>
          <w:color w:val="10243E"/>
          <w:sz w:val="54"/>
        </w:rPr>
        <w:t>Security, Privacy and Data-Retention Specification</w:t>
      </w:r>
    </w:p>
    <w:p>
      <w:pPr>
        <w:spacing w:after="500"/>
      </w:pPr>
      <w:r>
        <w:rPr>
          <w:rFonts w:ascii="Arial" w:hAnsi="Arial"/>
          <w:b w:val="0"/>
          <w:color w:val="667085"/>
          <w:sz w:val="25"/>
        </w:rPr>
        <w:t>Personal data, assessment integrity, sensitive event information, access, audit and retention</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05" w:type="dxa"/>
              <w:bottom w:w="70" w:type="dxa"/>
              <w:end w:w="105" w:type="dxa"/>
            </w:tcMar>
          </w:tcPr>
          <w:p>
            <w:r>
              <w:rPr>
                <w:rFonts w:ascii="Arial" w:hAnsi="Arial"/>
                <w:b/>
                <w:color w:val="FFFFFF"/>
                <w:sz w:val="17"/>
              </w:rPr>
              <w:t>Document</w:t>
            </w:r>
          </w:p>
        </w:tc>
        <w:tc>
          <w:tcPr>
            <w:tcW w:type="dxa" w:w="7160"/>
            <w:shd w:fill="10243E"/>
            <w:tcMar>
              <w:top w:w="70" w:type="dxa"/>
              <w:start w:w="105" w:type="dxa"/>
              <w:bottom w:w="70" w:type="dxa"/>
              <w:end w:w="105" w:type="dxa"/>
            </w:tcMar>
          </w:tcPr>
          <w:p>
            <w:r>
              <w:rPr>
                <w:rFonts w:ascii="Arial" w:hAnsi="Arial"/>
                <w:b/>
                <w:color w:val="FFFFFF"/>
                <w:sz w:val="17"/>
              </w:rPr>
              <w:t>Control value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Owner</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CEO / Privacy and Security Governance</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Version</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1.0</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Status</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Draft for ratification and jurisdictional validation</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Applies to</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Academy data, interfaces, integrations, devices, exports, backups, vendors, administrators and users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Controlling sources</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Academy Blueprint, Integration, Assessment, Certification, Data, Permissions, Frontend, Intelligence and Content Governance Specifications v1.0</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Legal posture</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This framework sets minimum controls; the ratified jurisdictional schedule and applicable law prevail where stricter</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Effect</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Authoritative security, privacy and retention contract when ratified</w:t>
            </w:r>
          </w:p>
        </w:tc>
      </w:tr>
    </w:tbl>
    <w:p>
      <w:pPr>
        <w:spacing w:after="200"/>
      </w:pPr>
      <w:r>
        <w:rPr>
          <w:rFonts w:ascii="Arial" w:hAnsi="Arial"/>
          <w:b w:val="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PROTECTION LAW</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Collect the minimum data needed for a declared Academy purpose; restrict it by organisation, role, relationship, event, time and purpose; preserve evidence that must remain trustworthy; and delete or irreversibly anonymise data when its approved retention ends.</w:t>
            </w:r>
          </w:p>
        </w:tc>
      </w:tr>
    </w:tbl>
    <w:p>
      <w:r>
        <w:br w:type="page"/>
      </w:r>
    </w:p>
    <w:p>
      <w:pPr>
        <w:pStyle w:val="Heading1"/>
      </w:pPr>
      <w:r>
        <w:t>1. Purpose, scope and trust outcomes</w:t>
      </w:r>
    </w:p>
    <w:p>
      <w:pPr>
        <w:spacing w:after="100"/>
      </w:pPr>
      <w:r>
        <w:rPr>
          <w:rFonts w:ascii="Arial" w:hAnsi="Arial"/>
          <w:b w:val="0"/>
        </w:rPr>
        <w:t>The Academy must protect staff and event information while preserving reliable evidence of competence. Security is not only confidentiality: assessment answers must remain secret, submitted evidence must remain intact, availability must support event readiness, and every material action must be attributable.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Outcome</w:t>
            </w:r>
          </w:p>
        </w:tc>
        <w:tc>
          <w:tcPr>
            <w:tcW w:type="dxa" w:w="7460"/>
            <w:shd w:fill="10243E"/>
            <w:tcMar>
              <w:top w:w="70" w:type="dxa"/>
              <w:start w:w="105" w:type="dxa"/>
              <w:bottom w:w="70" w:type="dxa"/>
              <w:end w:w="105" w:type="dxa"/>
            </w:tcMar>
          </w:tcPr>
          <w:p>
            <w:r>
              <w:rPr>
                <w:rFonts w:ascii="Arial" w:hAnsi="Arial"/>
                <w:b/>
                <w:color w:val="FFFFFF"/>
                <w:sz w:val="17"/>
              </w:rPr>
              <w:t>Required result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Confidentiality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Only authorised people and services see the minimum necessary data</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Integrity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Published content, attempts, results, certificates and audit evidence cannot be silently altered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Availability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Learners and operators can access safe functions when needed; outages fail safely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Privacy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Processing has a declared basis, purpose, notice, minimisation and retention rule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Assessment fairness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Keys, forms, responses and manual evidence are protected from leakage and interference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Event discretion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Sensitive event facts remain assignment-, role-, event- and time-scoped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Accountability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Access, exports, decisions, overrides and deletion are reconstructable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Recoverability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Backups and incident procedures restore service without reviving deleted data indefinitely</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AUTHORITY BOUNDARY</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Academy security controls protect competence and readiness information. They do not create Event OS assignment, credential, guest access or operational authority.</w:t>
            </w:r>
          </w:p>
        </w:tc>
      </w:tr>
    </w:tbl>
    <w:p>
      <w:r>
        <w:br w:type="page"/>
      </w:r>
    </w:p>
    <w:p>
      <w:pPr>
        <w:pStyle w:val="Heading1"/>
      </w:pPr>
      <w:r>
        <w:t>2. Governance, accountability and legal overlays</w:t>
      </w:r>
    </w:p>
    <w:tbl>
      <w:tblPr>
        <w:tblStyle w:val="TableGrid"/>
        <w:tblW w:type="dxa" w:w="9360"/>
        <w:jc w:val="left"/>
        <w:tblLayout w:type="fixed"/>
        <w:tblLook w:firstColumn="1" w:firstRow="1" w:lastColumn="0" w:lastRow="0" w:noHBand="0" w:noVBand="1" w:val="04A0"/>
        <w:tblInd w:w="120" w:type="dxa"/>
      </w:tblPr>
      <w:tblGrid>
        <w:gridCol w:w="2000"/>
        <w:gridCol w:w="7360"/>
      </w:tblGrid>
      <w:tr>
        <w:tc>
          <w:tcPr>
            <w:tcW w:type="dxa" w:w="2000"/>
            <w:shd w:fill="10243E"/>
            <w:tcMar>
              <w:top w:w="70" w:type="dxa"/>
              <w:start w:w="105" w:type="dxa"/>
              <w:bottom w:w="70" w:type="dxa"/>
              <w:end w:w="105" w:type="dxa"/>
            </w:tcMar>
          </w:tcPr>
          <w:p>
            <w:r>
              <w:rPr>
                <w:rFonts w:ascii="Arial" w:hAnsi="Arial"/>
                <w:b/>
                <w:color w:val="FFFFFF"/>
                <w:sz w:val="17"/>
              </w:rPr>
              <w:t>Role</w:t>
            </w:r>
          </w:p>
        </w:tc>
        <w:tc>
          <w:tcPr>
            <w:tcW w:type="dxa" w:w="7360"/>
            <w:shd w:fill="10243E"/>
            <w:tcMar>
              <w:top w:w="70" w:type="dxa"/>
              <w:start w:w="105" w:type="dxa"/>
              <w:bottom w:w="70" w:type="dxa"/>
              <w:end w:w="105" w:type="dxa"/>
            </w:tcMar>
          </w:tcPr>
          <w:p>
            <w:r>
              <w:rPr>
                <w:rFonts w:ascii="Arial" w:hAnsi="Arial"/>
                <w:b/>
                <w:color w:val="FFFFFF"/>
                <w:sz w:val="17"/>
              </w:rPr>
              <w:t>Accountability</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CEO / Academy Governor</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Ratifies risk appetite, critical controls, retention schedule and material exceptions</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Data owner</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Defines purpose, classification, access, quality, retention and sharing for a domain</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Privacy lead</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Assesses lawful basis, notices, rights, sensitive data and jurisdictional obligations</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Security lead</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Owns technical safeguards, threats, vulnerabilities, incidents and recovery</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Assessment authority</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Owns examination secrecy, evidence integrity and leakage/irregularity decisions</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Event OS owner</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Owns event/guest/assignment truth and authorises minimum event data shared</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Administrator</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Executes function-limited, approved operations; cannot create academic outcomes</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Vendor owner</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Performs due diligence, contract, access and exit assurance</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Auditor</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Independently reconstructs compliance; read-only and itself audited</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All users</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Use data only for authorised purpose and report suspected loss/misuse</w:t>
            </w:r>
          </w:p>
        </w:tc>
      </w:tr>
    </w:tbl>
    <w:p>
      <w:pPr>
        <w:pStyle w:val="Heading2"/>
      </w:pPr>
      <w:r>
        <w:t>2.1 Jurisdictional register</w:t>
      </w:r>
    </w:p>
    <w:p>
      <w:pPr>
        <w:pStyle w:val="ListBullet"/>
        <w:spacing w:after="60"/>
        <w:ind w:left="547" w:hanging="274"/>
      </w:pPr>
      <w:r>
        <w:t>Each organisation/event records applicable jurisdictions, controlling policies, approved processing grounds, retention overrides and responsible owner.</w:t>
      </w:r>
    </w:p>
    <w:p>
      <w:pPr>
        <w:pStyle w:val="ListBullet"/>
        <w:spacing w:after="60"/>
        <w:ind w:left="547" w:hanging="274"/>
      </w:pPr>
      <w:r>
        <w:t>Nigeria/Lagos is the default operating context, but remote and international events require an event-local overlay.</w:t>
      </w:r>
    </w:p>
    <w:p>
      <w:pPr>
        <w:pStyle w:val="ListBullet"/>
        <w:spacing w:after="60"/>
        <w:ind w:left="547" w:hanging="274"/>
      </w:pPr>
      <w:r>
        <w:t>No legal citation, regulator contact, transfer mechanism or statutory period is hardcoded as timeless truth.</w:t>
      </w:r>
    </w:p>
    <w:p>
      <w:pPr>
        <w:pStyle w:val="ListBullet"/>
        <w:spacing w:after="60"/>
        <w:ind w:left="547" w:hanging="274"/>
      </w:pPr>
      <w:r>
        <w:t>This technical specification does not replace jurisdiction-specific legal review.</w:t>
      </w:r>
    </w:p>
    <w:p>
      <w:r>
        <w:br w:type="page"/>
      </w:r>
    </w:p>
    <w:p>
      <w:pPr>
        <w:pStyle w:val="Heading1"/>
      </w:pPr>
      <w:r>
        <w:t>3. Data classification</w:t>
      </w:r>
    </w:p>
    <w:tbl>
      <w:tblPr>
        <w:tblStyle w:val="TableGrid"/>
        <w:tblW w:type="dxa" w:w="9360"/>
        <w:jc w:val="left"/>
        <w:tblLayout w:type="fixed"/>
        <w:tblLook w:firstColumn="1" w:firstRow="1" w:lastColumn="0" w:lastRow="0" w:noHBand="0" w:noVBand="1" w:val="04A0"/>
        <w:tblInd w:w="120" w:type="dxa"/>
      </w:tblPr>
      <w:tblGrid>
        <w:gridCol w:w="1950"/>
        <w:gridCol w:w="3800"/>
        <w:gridCol w:w="3610"/>
      </w:tblGrid>
      <w:tr>
        <w:tc>
          <w:tcPr>
            <w:tcW w:type="dxa" w:w="1950"/>
            <w:shd w:fill="10243E"/>
            <w:tcMar>
              <w:top w:w="70" w:type="dxa"/>
              <w:start w:w="105" w:type="dxa"/>
              <w:bottom w:w="70" w:type="dxa"/>
              <w:end w:w="105" w:type="dxa"/>
            </w:tcMar>
          </w:tcPr>
          <w:p>
            <w:r>
              <w:rPr>
                <w:rFonts w:ascii="Arial" w:hAnsi="Arial"/>
                <w:b/>
                <w:color w:val="FFFFFF"/>
                <w:sz w:val="17"/>
              </w:rPr>
              <w:t>Class</w:t>
            </w:r>
          </w:p>
        </w:tc>
        <w:tc>
          <w:tcPr>
            <w:tcW w:type="dxa" w:w="3800"/>
            <w:shd w:fill="10243E"/>
            <w:tcMar>
              <w:top w:w="70" w:type="dxa"/>
              <w:start w:w="105" w:type="dxa"/>
              <w:bottom w:w="70" w:type="dxa"/>
              <w:end w:w="105" w:type="dxa"/>
            </w:tcMar>
          </w:tcPr>
          <w:p>
            <w:r>
              <w:rPr>
                <w:rFonts w:ascii="Arial" w:hAnsi="Arial"/>
                <w:b/>
                <w:color w:val="FFFFFF"/>
                <w:sz w:val="17"/>
              </w:rPr>
              <w:t>Examples</w:t>
            </w:r>
          </w:p>
        </w:tc>
        <w:tc>
          <w:tcPr>
            <w:tcW w:type="dxa" w:w="3610"/>
            <w:shd w:fill="10243E"/>
            <w:tcMar>
              <w:top w:w="70" w:type="dxa"/>
              <w:start w:w="105" w:type="dxa"/>
              <w:bottom w:w="70" w:type="dxa"/>
              <w:end w:w="105" w:type="dxa"/>
            </w:tcMar>
          </w:tcPr>
          <w:p>
            <w:r>
              <w:rPr>
                <w:rFonts w:ascii="Arial" w:hAnsi="Arial"/>
                <w:b/>
                <w:color w:val="FFFFFF"/>
                <w:sz w:val="17"/>
              </w:rPr>
              <w:t>Default handling</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Public / Published</w:t>
            </w:r>
          </w:p>
        </w:tc>
        <w:tc>
          <w:tcPr>
            <w:tcW w:type="dxa" w:w="3800"/>
            <w:shd w:fill="FFFFFF"/>
            <w:vAlign w:val="top"/>
            <w:tcMar>
              <w:top w:w="70" w:type="dxa"/>
              <w:start w:w="105" w:type="dxa"/>
              <w:bottom w:w="70" w:type="dxa"/>
              <w:end w:w="105" w:type="dxa"/>
            </w:tcMar>
          </w:tcPr>
          <w:p>
            <w:pPr>
              <w:spacing w:after="20" w:line="240" w:lineRule="auto"/>
            </w:pPr>
            <w:r>
              <w:rPr>
                <w:rFonts w:ascii="Arial" w:hAnsi="Arial"/>
                <w:color w:val="172033"/>
                <w:sz w:val="16"/>
              </w:rPr>
              <w:t>Approved public catalogue or policy</w:t>
            </w:r>
          </w:p>
        </w:tc>
        <w:tc>
          <w:tcPr>
            <w:tcW w:type="dxa" w:w="3610"/>
            <w:shd w:fill="FFFFFF"/>
            <w:vAlign w:val="top"/>
            <w:tcMar>
              <w:top w:w="70" w:type="dxa"/>
              <w:start w:w="105" w:type="dxa"/>
              <w:bottom w:w="70" w:type="dxa"/>
              <w:end w:w="105" w:type="dxa"/>
            </w:tcMar>
          </w:tcPr>
          <w:p>
            <w:pPr>
              <w:spacing w:after="20" w:line="240" w:lineRule="auto"/>
            </w:pPr>
            <w:r>
              <w:rPr>
                <w:rFonts w:ascii="Arial" w:hAnsi="Arial"/>
                <w:color w:val="172033"/>
                <w:sz w:val="16"/>
              </w:rPr>
              <w:t>Explicit publication only; integrity/version protected</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Internal</w:t>
            </w:r>
          </w:p>
        </w:tc>
        <w:tc>
          <w:tcPr>
            <w:tcW w:type="dxa" w:w="3800"/>
            <w:shd w:fill="F6F7F9"/>
            <w:vAlign w:val="top"/>
            <w:tcMar>
              <w:top w:w="70" w:type="dxa"/>
              <w:start w:w="105" w:type="dxa"/>
              <w:bottom w:w="70" w:type="dxa"/>
              <w:end w:w="105" w:type="dxa"/>
            </w:tcMar>
          </w:tcPr>
          <w:p>
            <w:pPr>
              <w:spacing w:after="20" w:line="240" w:lineRule="auto"/>
            </w:pPr>
            <w:r>
              <w:rPr>
                <w:rFonts w:ascii="Arial" w:hAnsi="Arial"/>
                <w:color w:val="172033"/>
                <w:sz w:val="16"/>
              </w:rPr>
              <w:t>Ordinary learning content, operational metadata</w:t>
            </w:r>
          </w:p>
        </w:tc>
        <w:tc>
          <w:tcPr>
            <w:tcW w:type="dxa" w:w="3610"/>
            <w:shd w:fill="F6F7F9"/>
            <w:vAlign w:val="top"/>
            <w:tcMar>
              <w:top w:w="70" w:type="dxa"/>
              <w:start w:w="105" w:type="dxa"/>
              <w:bottom w:w="70" w:type="dxa"/>
              <w:end w:w="105" w:type="dxa"/>
            </w:tcMar>
          </w:tcPr>
          <w:p>
            <w:pPr>
              <w:spacing w:after="20" w:line="240" w:lineRule="auto"/>
            </w:pPr>
            <w:r>
              <w:rPr>
                <w:rFonts w:ascii="Arial" w:hAnsi="Arial"/>
                <w:color w:val="172033"/>
                <w:sz w:val="16"/>
              </w:rPr>
              <w:t>Authenticated Academy use; need-to-know</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Confidential</w:t>
            </w:r>
          </w:p>
        </w:tc>
        <w:tc>
          <w:tcPr>
            <w:tcW w:type="dxa" w:w="3800"/>
            <w:shd w:fill="FFFFFF"/>
            <w:vAlign w:val="top"/>
            <w:tcMar>
              <w:top w:w="70" w:type="dxa"/>
              <w:start w:w="105" w:type="dxa"/>
              <w:bottom w:w="70" w:type="dxa"/>
              <w:end w:w="105" w:type="dxa"/>
            </w:tcMar>
          </w:tcPr>
          <w:p>
            <w:pPr>
              <w:spacing w:after="20" w:line="240" w:lineRule="auto"/>
            </w:pPr>
            <w:r>
              <w:rPr>
                <w:rFonts w:ascii="Arial" w:hAnsi="Arial"/>
                <w:color w:val="172033"/>
                <w:sz w:val="16"/>
              </w:rPr>
              <w:t>Profiles, enrolments, progress, results, certificates, manager notes</w:t>
            </w:r>
          </w:p>
        </w:tc>
        <w:tc>
          <w:tcPr>
            <w:tcW w:type="dxa" w:w="3610"/>
            <w:shd w:fill="FFFFFF"/>
            <w:vAlign w:val="top"/>
            <w:tcMar>
              <w:top w:w="70" w:type="dxa"/>
              <w:start w:w="105" w:type="dxa"/>
              <w:bottom w:w="70" w:type="dxa"/>
              <w:end w:w="105" w:type="dxa"/>
            </w:tcMar>
          </w:tcPr>
          <w:p>
            <w:pPr>
              <w:spacing w:after="20" w:line="240" w:lineRule="auto"/>
            </w:pPr>
            <w:r>
              <w:rPr>
                <w:rFonts w:ascii="Arial" w:hAnsi="Arial"/>
                <w:color w:val="172033"/>
                <w:sz w:val="16"/>
              </w:rPr>
              <w:t>Self/assigned/function scope; encryption and audit</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Restricted</w:t>
            </w:r>
          </w:p>
        </w:tc>
        <w:tc>
          <w:tcPr>
            <w:tcW w:type="dxa" w:w="3800"/>
            <w:shd w:fill="F6F7F9"/>
            <w:vAlign w:val="top"/>
            <w:tcMar>
              <w:top w:w="70" w:type="dxa"/>
              <w:start w:w="105" w:type="dxa"/>
              <w:bottom w:w="70" w:type="dxa"/>
              <w:end w:w="105" w:type="dxa"/>
            </w:tcMar>
          </w:tcPr>
          <w:p>
            <w:pPr>
              <w:spacing w:after="20" w:line="240" w:lineRule="auto"/>
            </w:pPr>
            <w:r>
              <w:rPr>
                <w:rFonts w:ascii="Arial" w:hAnsi="Arial"/>
                <w:color w:val="172033"/>
                <w:sz w:val="16"/>
              </w:rPr>
              <w:t>Question keys, raw responses, practical evidence, appeals, sensitive cases</w:t>
            </w:r>
          </w:p>
        </w:tc>
        <w:tc>
          <w:tcPr>
            <w:tcW w:type="dxa" w:w="3610"/>
            <w:shd w:fill="F6F7F9"/>
            <w:vAlign w:val="top"/>
            <w:tcMar>
              <w:top w:w="70" w:type="dxa"/>
              <w:start w:w="105" w:type="dxa"/>
              <w:bottom w:w="70" w:type="dxa"/>
              <w:end w:w="105" w:type="dxa"/>
            </w:tcMar>
          </w:tcPr>
          <w:p>
            <w:pPr>
              <w:spacing w:after="20" w:line="240" w:lineRule="auto"/>
            </w:pPr>
            <w:r>
              <w:rPr>
                <w:rFonts w:ascii="Arial" w:hAnsi="Arial"/>
                <w:color w:val="172033"/>
                <w:sz w:val="16"/>
              </w:rPr>
              <w:t>Explicit purpose grant; enhanced audit; no broad export</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Event-restricted</w:t>
            </w:r>
          </w:p>
        </w:tc>
        <w:tc>
          <w:tcPr>
            <w:tcW w:type="dxa" w:w="3800"/>
            <w:shd w:fill="FFFFFF"/>
            <w:vAlign w:val="top"/>
            <w:tcMar>
              <w:top w:w="70" w:type="dxa"/>
              <w:start w:w="105" w:type="dxa"/>
              <w:bottom w:w="70" w:type="dxa"/>
              <w:end w:w="105" w:type="dxa"/>
            </w:tcMar>
          </w:tcPr>
          <w:p>
            <w:pPr>
              <w:spacing w:after="20" w:line="240" w:lineRule="auto"/>
            </w:pPr>
            <w:r>
              <w:rPr>
                <w:rFonts w:ascii="Arial" w:hAnsi="Arial"/>
                <w:color w:val="172033"/>
                <w:sz w:val="16"/>
              </w:rPr>
              <w:t>Briefings, risks, zones, principals, selected event facts</w:t>
            </w:r>
          </w:p>
        </w:tc>
        <w:tc>
          <w:tcPr>
            <w:tcW w:type="dxa" w:w="3610"/>
            <w:shd w:fill="FFFFFF"/>
            <w:vAlign w:val="top"/>
            <w:tcMar>
              <w:top w:w="70" w:type="dxa"/>
              <w:start w:w="105" w:type="dxa"/>
              <w:bottom w:w="70" w:type="dxa"/>
              <w:end w:w="105" w:type="dxa"/>
            </w:tcMar>
          </w:tcPr>
          <w:p>
            <w:pPr>
              <w:spacing w:after="20" w:line="240" w:lineRule="auto"/>
            </w:pPr>
            <w:r>
              <w:rPr>
                <w:rFonts w:ascii="Arial" w:hAnsi="Arial"/>
                <w:color w:val="172033"/>
                <w:sz w:val="16"/>
              </w:rPr>
              <w:t>event_id + assignment/role/purpose/time; expire after need</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Audit-protected</w:t>
            </w:r>
          </w:p>
        </w:tc>
        <w:tc>
          <w:tcPr>
            <w:tcW w:type="dxa" w:w="3800"/>
            <w:shd w:fill="F6F7F9"/>
            <w:vAlign w:val="top"/>
            <w:tcMar>
              <w:top w:w="70" w:type="dxa"/>
              <w:start w:w="105" w:type="dxa"/>
              <w:bottom w:w="70" w:type="dxa"/>
              <w:end w:w="105" w:type="dxa"/>
            </w:tcMar>
          </w:tcPr>
          <w:p>
            <w:pPr>
              <w:spacing w:after="20" w:line="240" w:lineRule="auto"/>
            </w:pPr>
            <w:r>
              <w:rPr>
                <w:rFonts w:ascii="Arial" w:hAnsi="Arial"/>
                <w:color w:val="172033"/>
                <w:sz w:val="16"/>
              </w:rPr>
              <w:t>Access logs, decision histories, incident evidence</w:t>
            </w:r>
          </w:p>
        </w:tc>
        <w:tc>
          <w:tcPr>
            <w:tcW w:type="dxa" w:w="3610"/>
            <w:shd w:fill="F6F7F9"/>
            <w:vAlign w:val="top"/>
            <w:tcMar>
              <w:top w:w="70" w:type="dxa"/>
              <w:start w:w="105" w:type="dxa"/>
              <w:bottom w:w="70" w:type="dxa"/>
              <w:end w:w="105" w:type="dxa"/>
            </w:tcMar>
          </w:tcPr>
          <w:p>
            <w:pPr>
              <w:spacing w:after="20" w:line="240" w:lineRule="auto"/>
            </w:pPr>
            <w:r>
              <w:rPr>
                <w:rFonts w:ascii="Arial" w:hAnsi="Arial"/>
                <w:color w:val="172033"/>
                <w:sz w:val="16"/>
              </w:rPr>
              <w:t>Read-only governed access; tamper protection</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Special category / highly sensitive</w:t>
            </w:r>
          </w:p>
        </w:tc>
        <w:tc>
          <w:tcPr>
            <w:tcW w:type="dxa" w:w="3800"/>
            <w:shd w:fill="FFFFFF"/>
            <w:vAlign w:val="top"/>
            <w:tcMar>
              <w:top w:w="70" w:type="dxa"/>
              <w:start w:w="105" w:type="dxa"/>
              <w:bottom w:w="70" w:type="dxa"/>
              <w:end w:w="105" w:type="dxa"/>
            </w:tcMar>
          </w:tcPr>
          <w:p>
            <w:pPr>
              <w:spacing w:after="20" w:line="240" w:lineRule="auto"/>
            </w:pPr>
            <w:r>
              <w:rPr>
                <w:rFonts w:ascii="Arial" w:hAnsi="Arial"/>
                <w:color w:val="172033"/>
                <w:sz w:val="16"/>
              </w:rPr>
              <w:t>Health/accommodation, biometric or comparable sensitive evidence</w:t>
            </w:r>
          </w:p>
        </w:tc>
        <w:tc>
          <w:tcPr>
            <w:tcW w:type="dxa" w:w="3610"/>
            <w:shd w:fill="FFFFFF"/>
            <w:vAlign w:val="top"/>
            <w:tcMar>
              <w:top w:w="70" w:type="dxa"/>
              <w:start w:w="105" w:type="dxa"/>
              <w:bottom w:w="70" w:type="dxa"/>
              <w:end w:w="105" w:type="dxa"/>
            </w:tcMar>
          </w:tcPr>
          <w:p>
            <w:pPr>
              <w:spacing w:after="20" w:line="240" w:lineRule="auto"/>
            </w:pPr>
            <w:r>
              <w:rPr>
                <w:rFonts w:ascii="Arial" w:hAnsi="Arial"/>
                <w:color w:val="172033"/>
                <w:sz w:val="16"/>
              </w:rPr>
              <w:t>Separate necessity/basis; strict minimisation; shortest justified retention</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Secrets</w:t>
            </w:r>
          </w:p>
        </w:tc>
        <w:tc>
          <w:tcPr>
            <w:tcW w:type="dxa" w:w="3800"/>
            <w:shd w:fill="F6F7F9"/>
            <w:vAlign w:val="top"/>
            <w:tcMar>
              <w:top w:w="70" w:type="dxa"/>
              <w:start w:w="105" w:type="dxa"/>
              <w:bottom w:w="70" w:type="dxa"/>
              <w:end w:w="105" w:type="dxa"/>
            </w:tcMar>
          </w:tcPr>
          <w:p>
            <w:pPr>
              <w:spacing w:after="20" w:line="240" w:lineRule="auto"/>
            </w:pPr>
            <w:r>
              <w:rPr>
                <w:rFonts w:ascii="Arial" w:hAnsi="Arial"/>
                <w:color w:val="172033"/>
                <w:sz w:val="16"/>
              </w:rPr>
              <w:t>Passwords, API keys, signing/encryption material</w:t>
            </w:r>
          </w:p>
        </w:tc>
        <w:tc>
          <w:tcPr>
            <w:tcW w:type="dxa" w:w="3610"/>
            <w:shd w:fill="F6F7F9"/>
            <w:vAlign w:val="top"/>
            <w:tcMar>
              <w:top w:w="70" w:type="dxa"/>
              <w:start w:w="105" w:type="dxa"/>
              <w:bottom w:w="70" w:type="dxa"/>
              <w:end w:w="105" w:type="dxa"/>
            </w:tcMar>
          </w:tcPr>
          <w:p>
            <w:pPr>
              <w:spacing w:after="20" w:line="240" w:lineRule="auto"/>
            </w:pPr>
            <w:r>
              <w:rPr>
                <w:rFonts w:ascii="Arial" w:hAnsi="Arial"/>
                <w:color w:val="172033"/>
                <w:sz w:val="16"/>
              </w:rPr>
              <w:t>Dedicated secret manager; never application logs/content fields</w:t>
            </w:r>
          </w:p>
        </w:tc>
      </w:tr>
    </w:tbl>
    <w:p>
      <w:pPr>
        <w:pStyle w:val="ListBullet"/>
        <w:spacing w:after="60"/>
        <w:ind w:left="547" w:hanging="274"/>
      </w:pPr>
      <w:r>
        <w:t>Classification follows the most sensitive element in a combined record/export.</w:t>
      </w:r>
    </w:p>
    <w:p>
      <w:pPr>
        <w:pStyle w:val="ListBullet"/>
        <w:spacing w:after="60"/>
        <w:ind w:left="547" w:hanging="274"/>
      </w:pPr>
      <w:r>
        <w:t>Derived data and embeddings inherit the source classification unless a documented transformation reduces risk.</w:t>
      </w:r>
    </w:p>
    <w:p>
      <w:pPr>
        <w:pStyle w:val="ListBullet"/>
        <w:spacing w:after="60"/>
        <w:ind w:left="547" w:hanging="274"/>
      </w:pPr>
      <w:r>
        <w:t>Counts, filenames, URLs, search results and notification text must not reveal a restricted object.</w:t>
      </w:r>
    </w:p>
    <w:p>
      <w:pPr>
        <w:pStyle w:val="ListBullet"/>
        <w:spacing w:after="60"/>
        <w:ind w:left="547" w:hanging="274"/>
      </w:pPr>
      <w:r>
        <w:t>Classification travels with exports, backups, integrations and offline copies.</w:t>
      </w:r>
    </w:p>
    <w:p>
      <w:r>
        <w:br w:type="page"/>
      </w:r>
    </w:p>
    <w:p>
      <w:pPr>
        <w:pStyle w:val="Heading1"/>
      </w:pPr>
      <w:r>
        <w:t>4. Data inventory and ownership</w:t>
      </w:r>
    </w:p>
    <w:tbl>
      <w:tblPr>
        <w:tblStyle w:val="TableGrid"/>
        <w:tblW w:type="dxa" w:w="9360"/>
        <w:jc w:val="left"/>
        <w:tblLayout w:type="fixed"/>
        <w:tblLook w:firstColumn="1" w:firstRow="1" w:lastColumn="0" w:lastRow="0" w:noHBand="0" w:noVBand="1" w:val="04A0"/>
        <w:tblInd w:w="120" w:type="dxa"/>
      </w:tblPr>
      <w:tblGrid>
        <w:gridCol w:w="2200"/>
        <w:gridCol w:w="2780"/>
        <w:gridCol w:w="4380"/>
      </w:tblGrid>
      <w:tr>
        <w:tc>
          <w:tcPr>
            <w:tcW w:type="dxa" w:w="2200"/>
            <w:shd w:fill="10243E"/>
            <w:tcMar>
              <w:top w:w="70" w:type="dxa"/>
              <w:start w:w="105" w:type="dxa"/>
              <w:bottom w:w="70" w:type="dxa"/>
              <w:end w:w="105" w:type="dxa"/>
            </w:tcMar>
          </w:tcPr>
          <w:p>
            <w:r>
              <w:rPr>
                <w:rFonts w:ascii="Arial" w:hAnsi="Arial"/>
                <w:b/>
                <w:color w:val="FFFFFF"/>
                <w:sz w:val="17"/>
              </w:rPr>
              <w:t>Domain</w:t>
            </w:r>
          </w:p>
        </w:tc>
        <w:tc>
          <w:tcPr>
            <w:tcW w:type="dxa" w:w="2780"/>
            <w:shd w:fill="10243E"/>
            <w:tcMar>
              <w:top w:w="70" w:type="dxa"/>
              <w:start w:w="105" w:type="dxa"/>
              <w:bottom w:w="70" w:type="dxa"/>
              <w:end w:w="105" w:type="dxa"/>
            </w:tcMar>
          </w:tcPr>
          <w:p>
            <w:r>
              <w:rPr>
                <w:rFonts w:ascii="Arial" w:hAnsi="Arial"/>
                <w:b/>
                <w:color w:val="FFFFFF"/>
                <w:sz w:val="17"/>
              </w:rPr>
              <w:t>Owner</w:t>
            </w:r>
          </w:p>
        </w:tc>
        <w:tc>
          <w:tcPr>
            <w:tcW w:type="dxa" w:w="4380"/>
            <w:shd w:fill="10243E"/>
            <w:tcMar>
              <w:top w:w="70" w:type="dxa"/>
              <w:start w:w="105" w:type="dxa"/>
              <w:bottom w:w="70" w:type="dxa"/>
              <w:end w:w="105" w:type="dxa"/>
            </w:tcMar>
          </w:tcPr>
          <w:p>
            <w:r>
              <w:rPr>
                <w:rFonts w:ascii="Arial" w:hAnsi="Arial"/>
                <w:b/>
                <w:color w:val="FFFFFF"/>
                <w:sz w:val="17"/>
              </w:rPr>
              <w:t>Key protected records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Identity and employment link</w:t>
            </w:r>
          </w:p>
        </w:tc>
        <w:tc>
          <w:tcPr>
            <w:tcW w:type="dxa" w:w="2780"/>
            <w:shd w:fill="FFFFFF"/>
            <w:vAlign w:val="top"/>
            <w:tcMar>
              <w:top w:w="70" w:type="dxa"/>
              <w:start w:w="105" w:type="dxa"/>
              <w:bottom w:w="70" w:type="dxa"/>
              <w:end w:w="105" w:type="dxa"/>
            </w:tcMar>
          </w:tcPr>
          <w:p>
            <w:pPr>
              <w:spacing w:after="20" w:line="240" w:lineRule="auto"/>
            </w:pPr>
            <w:r>
              <w:rPr>
                <w:rFonts w:ascii="Arial" w:hAnsi="Arial"/>
                <w:color w:val="172033"/>
                <w:sz w:val="16"/>
              </w:rPr>
              <w:t>People/HR data owner</w:t>
            </w:r>
          </w:p>
        </w:tc>
        <w:tc>
          <w:tcPr>
            <w:tcW w:type="dxa" w:w="4380"/>
            <w:shd w:fill="FFFFFF"/>
            <w:vAlign w:val="top"/>
            <w:tcMar>
              <w:top w:w="70" w:type="dxa"/>
              <w:start w:w="105" w:type="dxa"/>
              <w:bottom w:w="70" w:type="dxa"/>
              <w:end w:w="105" w:type="dxa"/>
            </w:tcMar>
          </w:tcPr>
          <w:p>
            <w:pPr>
              <w:spacing w:after="20" w:line="240" w:lineRule="auto"/>
            </w:pPr>
            <w:r>
              <w:rPr>
                <w:rFonts w:ascii="Arial" w:hAnsi="Arial"/>
                <w:color w:val="172033"/>
                <w:sz w:val="16"/>
              </w:rPr>
              <w:t>Person, contact, role, team, active status</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Learning</w:t>
            </w:r>
          </w:p>
        </w:tc>
        <w:tc>
          <w:tcPr>
            <w:tcW w:type="dxa" w:w="2780"/>
            <w:shd w:fill="F6F7F9"/>
            <w:vAlign w:val="top"/>
            <w:tcMar>
              <w:top w:w="70" w:type="dxa"/>
              <w:start w:w="105" w:type="dxa"/>
              <w:bottom w:w="70" w:type="dxa"/>
              <w:end w:w="105" w:type="dxa"/>
            </w:tcMar>
          </w:tcPr>
          <w:p>
            <w:pPr>
              <w:spacing w:after="20" w:line="240" w:lineRule="auto"/>
            </w:pPr>
            <w:r>
              <w:rPr>
                <w:rFonts w:ascii="Arial" w:hAnsi="Arial"/>
                <w:color w:val="172033"/>
                <w:sz w:val="16"/>
              </w:rPr>
              <w:t>Curriculum owner</w:t>
            </w:r>
          </w:p>
        </w:tc>
        <w:tc>
          <w:tcPr>
            <w:tcW w:type="dxa" w:w="4380"/>
            <w:shd w:fill="F6F7F9"/>
            <w:vAlign w:val="top"/>
            <w:tcMar>
              <w:top w:w="70" w:type="dxa"/>
              <w:start w:w="105" w:type="dxa"/>
              <w:bottom w:w="70" w:type="dxa"/>
              <w:end w:w="105" w:type="dxa"/>
            </w:tcMar>
          </w:tcPr>
          <w:p>
            <w:pPr>
              <w:spacing w:after="20" w:line="240" w:lineRule="auto"/>
            </w:pPr>
            <w:r>
              <w:rPr>
                <w:rFonts w:ascii="Arial" w:hAnsi="Arial"/>
                <w:color w:val="172033"/>
                <w:sz w:val="16"/>
              </w:rPr>
              <w:t>Enrolment, progress, acknowledgements, accessibility preferences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Assessment</w:t>
            </w:r>
          </w:p>
        </w:tc>
        <w:tc>
          <w:tcPr>
            <w:tcW w:type="dxa" w:w="2780"/>
            <w:shd w:fill="FFFFFF"/>
            <w:vAlign w:val="top"/>
            <w:tcMar>
              <w:top w:w="70" w:type="dxa"/>
              <w:start w:w="105" w:type="dxa"/>
              <w:bottom w:w="70" w:type="dxa"/>
              <w:end w:w="105" w:type="dxa"/>
            </w:tcMar>
          </w:tcPr>
          <w:p>
            <w:pPr>
              <w:spacing w:after="20" w:line="240" w:lineRule="auto"/>
            </w:pPr>
            <w:r>
              <w:rPr>
                <w:rFonts w:ascii="Arial" w:hAnsi="Arial"/>
                <w:color w:val="172033"/>
                <w:sz w:val="16"/>
              </w:rPr>
              <w:t>Assessment authority</w:t>
            </w:r>
          </w:p>
        </w:tc>
        <w:tc>
          <w:tcPr>
            <w:tcW w:type="dxa" w:w="4380"/>
            <w:shd w:fill="FFFFFF"/>
            <w:vAlign w:val="top"/>
            <w:tcMar>
              <w:top w:w="70" w:type="dxa"/>
              <w:start w:w="105" w:type="dxa"/>
              <w:bottom w:w="70" w:type="dxa"/>
              <w:end w:w="105" w:type="dxa"/>
            </w:tcMar>
          </w:tcPr>
          <w:p>
            <w:pPr>
              <w:spacing w:after="20" w:line="240" w:lineRule="auto"/>
            </w:pPr>
            <w:r>
              <w:rPr>
                <w:rFonts w:ascii="Arial" w:hAnsi="Arial"/>
                <w:color w:val="172033"/>
                <w:sz w:val="16"/>
              </w:rPr>
              <w:t>Blueprints, keys, forms, attempts, responses, rubrics, evidence</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Certification</w:t>
            </w:r>
          </w:p>
        </w:tc>
        <w:tc>
          <w:tcPr>
            <w:tcW w:type="dxa" w:w="2780"/>
            <w:shd w:fill="F6F7F9"/>
            <w:vAlign w:val="top"/>
            <w:tcMar>
              <w:top w:w="70" w:type="dxa"/>
              <w:start w:w="105" w:type="dxa"/>
              <w:bottom w:w="70" w:type="dxa"/>
              <w:end w:w="105" w:type="dxa"/>
            </w:tcMar>
          </w:tcPr>
          <w:p>
            <w:pPr>
              <w:spacing w:after="20" w:line="240" w:lineRule="auto"/>
            </w:pPr>
            <w:r>
              <w:rPr>
                <w:rFonts w:ascii="Arial" w:hAnsi="Arial"/>
                <w:color w:val="172033"/>
                <w:sz w:val="16"/>
              </w:rPr>
              <w:t>Certification authority</w:t>
            </w:r>
          </w:p>
        </w:tc>
        <w:tc>
          <w:tcPr>
            <w:tcW w:type="dxa" w:w="4380"/>
            <w:shd w:fill="F6F7F9"/>
            <w:vAlign w:val="top"/>
            <w:tcMar>
              <w:top w:w="70" w:type="dxa"/>
              <w:start w:w="105" w:type="dxa"/>
              <w:bottom w:w="70" w:type="dxa"/>
              <w:end w:w="105" w:type="dxa"/>
            </w:tcMar>
          </w:tcPr>
          <w:p>
            <w:pPr>
              <w:spacing w:after="20" w:line="240" w:lineRule="auto"/>
            </w:pPr>
            <w:r>
              <w:rPr>
                <w:rFonts w:ascii="Arial" w:hAnsi="Arial"/>
                <w:color w:val="172033"/>
                <w:sz w:val="16"/>
              </w:rPr>
              <w:t>Schemes, awards, dependencies, suspension/revocation cases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Event readiness</w:t>
            </w:r>
          </w:p>
        </w:tc>
        <w:tc>
          <w:tcPr>
            <w:tcW w:type="dxa" w:w="2780"/>
            <w:shd w:fill="FFFFFF"/>
            <w:vAlign w:val="top"/>
            <w:tcMar>
              <w:top w:w="70" w:type="dxa"/>
              <w:start w:w="105" w:type="dxa"/>
              <w:bottom w:w="70" w:type="dxa"/>
              <w:end w:w="105" w:type="dxa"/>
            </w:tcMar>
          </w:tcPr>
          <w:p>
            <w:pPr>
              <w:spacing w:after="20" w:line="240" w:lineRule="auto"/>
            </w:pPr>
            <w:r>
              <w:rPr>
                <w:rFonts w:ascii="Arial" w:hAnsi="Arial"/>
                <w:color w:val="172033"/>
                <w:sz w:val="16"/>
              </w:rPr>
              <w:t>Academy + Event OS owners</w:t>
            </w:r>
          </w:p>
        </w:tc>
        <w:tc>
          <w:tcPr>
            <w:tcW w:type="dxa" w:w="4380"/>
            <w:shd w:fill="FFFFFF"/>
            <w:vAlign w:val="top"/>
            <w:tcMar>
              <w:top w:w="70" w:type="dxa"/>
              <w:start w:w="105" w:type="dxa"/>
              <w:bottom w:w="70" w:type="dxa"/>
              <w:end w:w="105" w:type="dxa"/>
            </w:tcMar>
          </w:tcPr>
          <w:p>
            <w:pPr>
              <w:spacing w:after="20" w:line="240" w:lineRule="auto"/>
            </w:pPr>
            <w:r>
              <w:rPr>
                <w:rFonts w:ascii="Arial" w:hAnsi="Arial"/>
                <w:color w:val="172033"/>
                <w:sz w:val="16"/>
              </w:rPr>
              <w:t>Event packages, assignments references, readiness and blockers</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Content</w:t>
            </w:r>
          </w:p>
        </w:tc>
        <w:tc>
          <w:tcPr>
            <w:tcW w:type="dxa" w:w="2780"/>
            <w:shd w:fill="F6F7F9"/>
            <w:vAlign w:val="top"/>
            <w:tcMar>
              <w:top w:w="70" w:type="dxa"/>
              <w:start w:w="105" w:type="dxa"/>
              <w:bottom w:w="70" w:type="dxa"/>
              <w:end w:w="105" w:type="dxa"/>
            </w:tcMar>
          </w:tcPr>
          <w:p>
            <w:pPr>
              <w:spacing w:after="20" w:line="240" w:lineRule="auto"/>
            </w:pPr>
            <w:r>
              <w:rPr>
                <w:rFonts w:ascii="Arial" w:hAnsi="Arial"/>
                <w:color w:val="172033"/>
                <w:sz w:val="16"/>
              </w:rPr>
              <w:t>Curriculum/assessment owners</w:t>
            </w:r>
          </w:p>
        </w:tc>
        <w:tc>
          <w:tcPr>
            <w:tcW w:type="dxa" w:w="4380"/>
            <w:shd w:fill="F6F7F9"/>
            <w:vAlign w:val="top"/>
            <w:tcMar>
              <w:top w:w="70" w:type="dxa"/>
              <w:start w:w="105" w:type="dxa"/>
              <w:bottom w:w="70" w:type="dxa"/>
              <w:end w:w="105" w:type="dxa"/>
            </w:tcMar>
          </w:tcPr>
          <w:p>
            <w:pPr>
              <w:spacing w:after="20" w:line="240" w:lineRule="auto"/>
            </w:pPr>
            <w:r>
              <w:rPr>
                <w:rFonts w:ascii="Arial" w:hAnsi="Arial"/>
                <w:color w:val="172033"/>
                <w:sz w:val="16"/>
              </w:rPr>
              <w:t>Drafts, sources, reviews, approvals and versions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Intelligence</w:t>
            </w:r>
          </w:p>
        </w:tc>
        <w:tc>
          <w:tcPr>
            <w:tcW w:type="dxa" w:w="2780"/>
            <w:shd w:fill="FFFFFF"/>
            <w:vAlign w:val="top"/>
            <w:tcMar>
              <w:top w:w="70" w:type="dxa"/>
              <w:start w:w="105" w:type="dxa"/>
              <w:bottom w:w="70" w:type="dxa"/>
              <w:end w:w="105" w:type="dxa"/>
            </w:tcMar>
          </w:tcPr>
          <w:p>
            <w:pPr>
              <w:spacing w:after="20" w:line="240" w:lineRule="auto"/>
            </w:pPr>
            <w:r>
              <w:rPr>
                <w:rFonts w:ascii="Arial" w:hAnsi="Arial"/>
                <w:color w:val="172033"/>
                <w:sz w:val="16"/>
              </w:rPr>
              <w:t>Academy governance</w:t>
            </w:r>
          </w:p>
        </w:tc>
        <w:tc>
          <w:tcPr>
            <w:tcW w:type="dxa" w:w="4380"/>
            <w:shd w:fill="FFFFFF"/>
            <w:vAlign w:val="top"/>
            <w:tcMar>
              <w:top w:w="70" w:type="dxa"/>
              <w:start w:w="105" w:type="dxa"/>
              <w:bottom w:w="70" w:type="dxa"/>
              <w:end w:w="105" w:type="dxa"/>
            </w:tcMar>
          </w:tcPr>
          <w:p>
            <w:pPr>
              <w:spacing w:after="20" w:line="240" w:lineRule="auto"/>
            </w:pPr>
            <w:r>
              <w:rPr>
                <w:rFonts w:ascii="Arial" w:hAnsi="Arial"/>
                <w:color w:val="172033"/>
                <w:sz w:val="16"/>
              </w:rPr>
              <w:t>Metric snapshots, alerts, recommendations and reports</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Access/security</w:t>
            </w:r>
          </w:p>
        </w:tc>
        <w:tc>
          <w:tcPr>
            <w:tcW w:type="dxa" w:w="2780"/>
            <w:shd w:fill="F6F7F9"/>
            <w:vAlign w:val="top"/>
            <w:tcMar>
              <w:top w:w="70" w:type="dxa"/>
              <w:start w:w="105" w:type="dxa"/>
              <w:bottom w:w="70" w:type="dxa"/>
              <w:end w:w="105" w:type="dxa"/>
            </w:tcMar>
          </w:tcPr>
          <w:p>
            <w:pPr>
              <w:spacing w:after="20" w:line="240" w:lineRule="auto"/>
            </w:pPr>
            <w:r>
              <w:rPr>
                <w:rFonts w:ascii="Arial" w:hAnsi="Arial"/>
                <w:color w:val="172033"/>
                <w:sz w:val="16"/>
              </w:rPr>
              <w:t>Security owner</w:t>
            </w:r>
          </w:p>
        </w:tc>
        <w:tc>
          <w:tcPr>
            <w:tcW w:type="dxa" w:w="4380"/>
            <w:shd w:fill="F6F7F9"/>
            <w:vAlign w:val="top"/>
            <w:tcMar>
              <w:top w:w="70" w:type="dxa"/>
              <w:start w:w="105" w:type="dxa"/>
              <w:bottom w:w="70" w:type="dxa"/>
              <w:end w:w="105" w:type="dxa"/>
            </w:tcMar>
          </w:tcPr>
          <w:p>
            <w:pPr>
              <w:spacing w:after="20" w:line="240" w:lineRule="auto"/>
            </w:pPr>
            <w:r>
              <w:rPr>
                <w:rFonts w:ascii="Arial" w:hAnsi="Arial"/>
                <w:color w:val="172033"/>
                <w:sz w:val="16"/>
              </w:rPr>
              <w:t>Role grants, sessions, devices, access decisions and incidents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Audit/compliance</w:t>
            </w:r>
          </w:p>
        </w:tc>
        <w:tc>
          <w:tcPr>
            <w:tcW w:type="dxa" w:w="2780"/>
            <w:shd w:fill="FFFFFF"/>
            <w:vAlign w:val="top"/>
            <w:tcMar>
              <w:top w:w="70" w:type="dxa"/>
              <w:start w:w="105" w:type="dxa"/>
              <w:bottom w:w="70" w:type="dxa"/>
              <w:end w:w="105" w:type="dxa"/>
            </w:tcMar>
          </w:tcPr>
          <w:p>
            <w:pPr>
              <w:spacing w:after="20" w:line="240" w:lineRule="auto"/>
            </w:pPr>
            <w:r>
              <w:rPr>
                <w:rFonts w:ascii="Arial" w:hAnsi="Arial"/>
                <w:color w:val="172033"/>
                <w:sz w:val="16"/>
              </w:rPr>
              <w:t>Governance/audit owner</w:t>
            </w:r>
          </w:p>
        </w:tc>
        <w:tc>
          <w:tcPr>
            <w:tcW w:type="dxa" w:w="4380"/>
            <w:shd w:fill="FFFFFF"/>
            <w:vAlign w:val="top"/>
            <w:tcMar>
              <w:top w:w="70" w:type="dxa"/>
              <w:start w:w="105" w:type="dxa"/>
              <w:bottom w:w="70" w:type="dxa"/>
              <w:end w:w="105" w:type="dxa"/>
            </w:tcMar>
          </w:tcPr>
          <w:p>
            <w:pPr>
              <w:spacing w:after="20" w:line="240" w:lineRule="auto"/>
            </w:pPr>
            <w:r>
              <w:rPr>
                <w:rFonts w:ascii="Arial" w:hAnsi="Arial"/>
                <w:color w:val="172033"/>
                <w:sz w:val="16"/>
              </w:rPr>
              <w:t>Immutable event logs, holds, rights and retention actions</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Vendor/integration</w:t>
            </w:r>
          </w:p>
        </w:tc>
        <w:tc>
          <w:tcPr>
            <w:tcW w:type="dxa" w:w="2780"/>
            <w:shd w:fill="F6F7F9"/>
            <w:vAlign w:val="top"/>
            <w:tcMar>
              <w:top w:w="70" w:type="dxa"/>
              <w:start w:w="105" w:type="dxa"/>
              <w:bottom w:w="70" w:type="dxa"/>
              <w:end w:w="105" w:type="dxa"/>
            </w:tcMar>
          </w:tcPr>
          <w:p>
            <w:pPr>
              <w:spacing w:after="20" w:line="240" w:lineRule="auto"/>
            </w:pPr>
            <w:r>
              <w:rPr>
                <w:rFonts w:ascii="Arial" w:hAnsi="Arial"/>
                <w:color w:val="172033"/>
                <w:sz w:val="16"/>
              </w:rPr>
              <w:t>Service owner</w:t>
            </w:r>
          </w:p>
        </w:tc>
        <w:tc>
          <w:tcPr>
            <w:tcW w:type="dxa" w:w="4380"/>
            <w:shd w:fill="F6F7F9"/>
            <w:vAlign w:val="top"/>
            <w:tcMar>
              <w:top w:w="70" w:type="dxa"/>
              <w:start w:w="105" w:type="dxa"/>
              <w:bottom w:w="70" w:type="dxa"/>
              <w:end w:w="105" w:type="dxa"/>
            </w:tcMar>
          </w:tcPr>
          <w:p>
            <w:pPr>
              <w:spacing w:after="20" w:line="240" w:lineRule="auto"/>
            </w:pPr>
            <w:r>
              <w:rPr>
                <w:rFonts w:ascii="Arial" w:hAnsi="Arial"/>
                <w:color w:val="172033"/>
                <w:sz w:val="16"/>
              </w:rPr>
              <w:t>Contracts, credentials, transfers, receipts and reconciliation</w:t>
            </w:r>
          </w:p>
        </w:tc>
      </w:tr>
    </w:tbl>
    <w:p>
      <w:pPr>
        <w:pStyle w:val="Heading2"/>
      </w:pPr>
      <w:r>
        <w:t>4.1 Inventory fields</w:t>
      </w:r>
    </w:p>
    <w:p>
      <w:pPr>
        <w:pStyle w:val="ListBullet"/>
        <w:spacing w:after="60"/>
        <w:ind w:left="547" w:hanging="274"/>
      </w:pPr>
      <w:r>
        <w:t>Data element/category, classification, purpose and lawful/policy basis.</w:t>
      </w:r>
    </w:p>
    <w:p>
      <w:pPr>
        <w:pStyle w:val="ListBullet"/>
        <w:spacing w:after="60"/>
        <w:ind w:left="547" w:hanging="274"/>
      </w:pPr>
      <w:r>
        <w:t>System of record, owner, processors/recipients and storage locations.</w:t>
      </w:r>
    </w:p>
    <w:p>
      <w:pPr>
        <w:pStyle w:val="ListBullet"/>
        <w:spacing w:after="60"/>
        <w:ind w:left="547" w:hanging="274"/>
      </w:pPr>
      <w:r>
        <w:t>Organisation/event/subject identifiers and permitted scopes.</w:t>
      </w:r>
    </w:p>
    <w:p>
      <w:pPr>
        <w:pStyle w:val="ListBullet"/>
        <w:spacing w:after="60"/>
        <w:ind w:left="547" w:hanging="274"/>
      </w:pPr>
      <w:r>
        <w:t>Retention trigger, period, disposal method and legal/appeal/investigation holds.</w:t>
      </w:r>
    </w:p>
    <w:p>
      <w:pPr>
        <w:pStyle w:val="ListBullet"/>
        <w:spacing w:after="60"/>
        <w:ind w:left="547" w:hanging="274"/>
      </w:pPr>
      <w:r>
        <w:t>Transfer jurisdiction, encryption, backup/offline presence and recovery objective.</w:t>
      </w:r>
    </w:p>
    <w:p>
      <w:r>
        <w:br w:type="page"/>
      </w:r>
    </w:p>
    <w:p>
      <w:pPr>
        <w:pStyle w:val="Heading1"/>
      </w:pPr>
      <w:r>
        <w:t>5. Privacy processing principles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Principle</w:t>
            </w:r>
          </w:p>
        </w:tc>
        <w:tc>
          <w:tcPr>
            <w:tcW w:type="dxa" w:w="7460"/>
            <w:shd w:fill="10243E"/>
            <w:tcMar>
              <w:top w:w="70" w:type="dxa"/>
              <w:start w:w="105" w:type="dxa"/>
              <w:bottom w:w="70" w:type="dxa"/>
              <w:end w:w="105" w:type="dxa"/>
            </w:tcMar>
          </w:tcPr>
          <w:p>
            <w:r>
              <w:rPr>
                <w:rFonts w:ascii="Arial" w:hAnsi="Arial"/>
                <w:b/>
                <w:color w:val="FFFFFF"/>
                <w:sz w:val="17"/>
              </w:rPr>
              <w:t>System rule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Purpose limitation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Every collection/use/share/export maps to an approved purpose code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Data minimisation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Collect only fields/evidence needed for the decision or obligation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Transparency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Layered notice states data, purpose, recipients, retention and rights route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Accuracy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Allow governed correction without rewriting historical decisions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Storage limitation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Retention engine applies trigger-based schedules and holds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Security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Controls are proportional to classification, threat and event context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Accountability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Decision, approval, access and deletion evidence is retained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Fairness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No hidden punitive ranking or sensitive inference from training data</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Human review</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Material AI-supported decisions remain reviewable by authorised humans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Children/vulnerable persons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Do not process unless specifically approved with enhanced safeguards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CONSENT DISCIPLINE</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Consent is used only where it is a valid, freely given and withdrawable basis. Mandatory employment/training processing must not be disguised as optional consent; the correct approved basis and notice must be recorded.</w:t>
            </w:r>
          </w:p>
        </w:tc>
      </w:tr>
    </w:tbl>
    <w:p>
      <w:r>
        <w:br w:type="page"/>
      </w:r>
    </w:p>
    <w:p>
      <w:pPr>
        <w:pStyle w:val="Heading1"/>
      </w:pPr>
      <w:r>
        <w:t>6. Identity, authentication and session security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Control</w:t>
            </w:r>
          </w:p>
        </w:tc>
        <w:tc>
          <w:tcPr>
            <w:tcW w:type="dxa" w:w="7460"/>
            <w:shd w:fill="10243E"/>
            <w:tcMar>
              <w:top w:w="70" w:type="dxa"/>
              <w:start w:w="105" w:type="dxa"/>
              <w:bottom w:w="70" w:type="dxa"/>
              <w:end w:w="105" w:type="dxa"/>
            </w:tcMar>
          </w:tcPr>
          <w:p>
            <w:r>
              <w:rPr>
                <w:rFonts w:ascii="Arial" w:hAnsi="Arial"/>
                <w:b/>
                <w:color w:val="FFFFFF"/>
                <w:sz w:val="17"/>
              </w:rPr>
              <w:t>Requirement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Identity proofing</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Risk-based verification before privileged or certificate-affecting access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Sign-in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Approved passwordless or strong password controls; anti-enumeration and throttling</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MFA</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Mandatory for administrators, assessors, reviewers, CEO/governance and restricted access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Session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Secure, HttpOnly, SameSite cookies/tokens; rotation; inactivity and absolute expiry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Reauthentication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Required for export, role grant, publication, certificate status, purge and break-glass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Device/session view</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User may review and revoke sessions where appropriate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Recovery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Verified, rate-limited and audited; support cannot bypass identity controls silently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Service identity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Non-interactive, narrow scope, rotation, named owner and no shared human account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Privileged workstation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Managed/approved posture for question bank, bulk export and security operations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Offboarding</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Immediate disable, token/key revocation and queue/delegation reassignment</w:t>
            </w:r>
          </w:p>
        </w:tc>
      </w:tr>
    </w:tbl>
    <w:p>
      <w:r>
        <w:br w:type="page"/>
      </w:r>
    </w:p>
    <w:p>
      <w:pPr>
        <w:pStyle w:val="Heading1"/>
      </w:pPr>
      <w:r>
        <w:t>7. Authorisation and least privilege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Attribute</w:t>
            </w:r>
          </w:p>
        </w:tc>
        <w:tc>
          <w:tcPr>
            <w:tcW w:type="dxa" w:w="7460"/>
            <w:shd w:fill="10243E"/>
            <w:tcMar>
              <w:top w:w="70" w:type="dxa"/>
              <w:start w:w="105" w:type="dxa"/>
              <w:bottom w:w="70" w:type="dxa"/>
              <w:end w:w="105" w:type="dxa"/>
            </w:tcMar>
          </w:tcPr>
          <w:p>
            <w:r>
              <w:rPr>
                <w:rFonts w:ascii="Arial" w:hAnsi="Arial"/>
                <w:b/>
                <w:color w:val="FFFFFF"/>
                <w:sz w:val="17"/>
              </w:rPr>
              <w:t>Enforcement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Role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Learner, manager, assessor, author, reviewer, administrator, CEO/governance or service role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Organisation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organisation_id must match an authorised tenant scope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Relationship</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Self, direct team, assigned learner/case/review/domain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Event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event_id plus active assignment, role, zone/package and need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Purpose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Declared learning, assessment, audit, support, governance or integration purpose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Time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Grant, assignment, event and session validity window</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Object state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Draft/review/published/frozen/held status permits the requested action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Classification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Additional grant/step-up/dual control for restricted classes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Conflict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No self-assessment, self-approval or conflicted appeal/review</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Decision authority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Recommendation, approval, publication and execution remain separate</w:t>
            </w:r>
          </w:p>
        </w:tc>
      </w:tr>
    </w:tbl>
    <w:p>
      <w:pPr>
        <w:pStyle w:val="ListBullet"/>
        <w:spacing w:after="60"/>
        <w:ind w:left="547" w:hanging="274"/>
      </w:pPr>
      <w:r>
        <w:t>Deny by default; unknown or stale attributes fail closed.</w:t>
      </w:r>
    </w:p>
    <w:p>
      <w:pPr>
        <w:pStyle w:val="ListBullet"/>
        <w:spacing w:after="60"/>
        <w:ind w:left="547" w:hanging="274"/>
      </w:pPr>
      <w:r>
        <w:t>API and data layer enforce access; frontend hiding is not security.</w:t>
      </w:r>
    </w:p>
    <w:p>
      <w:pPr>
        <w:pStyle w:val="ListBullet"/>
        <w:spacing w:after="60"/>
        <w:ind w:left="547" w:hanging="274"/>
      </w:pPr>
      <w:r>
        <w:t>Role switching is explicit and the active organisation/event/purpose remains visible.</w:t>
      </w:r>
    </w:p>
    <w:p>
      <w:pPr>
        <w:pStyle w:val="ListBullet"/>
        <w:spacing w:after="60"/>
        <w:ind w:left="547" w:hanging="274"/>
      </w:pPr>
      <w:r>
        <w:t>Quarterly privileged review, event-close access review and immediate role-change reconciliation are mandatory.</w:t>
      </w:r>
    </w:p>
    <w:p>
      <w:r>
        <w:br w:type="page"/>
      </w:r>
    </w:p>
    <w:p>
      <w:pPr>
        <w:pStyle w:val="Heading1"/>
      </w:pPr>
      <w:r>
        <w:t>8. Personal-data collection and profile handling</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Data</w:t>
            </w:r>
          </w:p>
        </w:tc>
        <w:tc>
          <w:tcPr>
            <w:tcW w:type="dxa" w:w="7310"/>
            <w:shd w:fill="10243E"/>
            <w:tcMar>
              <w:top w:w="70" w:type="dxa"/>
              <w:start w:w="105" w:type="dxa"/>
              <w:bottom w:w="70" w:type="dxa"/>
              <w:end w:w="105" w:type="dxa"/>
            </w:tcMar>
          </w:tcPr>
          <w:p>
            <w:r>
              <w:rPr>
                <w:rFonts w:ascii="Arial" w:hAnsi="Arial"/>
                <w:b/>
                <w:color w:val="FFFFFF"/>
                <w:sz w:val="17"/>
              </w:rPr>
              <w:t>Collection / display rule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Name and verified identity</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Collect verified identity needed to bind evidence; separate editable display name</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Contact details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Use minimum channels needed for enrolment/security/alerts; never expose team-wide by default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Role/employment link</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Receive from approved authority; learner cannot self-promote</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Accessibility/accommodation</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Collect only necessary adjustment; restrict reason; show assessor only implementation need</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Location/timezone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Use event/organisation context or coarse preference; avoid continuous tracking</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Profile image</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Optional unless justified; do not infer identity/biometrics silently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Emergency/next-of-kin</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Not an Academy default; Event OS/HR owns where operationally required</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Free text/uploads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Warn against unnecessary personal/event data; scan/classify/restrict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Identifiers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Use stable internal IDs; avoid exposing sensitive government identifiers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Analytics identity</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Pseudonymise/minimise; separate operational and analytical keys where practical</w:t>
            </w:r>
          </w:p>
        </w:tc>
      </w:tr>
    </w:tbl>
    <w:p>
      <w:r>
        <w:br w:type="page"/>
      </w:r>
    </w:p>
    <w:p>
      <w:pPr>
        <w:pStyle w:val="Heading1"/>
      </w:pPr>
      <w:r>
        <w:t>9. Assessment integrity and secrecy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Asset / stage</w:t>
            </w:r>
          </w:p>
        </w:tc>
        <w:tc>
          <w:tcPr>
            <w:tcW w:type="dxa" w:w="7460"/>
            <w:shd w:fill="10243E"/>
            <w:tcMar>
              <w:top w:w="70" w:type="dxa"/>
              <w:start w:w="105" w:type="dxa"/>
              <w:bottom w:w="70" w:type="dxa"/>
              <w:end w:w="105" w:type="dxa"/>
            </w:tcMar>
          </w:tcPr>
          <w:p>
            <w:r>
              <w:rPr>
                <w:rFonts w:ascii="Arial" w:hAnsi="Arial"/>
                <w:b/>
                <w:color w:val="FFFFFF"/>
                <w:sz w:val="17"/>
              </w:rPr>
              <w:t>Control</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Question bank</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Restricted vault; item-level access; encryption; exposure and download audit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Authoring/review</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Separated roles, conflict declarations, protected preview and no broad copy/export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Form assembly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Immutable exact item/rubric versions; randomisation rules and secure release window</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Attempt start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Freeze form, policy, accommodations and identity context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In progress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Autosave append/version safely; protect tokens; do not expose correctness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Submission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Append-only final response/receipt; trusted server time and idempotency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Manual evidence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Assigned assessor only; provenance, chain of custody, rationale and moderation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Scoring</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Versioned key/rubric/algorithm; critical-failure override; no discretionary database edit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Results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Release only approved feedback; managers receive safe outcome/blocker</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Retake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Fresh immutable attempt; prior attempts retained under schedule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Irregularity/leakage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Hold new starts/results as proportionate; investigate; governed void/replacement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Disposal</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Keys/evidence disposed by separate schedules and active-dependency checks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IMMUTABILITY</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No user—including an administrator or CEO—may rewrite submitted responses, frozen forms, assessor evidence, scoring history or audit events. Corrections and status actions are appended with authority and reason.</w:t>
            </w:r>
          </w:p>
        </w:tc>
      </w:tr>
    </w:tbl>
    <w:p>
      <w:r>
        <w:br w:type="page"/>
      </w:r>
    </w:p>
    <w:p>
      <w:pPr>
        <w:pStyle w:val="Heading1"/>
      </w:pPr>
      <w:r>
        <w:t>10. Sensitive event information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Control</w:t>
            </w:r>
          </w:p>
        </w:tc>
        <w:tc>
          <w:tcPr>
            <w:tcW w:type="dxa" w:w="7460"/>
            <w:shd w:fill="10243E"/>
            <w:tcMar>
              <w:top w:w="70" w:type="dxa"/>
              <w:start w:w="105" w:type="dxa"/>
              <w:bottom w:w="70" w:type="dxa"/>
              <w:end w:w="105" w:type="dxa"/>
            </w:tcMar>
          </w:tcPr>
          <w:p>
            <w:r>
              <w:rPr>
                <w:rFonts w:ascii="Arial" w:hAnsi="Arial"/>
                <w:b/>
                <w:color w:val="FFFFFF"/>
                <w:sz w:val="17"/>
              </w:rPr>
              <w:t>Requirement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Ownership</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Event OS owns event, guest, venue, roster, credential and operational truth</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Ingest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Academy receives only approved role-filtered facts required for training/readiness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Scope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organisation_id, event_id, assignment/role, package version, purpose and validity window</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Display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Minimum facts for learner role; principals, risks and locations revealed only when necessary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Notifications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Generic action and secure link; no sensitive event detail in SMS/email/WhatsApp</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Offline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Allow-listed, encrypted, expiring package; remote wipe/revocation where feasible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Change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Material package version makes only affected readiness evidence Stale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Export/print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Disabled by default; explicit approval, watermark, expiry and audit where permitted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Closure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Remove event-scoped access and cached data; retain only approved evidence/minimised history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Promotion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Event facts never become durable Academy doctrine without content governance/equivalence</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BIOMETRIC BOUNDARY</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Facial-recognition or check-in biometric templates belong to the Event OS capability, not the Academy. The Academy may store training/authorisation evidence for staff use of that capability, but not guest biometric templates unless separately and explicitly governed.</w:t>
            </w:r>
          </w:p>
        </w:tc>
      </w:tr>
    </w:tbl>
    <w:p>
      <w:r>
        <w:br w:type="page"/>
      </w:r>
    </w:p>
    <w:p>
      <w:pPr>
        <w:pStyle w:val="Heading1"/>
      </w:pPr>
      <w:r>
        <w:t>11. Academy-Event OS data exchange</w:t>
      </w:r>
    </w:p>
    <w:tbl>
      <w:tblPr>
        <w:tblStyle w:val="TableGrid"/>
        <w:tblW w:type="dxa" w:w="9360"/>
        <w:jc w:val="left"/>
        <w:tblLayout w:type="fixed"/>
        <w:tblLook w:firstColumn="1" w:firstRow="1" w:lastColumn="0" w:lastRow="0" w:noHBand="0" w:noVBand="1" w:val="04A0"/>
        <w:tblInd w:w="120" w:type="dxa"/>
      </w:tblPr>
      <w:tblGrid>
        <w:gridCol w:w="1650"/>
        <w:gridCol w:w="3880"/>
        <w:gridCol w:w="3830"/>
      </w:tblGrid>
      <w:tr>
        <w:tc>
          <w:tcPr>
            <w:tcW w:type="dxa" w:w="1650"/>
            <w:shd w:fill="10243E"/>
            <w:tcMar>
              <w:top w:w="70" w:type="dxa"/>
              <w:start w:w="105" w:type="dxa"/>
              <w:bottom w:w="70" w:type="dxa"/>
              <w:end w:w="105" w:type="dxa"/>
            </w:tcMar>
          </w:tcPr>
          <w:p>
            <w:r>
              <w:rPr>
                <w:rFonts w:ascii="Arial" w:hAnsi="Arial"/>
                <w:b/>
                <w:color w:val="FFFFFF"/>
                <w:sz w:val="17"/>
              </w:rPr>
              <w:t>Direction</w:t>
            </w:r>
          </w:p>
        </w:tc>
        <w:tc>
          <w:tcPr>
            <w:tcW w:type="dxa" w:w="3880"/>
            <w:shd w:fill="10243E"/>
            <w:tcMar>
              <w:top w:w="70" w:type="dxa"/>
              <w:start w:w="105" w:type="dxa"/>
              <w:bottom w:w="70" w:type="dxa"/>
              <w:end w:w="105" w:type="dxa"/>
            </w:tcMar>
          </w:tcPr>
          <w:p>
            <w:r>
              <w:rPr>
                <w:rFonts w:ascii="Arial" w:hAnsi="Arial"/>
                <w:b/>
                <w:color w:val="FFFFFF"/>
                <w:sz w:val="17"/>
              </w:rPr>
              <w:t>Permitted minimum</w:t>
            </w:r>
          </w:p>
        </w:tc>
        <w:tc>
          <w:tcPr>
            <w:tcW w:type="dxa" w:w="3830"/>
            <w:shd w:fill="10243E"/>
            <w:tcMar>
              <w:top w:w="70" w:type="dxa"/>
              <w:start w:w="105" w:type="dxa"/>
              <w:bottom w:w="70" w:type="dxa"/>
              <w:end w:w="105" w:type="dxa"/>
            </w:tcMar>
          </w:tcPr>
          <w:p>
            <w:r>
              <w:rPr>
                <w:rFonts w:ascii="Arial" w:hAnsi="Arial"/>
                <w:b/>
                <w:color w:val="FFFFFF"/>
                <w:sz w:val="17"/>
              </w:rPr>
              <w:t>Excluded</w:t>
            </w:r>
          </w:p>
        </w:tc>
      </w:tr>
      <w:tr>
        <w:tc>
          <w:tcPr>
            <w:tcW w:type="dxa" w:w="1650"/>
            <w:shd w:fill="FFFFFF"/>
            <w:vAlign w:val="top"/>
            <w:tcMar>
              <w:top w:w="70" w:type="dxa"/>
              <w:start w:w="105" w:type="dxa"/>
              <w:bottom w:w="70" w:type="dxa"/>
              <w:end w:w="105" w:type="dxa"/>
            </w:tcMar>
          </w:tcPr>
          <w:p>
            <w:pPr>
              <w:spacing w:after="20" w:line="240" w:lineRule="auto"/>
            </w:pPr>
            <w:r>
              <w:rPr>
                <w:rFonts w:ascii="Arial" w:hAnsi="Arial"/>
                <w:color w:val="172033"/>
                <w:sz w:val="16"/>
              </w:rPr>
              <w:t>OS -&gt; Academy</w:t>
            </w:r>
          </w:p>
        </w:tc>
        <w:tc>
          <w:tcPr>
            <w:tcW w:type="dxa" w:w="3880"/>
            <w:shd w:fill="FFFFFF"/>
            <w:vAlign w:val="top"/>
            <w:tcMar>
              <w:top w:w="70" w:type="dxa"/>
              <w:start w:w="105" w:type="dxa"/>
              <w:bottom w:w="70" w:type="dxa"/>
              <w:end w:w="105" w:type="dxa"/>
            </w:tcMar>
          </w:tcPr>
          <w:p>
            <w:pPr>
              <w:spacing w:after="20" w:line="240" w:lineRule="auto"/>
            </w:pPr>
            <w:r>
              <w:rPr>
                <w:rFonts w:ascii="Arial" w:hAnsi="Arial"/>
                <w:color w:val="172033"/>
                <w:sz w:val="16"/>
              </w:rPr>
              <w:t>Organisation/event/person/assignment/role/package/version/effective facts needed for training</w:t>
            </w:r>
          </w:p>
        </w:tc>
        <w:tc>
          <w:tcPr>
            <w:tcW w:type="dxa" w:w="3830"/>
            <w:shd w:fill="FFFFFF"/>
            <w:vAlign w:val="top"/>
            <w:tcMar>
              <w:top w:w="70" w:type="dxa"/>
              <w:start w:w="105" w:type="dxa"/>
              <w:bottom w:w="70" w:type="dxa"/>
              <w:end w:w="105" w:type="dxa"/>
            </w:tcMar>
          </w:tcPr>
          <w:p>
            <w:pPr>
              <w:spacing w:after="20" w:line="240" w:lineRule="auto"/>
            </w:pPr>
            <w:r>
              <w:rPr>
                <w:rFonts w:ascii="Arial" w:hAnsi="Arial"/>
                <w:color w:val="172033"/>
                <w:sz w:val="16"/>
              </w:rPr>
              <w:t>Unnecessary guest lists, seating, biometrics, credentials or incident detail</w:t>
            </w:r>
          </w:p>
        </w:tc>
      </w:tr>
      <w:tr>
        <w:tc>
          <w:tcPr>
            <w:tcW w:type="dxa" w:w="1650"/>
            <w:shd w:fill="F6F7F9"/>
            <w:vAlign w:val="top"/>
            <w:tcMar>
              <w:top w:w="70" w:type="dxa"/>
              <w:start w:w="105" w:type="dxa"/>
              <w:bottom w:w="70" w:type="dxa"/>
              <w:end w:w="105" w:type="dxa"/>
            </w:tcMar>
          </w:tcPr>
          <w:p>
            <w:pPr>
              <w:spacing w:after="20" w:line="240" w:lineRule="auto"/>
            </w:pPr>
            <w:r>
              <w:rPr>
                <w:rFonts w:ascii="Arial" w:hAnsi="Arial"/>
                <w:color w:val="172033"/>
                <w:sz w:val="16"/>
              </w:rPr>
              <w:t>Academy -&gt; OS</w:t>
            </w:r>
          </w:p>
        </w:tc>
        <w:tc>
          <w:tcPr>
            <w:tcW w:type="dxa" w:w="3880"/>
            <w:shd w:fill="F6F7F9"/>
            <w:vAlign w:val="top"/>
            <w:tcMar>
              <w:top w:w="70" w:type="dxa"/>
              <w:start w:w="105" w:type="dxa"/>
              <w:bottom w:w="70" w:type="dxa"/>
              <w:end w:w="105" w:type="dxa"/>
            </w:tcMar>
          </w:tcPr>
          <w:p>
            <w:pPr>
              <w:spacing w:after="20" w:line="240" w:lineRule="auto"/>
            </w:pPr>
            <w:r>
              <w:rPr>
                <w:rFonts w:ascii="Arial" w:hAnsi="Arial"/>
                <w:color w:val="172033"/>
                <w:sz w:val="16"/>
              </w:rPr>
              <w:t>Certificate/readiness status, scope reference, effective/expiry, safe blocker code and freshness</w:t>
            </w:r>
          </w:p>
        </w:tc>
        <w:tc>
          <w:tcPr>
            <w:tcW w:type="dxa" w:w="3830"/>
            <w:shd w:fill="F6F7F9"/>
            <w:vAlign w:val="top"/>
            <w:tcMar>
              <w:top w:w="70" w:type="dxa"/>
              <w:start w:w="105" w:type="dxa"/>
              <w:bottom w:w="70" w:type="dxa"/>
              <w:end w:w="105" w:type="dxa"/>
            </w:tcMar>
          </w:tcPr>
          <w:p>
            <w:pPr>
              <w:spacing w:after="20" w:line="240" w:lineRule="auto"/>
            </w:pPr>
            <w:r>
              <w:rPr>
                <w:rFonts w:ascii="Arial" w:hAnsi="Arial"/>
                <w:color w:val="172033"/>
                <w:sz w:val="16"/>
              </w:rPr>
              <w:t>Question keys, raw responses, assessor notes, private cases or accommodations</w:t>
            </w:r>
          </w:p>
        </w:tc>
      </w:tr>
      <w:tr>
        <w:tc>
          <w:tcPr>
            <w:tcW w:type="dxa" w:w="1650"/>
            <w:shd w:fill="FFFFFF"/>
            <w:vAlign w:val="top"/>
            <w:tcMar>
              <w:top w:w="70" w:type="dxa"/>
              <w:start w:w="105" w:type="dxa"/>
              <w:bottom w:w="70" w:type="dxa"/>
              <w:end w:w="105" w:type="dxa"/>
            </w:tcMar>
          </w:tcPr>
          <w:p>
            <w:pPr>
              <w:spacing w:after="20" w:line="240" w:lineRule="auto"/>
            </w:pPr>
            <w:r>
              <w:rPr>
                <w:rFonts w:ascii="Arial" w:hAnsi="Arial"/>
                <w:color w:val="172033"/>
                <w:sz w:val="16"/>
              </w:rPr>
              <w:t>OS -&gt; Academy incident trigger</w:t>
            </w:r>
          </w:p>
        </w:tc>
        <w:tc>
          <w:tcPr>
            <w:tcW w:type="dxa" w:w="3880"/>
            <w:shd w:fill="FFFFFF"/>
            <w:vAlign w:val="top"/>
            <w:tcMar>
              <w:top w:w="70" w:type="dxa"/>
              <w:start w:w="105" w:type="dxa"/>
              <w:bottom w:w="70" w:type="dxa"/>
              <w:end w:w="105" w:type="dxa"/>
            </w:tcMar>
          </w:tcPr>
          <w:p>
            <w:pPr>
              <w:spacing w:after="20" w:line="240" w:lineRule="auto"/>
            </w:pPr>
            <w:r>
              <w:rPr>
                <w:rFonts w:ascii="Arial" w:hAnsi="Arial"/>
                <w:color w:val="172033"/>
                <w:sz w:val="16"/>
              </w:rPr>
              <w:t>Approved category and affected scope needed for learning review</w:t>
            </w:r>
          </w:p>
        </w:tc>
        <w:tc>
          <w:tcPr>
            <w:tcW w:type="dxa" w:w="3830"/>
            <w:shd w:fill="FFFFFF"/>
            <w:vAlign w:val="top"/>
            <w:tcMar>
              <w:top w:w="70" w:type="dxa"/>
              <w:start w:w="105" w:type="dxa"/>
              <w:bottom w:w="70" w:type="dxa"/>
              <w:end w:w="105" w:type="dxa"/>
            </w:tcMar>
          </w:tcPr>
          <w:p>
            <w:pPr>
              <w:spacing w:after="20" w:line="240" w:lineRule="auto"/>
            </w:pPr>
            <w:r>
              <w:rPr>
                <w:rFonts w:ascii="Arial" w:hAnsi="Arial"/>
                <w:color w:val="172033"/>
                <w:sz w:val="16"/>
              </w:rPr>
              <w:t>Unsupported blame or unrestricted operational record</w:t>
            </w:r>
          </w:p>
        </w:tc>
      </w:tr>
      <w:tr>
        <w:tc>
          <w:tcPr>
            <w:tcW w:type="dxa" w:w="1650"/>
            <w:shd w:fill="F6F7F9"/>
            <w:vAlign w:val="top"/>
            <w:tcMar>
              <w:top w:w="70" w:type="dxa"/>
              <w:start w:w="105" w:type="dxa"/>
              <w:bottom w:w="70" w:type="dxa"/>
              <w:end w:w="105" w:type="dxa"/>
            </w:tcMar>
          </w:tcPr>
          <w:p>
            <w:pPr>
              <w:spacing w:after="20" w:line="240" w:lineRule="auto"/>
            </w:pPr>
            <w:r>
              <w:rPr>
                <w:rFonts w:ascii="Arial" w:hAnsi="Arial"/>
                <w:color w:val="172033"/>
                <w:sz w:val="16"/>
              </w:rPr>
              <w:t>Academy -&gt; OS status action</w:t>
            </w:r>
          </w:p>
        </w:tc>
        <w:tc>
          <w:tcPr>
            <w:tcW w:type="dxa" w:w="3880"/>
            <w:shd w:fill="F6F7F9"/>
            <w:vAlign w:val="top"/>
            <w:tcMar>
              <w:top w:w="70" w:type="dxa"/>
              <w:start w:w="105" w:type="dxa"/>
              <w:bottom w:w="70" w:type="dxa"/>
              <w:end w:w="105" w:type="dxa"/>
            </w:tcMar>
          </w:tcPr>
          <w:p>
            <w:pPr>
              <w:spacing w:after="20" w:line="240" w:lineRule="auto"/>
            </w:pPr>
            <w:r>
              <w:rPr>
                <w:rFonts w:ascii="Arial" w:hAnsi="Arial"/>
                <w:color w:val="172033"/>
                <w:sz w:val="16"/>
              </w:rPr>
              <w:t>Suspension/revocation/readiness impact and affected assignment reference</w:t>
            </w:r>
          </w:p>
        </w:tc>
        <w:tc>
          <w:tcPr>
            <w:tcW w:type="dxa" w:w="3830"/>
            <w:shd w:fill="F6F7F9"/>
            <w:vAlign w:val="top"/>
            <w:tcMar>
              <w:top w:w="70" w:type="dxa"/>
              <w:start w:w="105" w:type="dxa"/>
              <w:bottom w:w="70" w:type="dxa"/>
              <w:end w:w="105" w:type="dxa"/>
            </w:tcMar>
          </w:tcPr>
          <w:p>
            <w:pPr>
              <w:spacing w:after="20" w:line="240" w:lineRule="auto"/>
            </w:pPr>
            <w:r>
              <w:rPr>
                <w:rFonts w:ascii="Arial" w:hAnsi="Arial"/>
                <w:color w:val="172033"/>
                <w:sz w:val="16"/>
              </w:rPr>
              <w:t>Underlying private evidence unless separate authorised need exists</w:t>
            </w:r>
          </w:p>
        </w:tc>
      </w:tr>
    </w:tbl>
    <w:p>
      <w:pPr>
        <w:pStyle w:val="ListBullet"/>
        <w:spacing w:after="60"/>
        <w:ind w:left="547" w:hanging="274"/>
      </w:pPr>
      <w:r>
        <w:t>Messages are authenticated, encrypted, signed/checksummed where specified, idempotent and ordered or conflict-detectable.</w:t>
      </w:r>
    </w:p>
    <w:p>
      <w:pPr>
        <w:pStyle w:val="ListBullet"/>
        <w:spacing w:after="60"/>
        <w:ind w:left="547" w:hanging="274"/>
      </w:pPr>
      <w:r>
        <w:t>Each system keeps provenance, purpose, version, receipt and reconciliation result.</w:t>
      </w:r>
    </w:p>
    <w:p>
      <w:pPr>
        <w:pStyle w:val="ListBullet"/>
        <w:spacing w:after="60"/>
        <w:ind w:left="547" w:hanging="274"/>
      </w:pPr>
      <w:r>
        <w:t>Unknown identity/event/version references fail safely.</w:t>
      </w:r>
    </w:p>
    <w:p>
      <w:pPr>
        <w:pStyle w:val="ListBullet"/>
        <w:spacing w:after="60"/>
        <w:ind w:left="547" w:hanging="274"/>
      </w:pPr>
      <w:r>
        <w:t>External projections use minimum fields and do not become independent uncontrolled truth.</w:t>
      </w:r>
    </w:p>
    <w:p>
      <w:r>
        <w:br w:type="page"/>
      </w:r>
    </w:p>
    <w:p>
      <w:pPr>
        <w:pStyle w:val="Heading1"/>
      </w:pPr>
      <w:r>
        <w:t>12. Encryption and key management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Area</w:t>
            </w:r>
          </w:p>
        </w:tc>
        <w:tc>
          <w:tcPr>
            <w:tcW w:type="dxa" w:w="7460"/>
            <w:shd w:fill="10243E"/>
            <w:tcMar>
              <w:top w:w="70" w:type="dxa"/>
              <w:start w:w="105" w:type="dxa"/>
              <w:bottom w:w="70" w:type="dxa"/>
              <w:end w:w="105" w:type="dxa"/>
            </w:tcMar>
          </w:tcPr>
          <w:p>
            <w:r>
              <w:rPr>
                <w:rFonts w:ascii="Arial" w:hAnsi="Arial"/>
                <w:b/>
                <w:color w:val="FFFFFF"/>
                <w:sz w:val="17"/>
              </w:rPr>
              <w:t>Minimum control</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In transit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Modern authenticated TLS for browser, service and vendor connections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At rest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Managed encryption for databases, object storage, backups and approved offline stores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Field/column protection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Additional encryption/tokenisation for secrets and designated highly sensitive fields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Keys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Managed key service/secret manager; no source code, tickets, chat or ordinary configuration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Separation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Production and non-production keys/data separated; duties divided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Rotation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Risk-based scheduled and incident-triggered rotation; versioned key references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Access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Narrow service identity; privileged use audited; emergency access time-bound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Backup keys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Recoverable under dual control without making deletion impossible indefinitely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Revocation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Compromised credentials/keys revoked and dependent services reconciled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Evidence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Configuration, rotation, restore and access tests retained</w:t>
            </w:r>
          </w:p>
        </w:tc>
      </w:tr>
    </w:tbl>
    <w:p>
      <w:r>
        <w:br w:type="page"/>
      </w:r>
    </w:p>
    <w:p>
      <w:pPr>
        <w:pStyle w:val="Heading1"/>
      </w:pPr>
      <w:r>
        <w:t>13. Secure development and environment separation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Control</w:t>
            </w:r>
          </w:p>
        </w:tc>
        <w:tc>
          <w:tcPr>
            <w:tcW w:type="dxa" w:w="7460"/>
            <w:shd w:fill="10243E"/>
            <w:tcMar>
              <w:top w:w="70" w:type="dxa"/>
              <w:start w:w="105" w:type="dxa"/>
              <w:bottom w:w="70" w:type="dxa"/>
              <w:end w:w="105" w:type="dxa"/>
            </w:tcMar>
          </w:tcPr>
          <w:p>
            <w:r>
              <w:rPr>
                <w:rFonts w:ascii="Arial" w:hAnsi="Arial"/>
                <w:b/>
                <w:color w:val="FFFFFF"/>
                <w:sz w:val="17"/>
              </w:rPr>
              <w:t>Requirement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Environments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Separate development, test, staging and production accounts/data/secrets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Production data</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Not copied to lower environments by default; approved masked/minimised fixtures only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Source control</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No personal data, keys, raw evidence or event packages committed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Pinned/monitored; vulnerabilities triaged by severity and exposure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Code review</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Independent review for auth, cryptography, retention, export and assessment changes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Testing</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Tenant/event isolation, IDOR, privilege, injection, upload, leakage and deletion tests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Deployment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Signed/controlled builds, approvals, rollback and change audit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Feature flags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Permission-safe; disabled code cannot expose data through API/client bundle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Debugging</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Redacted logs and ticket-scoped access; no blanket database browsing</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Vulnerability intake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Documented reporting, triage, remediation and disclosure process</w:t>
            </w:r>
          </w:p>
        </w:tc>
      </w:tr>
    </w:tbl>
    <w:p>
      <w:r>
        <w:br w:type="page"/>
      </w:r>
    </w:p>
    <w:p>
      <w:pPr>
        <w:pStyle w:val="Heading1"/>
      </w:pPr>
      <w:r>
        <w:t>14. Application and API security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Threat</w:t>
            </w:r>
          </w:p>
        </w:tc>
        <w:tc>
          <w:tcPr>
            <w:tcW w:type="dxa" w:w="7460"/>
            <w:shd w:fill="10243E"/>
            <w:tcMar>
              <w:top w:w="70" w:type="dxa"/>
              <w:start w:w="105" w:type="dxa"/>
              <w:bottom w:w="70" w:type="dxa"/>
              <w:end w:w="105" w:type="dxa"/>
            </w:tcMar>
          </w:tcPr>
          <w:p>
            <w:r>
              <w:rPr>
                <w:rFonts w:ascii="Arial" w:hAnsi="Arial"/>
                <w:b/>
                <w:color w:val="FFFFFF"/>
                <w:sz w:val="17"/>
              </w:rPr>
              <w:t>Control</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Object-level access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Server checks organisation, relationship, event, purpose and state for every object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Injection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Parameterized queries, output encoding, safe templates and input validation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CSRF/session misuse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SameSite/anti-CSRF design, origin checks and secure session binding</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XSS/content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Sanitise authored rich text/media; restrictive content security policy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File upload</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Allow-list type/size, malware scanning, safe rendering and quarantined state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Mass assignment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Explicit server DTOs; never bind privilege/status/score fields from client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Rate abuse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Per identity/IP/service throttling with safe operational exceptions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Enumeration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Generic responses and protected search/counts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Replay/duplicate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Nonce/idempotency key, timestamps and signed integration events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Export abuse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Step-up, row/field preview, approval, watermark/expiry and audit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Error leakage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No stack, tenant, key, evidence or object-existence disclosure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Caching</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Private/no-store controls for restricted pages; cache key includes tenant/event/role/version</w:t>
            </w:r>
          </w:p>
        </w:tc>
      </w:tr>
    </w:tbl>
    <w:p>
      <w:r>
        <w:br w:type="page"/>
      </w:r>
    </w:p>
    <w:p>
      <w:pPr>
        <w:pStyle w:val="Heading1"/>
      </w:pPr>
      <w:r>
        <w:t>15. Frontend privacy and device controls</w:t>
      </w:r>
    </w:p>
    <w:tbl>
      <w:tblPr>
        <w:tblStyle w:val="TableGrid"/>
        <w:tblW w:type="dxa" w:w="9360"/>
        <w:jc w:val="left"/>
        <w:tblLayout w:type="fixed"/>
        <w:tblLook w:firstColumn="1" w:firstRow="1" w:lastColumn="0" w:lastRow="0" w:noHBand="0" w:noVBand="1" w:val="04A0"/>
        <w:tblInd w:w="120" w:type="dxa"/>
      </w:tblPr>
      <w:tblGrid>
        <w:gridCol w:w="1950"/>
        <w:gridCol w:w="7410"/>
      </w:tblGrid>
      <w:tr>
        <w:tc>
          <w:tcPr>
            <w:tcW w:type="dxa" w:w="1950"/>
            <w:shd w:fill="10243E"/>
            <w:tcMar>
              <w:top w:w="70" w:type="dxa"/>
              <w:start w:w="105" w:type="dxa"/>
              <w:bottom w:w="70" w:type="dxa"/>
              <w:end w:w="105" w:type="dxa"/>
            </w:tcMar>
          </w:tcPr>
          <w:p>
            <w:r>
              <w:rPr>
                <w:rFonts w:ascii="Arial" w:hAnsi="Arial"/>
                <w:b/>
                <w:color w:val="FFFFFF"/>
                <w:sz w:val="17"/>
              </w:rPr>
              <w:t>Surface</w:t>
            </w:r>
          </w:p>
        </w:tc>
        <w:tc>
          <w:tcPr>
            <w:tcW w:type="dxa" w:w="7410"/>
            <w:shd w:fill="10243E"/>
            <w:tcMar>
              <w:top w:w="70" w:type="dxa"/>
              <w:start w:w="105" w:type="dxa"/>
              <w:bottom w:w="70" w:type="dxa"/>
              <w:end w:w="105" w:type="dxa"/>
            </w:tcMar>
          </w:tcPr>
          <w:p>
            <w:r>
              <w:rPr>
                <w:rFonts w:ascii="Arial" w:hAnsi="Arial"/>
                <w:b/>
                <w:color w:val="FFFFFF"/>
                <w:sz w:val="17"/>
              </w:rPr>
              <w:t>Requirement</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URLs</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No answers, tokens, sensitive names, event details or evidence identifiers in query strings</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Browser storage</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Avoid restricted data; approved offline content encrypted, scoped and expiring</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Clipboard/download</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Restrict proportionately; label sensitivity; do not claim perfect prevention</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Screens/shared devices</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Privacy-safe timeout and reauthentication; visible active role/event scope</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Notifications</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Minimal text, redacted lock-screen preview and secure deep link</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Autocomplete</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Disabled for secrets/keys; appropriate for ordinary profile fields</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Analytics/session replay</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No keystrokes, raw answers, evidence, special-category data or restricted screens</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Error reporting</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Scrub payloads, URLs, user content and tokens</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Impersonation</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Visible persistent banner, read-limited default, reason, expiry and audit</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Accessibility</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Security controls remain keyboard/screen-reader usable and do not block approved accommodations</w:t>
            </w:r>
          </w:p>
        </w:tc>
      </w:tr>
    </w:tbl>
    <w:p>
      <w:r>
        <w:br w:type="page"/>
      </w:r>
    </w:p>
    <w:p>
      <w:pPr>
        <w:pStyle w:val="Heading1"/>
      </w:pPr>
      <w:r>
        <w:t>16. Logging, monitoring and audit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Log class</w:t>
            </w:r>
          </w:p>
        </w:tc>
        <w:tc>
          <w:tcPr>
            <w:tcW w:type="dxa" w:w="7460"/>
            <w:shd w:fill="10243E"/>
            <w:tcMar>
              <w:top w:w="70" w:type="dxa"/>
              <w:start w:w="105" w:type="dxa"/>
              <w:bottom w:w="70" w:type="dxa"/>
              <w:end w:w="105" w:type="dxa"/>
            </w:tcMar>
          </w:tcPr>
          <w:p>
            <w:r>
              <w:rPr>
                <w:rFonts w:ascii="Arial" w:hAnsi="Arial"/>
                <w:b/>
                <w:color w:val="FFFFFF"/>
                <w:sz w:val="17"/>
              </w:rPr>
              <w:t>Minimum events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Authentication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Success/failure, MFA, recovery, session issue/revoke and device risk</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Authorisation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Allow/deny for privileged/restricted actions; policy and effective attributes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Assessment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Bank access, form assembly/start/submit, evidence view, score/moderation and release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Content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Draft/review/approve/publish/suspend/supersede and hash/version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Certification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Issue, expiry, suspend, revoke, reinstate and dependency recalculation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Event readiness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Package receive/change, calculation, stale/reset and OS receipt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Administration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Role grant, export, correction, retention, purge, hold and impersonation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Security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Key/secret access, malware, anomaly, vulnerability and incident actions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Integration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Message ID/version/checksum, send/receive/retry/conflict/reconciliation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Audit access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Who searched/viewed/exported audit evidence and why</w:t>
            </w:r>
          </w:p>
        </w:tc>
      </w:tr>
    </w:tbl>
    <w:p>
      <w:pPr>
        <w:pStyle w:val="Heading2"/>
      </w:pPr>
      <w:r>
        <w:t>16.1 Audit protection</w:t>
      </w:r>
    </w:p>
    <w:p>
      <w:pPr>
        <w:pStyle w:val="ListBullet"/>
        <w:spacing w:after="60"/>
        <w:ind w:left="547" w:hanging="274"/>
      </w:pPr>
      <w:r>
        <w:t>Append-only/tamper-evident design with restricted write path and independent monitoring.</w:t>
      </w:r>
    </w:p>
    <w:p>
      <w:pPr>
        <w:pStyle w:val="ListBullet"/>
        <w:spacing w:after="60"/>
        <w:ind w:left="547" w:hanging="274"/>
      </w:pPr>
      <w:r>
        <w:t>Trusted UTC time plus organisation/event timezone for presentation.</w:t>
      </w:r>
    </w:p>
    <w:p>
      <w:pPr>
        <w:pStyle w:val="ListBullet"/>
        <w:spacing w:after="60"/>
        <w:ind w:left="547" w:hanging="274"/>
      </w:pPr>
      <w:r>
        <w:t>Correlation ID links request, job, integration, approval and result.</w:t>
      </w:r>
    </w:p>
    <w:p>
      <w:pPr>
        <w:pStyle w:val="ListBullet"/>
        <w:spacing w:after="60"/>
        <w:ind w:left="547" w:hanging="274"/>
      </w:pPr>
      <w:r>
        <w:t>No secrets, full answer text or unnecessary sensitive payloads in logs.</w:t>
      </w:r>
    </w:p>
    <w:p>
      <w:pPr>
        <w:pStyle w:val="ListBullet"/>
        <w:spacing w:after="60"/>
        <w:ind w:left="547" w:hanging="274"/>
      </w:pPr>
      <w:r>
        <w:t>Retention and access differ by log purpose; audit access is itself audited.</w:t>
      </w:r>
    </w:p>
    <w:p>
      <w:r>
        <w:br w:type="page"/>
      </w:r>
    </w:p>
    <w:p>
      <w:pPr>
        <w:pStyle w:val="Heading1"/>
      </w:pPr>
      <w:r>
        <w:t>17. Security monitoring and alerting</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shd w:fill="10243E"/>
            <w:tcMar>
              <w:top w:w="70" w:type="dxa"/>
              <w:start w:w="105" w:type="dxa"/>
              <w:bottom w:w="70" w:type="dxa"/>
              <w:end w:w="105" w:type="dxa"/>
            </w:tcMar>
          </w:tcPr>
          <w:p>
            <w:r>
              <w:rPr>
                <w:rFonts w:ascii="Arial" w:hAnsi="Arial"/>
                <w:b/>
                <w:color w:val="FFFFFF"/>
                <w:sz w:val="17"/>
              </w:rPr>
              <w:t>Signal</w:t>
            </w:r>
          </w:p>
        </w:tc>
        <w:tc>
          <w:tcPr>
            <w:tcW w:type="dxa" w:w="7060"/>
            <w:shd w:fill="10243E"/>
            <w:tcMar>
              <w:top w:w="70" w:type="dxa"/>
              <w:start w:w="105" w:type="dxa"/>
              <w:bottom w:w="70" w:type="dxa"/>
              <w:end w:w="105" w:type="dxa"/>
            </w:tcMar>
          </w:tcPr>
          <w:p>
            <w:r>
              <w:rPr>
                <w:rFonts w:ascii="Arial" w:hAnsi="Arial"/>
                <w:b/>
                <w:color w:val="FFFFFF"/>
                <w:sz w:val="17"/>
              </w:rPr>
              <w:t>Required response</w:t>
            </w:r>
          </w:p>
        </w:tc>
      </w:tr>
      <w:tr>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6"/>
              </w:rPr>
              <w:t>Repeated authentication/recovery failure</w:t>
            </w:r>
          </w:p>
        </w:tc>
        <w:tc>
          <w:tcPr>
            <w:tcW w:type="dxa" w:w="7060"/>
            <w:shd w:fill="FFFFFF"/>
            <w:vAlign w:val="top"/>
            <w:tcMar>
              <w:top w:w="70" w:type="dxa"/>
              <w:start w:w="105" w:type="dxa"/>
              <w:bottom w:w="70" w:type="dxa"/>
              <w:end w:w="105" w:type="dxa"/>
            </w:tcMar>
          </w:tcPr>
          <w:p>
            <w:pPr>
              <w:spacing w:after="20" w:line="240" w:lineRule="auto"/>
            </w:pPr>
            <w:r>
              <w:rPr>
                <w:rFonts w:ascii="Arial" w:hAnsi="Arial"/>
                <w:color w:val="172033"/>
                <w:sz w:val="16"/>
              </w:rPr>
              <w:t>Throttle, risk-check and alert without enabling enumeration</w:t>
            </w:r>
          </w:p>
        </w:tc>
      </w:tr>
      <w:tr>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6"/>
              </w:rPr>
              <w:t>Privilege escalation/self-approval attempt</w:t>
            </w:r>
          </w:p>
        </w:tc>
        <w:tc>
          <w:tcPr>
            <w:tcW w:type="dxa" w:w="7060"/>
            <w:shd w:fill="F6F7F9"/>
            <w:vAlign w:val="top"/>
            <w:tcMar>
              <w:top w:w="70" w:type="dxa"/>
              <w:start w:w="105" w:type="dxa"/>
              <w:bottom w:w="70" w:type="dxa"/>
              <w:end w:w="105" w:type="dxa"/>
            </w:tcMar>
          </w:tcPr>
          <w:p>
            <w:pPr>
              <w:spacing w:after="20" w:line="240" w:lineRule="auto"/>
            </w:pPr>
            <w:r>
              <w:rPr>
                <w:rFonts w:ascii="Arial" w:hAnsi="Arial"/>
                <w:color w:val="172033"/>
                <w:sz w:val="16"/>
              </w:rPr>
              <w:t>Block and notify security/governance</w:t>
            </w:r>
          </w:p>
        </w:tc>
      </w:tr>
      <w:tr>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6"/>
              </w:rPr>
              <w:t>Question-bank bulk access/export</w:t>
            </w:r>
          </w:p>
        </w:tc>
        <w:tc>
          <w:tcPr>
            <w:tcW w:type="dxa" w:w="7060"/>
            <w:shd w:fill="FFFFFF"/>
            <w:vAlign w:val="top"/>
            <w:tcMar>
              <w:top w:w="70" w:type="dxa"/>
              <w:start w:w="105" w:type="dxa"/>
              <w:bottom w:w="70" w:type="dxa"/>
              <w:end w:w="105" w:type="dxa"/>
            </w:tcMar>
          </w:tcPr>
          <w:p>
            <w:pPr>
              <w:spacing w:after="20" w:line="240" w:lineRule="auto"/>
            </w:pPr>
            <w:r>
              <w:rPr>
                <w:rFonts w:ascii="Arial" w:hAnsi="Arial"/>
                <w:color w:val="172033"/>
                <w:sz w:val="16"/>
              </w:rPr>
              <w:t>Step-up/dual control; anomaly review</w:t>
            </w:r>
          </w:p>
        </w:tc>
      </w:tr>
      <w:tr>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6"/>
              </w:rPr>
              <w:t>Unusual raw evidence access</w:t>
            </w:r>
          </w:p>
        </w:tc>
        <w:tc>
          <w:tcPr>
            <w:tcW w:type="dxa" w:w="7060"/>
            <w:shd w:fill="F6F7F9"/>
            <w:vAlign w:val="top"/>
            <w:tcMar>
              <w:top w:w="70" w:type="dxa"/>
              <w:start w:w="105" w:type="dxa"/>
              <w:bottom w:w="70" w:type="dxa"/>
              <w:end w:w="105" w:type="dxa"/>
            </w:tcMar>
          </w:tcPr>
          <w:p>
            <w:pPr>
              <w:spacing w:after="20" w:line="240" w:lineRule="auto"/>
            </w:pPr>
            <w:r>
              <w:rPr>
                <w:rFonts w:ascii="Arial" w:hAnsi="Arial"/>
                <w:color w:val="172033"/>
                <w:sz w:val="16"/>
              </w:rPr>
              <w:t>Purpose/assignment validation and investigation</w:t>
            </w:r>
          </w:p>
        </w:tc>
      </w:tr>
      <w:tr>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6"/>
              </w:rPr>
              <w:t>Cross-tenant/event access attempt</w:t>
            </w:r>
          </w:p>
        </w:tc>
        <w:tc>
          <w:tcPr>
            <w:tcW w:type="dxa" w:w="7060"/>
            <w:shd w:fill="FFFFFF"/>
            <w:vAlign w:val="top"/>
            <w:tcMar>
              <w:top w:w="70" w:type="dxa"/>
              <w:start w:w="105" w:type="dxa"/>
              <w:bottom w:w="70" w:type="dxa"/>
              <w:end w:w="105" w:type="dxa"/>
            </w:tcMar>
          </w:tcPr>
          <w:p>
            <w:pPr>
              <w:spacing w:after="20" w:line="240" w:lineRule="auto"/>
            </w:pPr>
            <w:r>
              <w:rPr>
                <w:rFonts w:ascii="Arial" w:hAnsi="Arial"/>
                <w:color w:val="172033"/>
                <w:sz w:val="16"/>
              </w:rPr>
              <w:t>Block critical alert and incident triage</w:t>
            </w:r>
          </w:p>
        </w:tc>
      </w:tr>
      <w:tr>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6"/>
              </w:rPr>
              <w:t>Large or unusual export</w:t>
            </w:r>
          </w:p>
        </w:tc>
        <w:tc>
          <w:tcPr>
            <w:tcW w:type="dxa" w:w="7060"/>
            <w:shd w:fill="F6F7F9"/>
            <w:vAlign w:val="top"/>
            <w:tcMar>
              <w:top w:w="70" w:type="dxa"/>
              <w:start w:w="105" w:type="dxa"/>
              <w:bottom w:w="70" w:type="dxa"/>
              <w:end w:w="105" w:type="dxa"/>
            </w:tcMar>
          </w:tcPr>
          <w:p>
            <w:pPr>
              <w:spacing w:after="20" w:line="240" w:lineRule="auto"/>
            </w:pPr>
            <w:r>
              <w:rPr>
                <w:rFonts w:ascii="Arial" w:hAnsi="Arial"/>
                <w:color w:val="172033"/>
                <w:sz w:val="16"/>
              </w:rPr>
              <w:t>Hold/approve/review recipient and purpose</w:t>
            </w:r>
          </w:p>
        </w:tc>
      </w:tr>
      <w:tr>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6"/>
              </w:rPr>
              <w:t>Malware upload</w:t>
            </w:r>
          </w:p>
        </w:tc>
        <w:tc>
          <w:tcPr>
            <w:tcW w:type="dxa" w:w="7060"/>
            <w:shd w:fill="FFFFFF"/>
            <w:vAlign w:val="top"/>
            <w:tcMar>
              <w:top w:w="70" w:type="dxa"/>
              <w:start w:w="105" w:type="dxa"/>
              <w:bottom w:w="70" w:type="dxa"/>
              <w:end w:w="105" w:type="dxa"/>
            </w:tcMar>
          </w:tcPr>
          <w:p>
            <w:pPr>
              <w:spacing w:after="20" w:line="240" w:lineRule="auto"/>
            </w:pPr>
            <w:r>
              <w:rPr>
                <w:rFonts w:ascii="Arial" w:hAnsi="Arial"/>
                <w:color w:val="172033"/>
                <w:sz w:val="16"/>
              </w:rPr>
              <w:t>Quarantine, notify owner and investigate spread</w:t>
            </w:r>
          </w:p>
        </w:tc>
      </w:tr>
      <w:tr>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6"/>
              </w:rPr>
              <w:t>Secret/key exposure</w:t>
            </w:r>
          </w:p>
        </w:tc>
        <w:tc>
          <w:tcPr>
            <w:tcW w:type="dxa" w:w="7060"/>
            <w:shd w:fill="F6F7F9"/>
            <w:vAlign w:val="top"/>
            <w:tcMar>
              <w:top w:w="70" w:type="dxa"/>
              <w:start w:w="105" w:type="dxa"/>
              <w:bottom w:w="70" w:type="dxa"/>
              <w:end w:w="105" w:type="dxa"/>
            </w:tcMar>
          </w:tcPr>
          <w:p>
            <w:pPr>
              <w:spacing w:after="20" w:line="240" w:lineRule="auto"/>
            </w:pPr>
            <w:r>
              <w:rPr>
                <w:rFonts w:ascii="Arial" w:hAnsi="Arial"/>
                <w:color w:val="172033"/>
                <w:sz w:val="16"/>
              </w:rPr>
              <w:t>Revoke/rotate, scope impact and preserve evidence</w:t>
            </w:r>
          </w:p>
        </w:tc>
      </w:tr>
      <w:tr>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6"/>
              </w:rPr>
              <w:t>Audit/log pipeline failure</w:t>
            </w:r>
          </w:p>
        </w:tc>
        <w:tc>
          <w:tcPr>
            <w:tcW w:type="dxa" w:w="7060"/>
            <w:shd w:fill="FFFFFF"/>
            <w:vAlign w:val="top"/>
            <w:tcMar>
              <w:top w:w="70" w:type="dxa"/>
              <w:start w:w="105" w:type="dxa"/>
              <w:bottom w:w="70" w:type="dxa"/>
              <w:end w:w="105" w:type="dxa"/>
            </w:tcMar>
          </w:tcPr>
          <w:p>
            <w:pPr>
              <w:spacing w:after="20" w:line="240" w:lineRule="auto"/>
            </w:pPr>
            <w:r>
              <w:rPr>
                <w:rFonts w:ascii="Arial" w:hAnsi="Arial"/>
                <w:color w:val="172033"/>
                <w:sz w:val="16"/>
              </w:rPr>
              <w:t>Fail/hold critical operations as policy requires; restore monitoring</w:t>
            </w:r>
          </w:p>
        </w:tc>
      </w:tr>
      <w:tr>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6"/>
              </w:rPr>
              <w:t>Retention/purge failure</w:t>
            </w:r>
          </w:p>
        </w:tc>
        <w:tc>
          <w:tcPr>
            <w:tcW w:type="dxa" w:w="7060"/>
            <w:shd w:fill="F6F7F9"/>
            <w:vAlign w:val="top"/>
            <w:tcMar>
              <w:top w:w="70" w:type="dxa"/>
              <w:start w:w="105" w:type="dxa"/>
              <w:bottom w:w="70" w:type="dxa"/>
              <w:end w:w="105" w:type="dxa"/>
            </w:tcMar>
          </w:tcPr>
          <w:p>
            <w:pPr>
              <w:spacing w:after="20" w:line="240" w:lineRule="auto"/>
            </w:pPr>
            <w:r>
              <w:rPr>
                <w:rFonts w:ascii="Arial" w:hAnsi="Arial"/>
                <w:color w:val="172033"/>
                <w:sz w:val="16"/>
              </w:rPr>
              <w:t>Hold closure, alert owner and reconcile copies/backups</w:t>
            </w:r>
          </w:p>
        </w:tc>
      </w:tr>
      <w:tr>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6"/>
              </w:rPr>
              <w:t>OS/Academy status conflict</w:t>
            </w:r>
          </w:p>
        </w:tc>
        <w:tc>
          <w:tcPr>
            <w:tcW w:type="dxa" w:w="7060"/>
            <w:shd w:fill="FFFFFF"/>
            <w:vAlign w:val="top"/>
            <w:tcMar>
              <w:top w:w="70" w:type="dxa"/>
              <w:start w:w="105" w:type="dxa"/>
              <w:bottom w:w="70" w:type="dxa"/>
              <w:end w:w="105" w:type="dxa"/>
            </w:tcMar>
          </w:tcPr>
          <w:p>
            <w:pPr>
              <w:spacing w:after="20" w:line="240" w:lineRule="auto"/>
            </w:pPr>
            <w:r>
              <w:rPr>
                <w:rFonts w:ascii="Arial" w:hAnsi="Arial"/>
                <w:color w:val="172033"/>
                <w:sz w:val="16"/>
              </w:rPr>
              <w:t>Fail closed for controlled duty; joint reconciliation</w:t>
            </w:r>
          </w:p>
        </w:tc>
      </w:tr>
      <w:tr>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6"/>
              </w:rPr>
              <w:t>Offline/event package past expiry</w:t>
            </w:r>
          </w:p>
        </w:tc>
        <w:tc>
          <w:tcPr>
            <w:tcW w:type="dxa" w:w="7060"/>
            <w:shd w:fill="F6F7F9"/>
            <w:vAlign w:val="top"/>
            <w:tcMar>
              <w:top w:w="70" w:type="dxa"/>
              <w:start w:w="105" w:type="dxa"/>
              <w:bottom w:w="70" w:type="dxa"/>
              <w:end w:w="105" w:type="dxa"/>
            </w:tcMar>
          </w:tcPr>
          <w:p>
            <w:pPr>
              <w:spacing w:after="20" w:line="240" w:lineRule="auto"/>
            </w:pPr>
            <w:r>
              <w:rPr>
                <w:rFonts w:ascii="Arial" w:hAnsi="Arial"/>
                <w:color w:val="172033"/>
                <w:sz w:val="16"/>
              </w:rPr>
              <w:t>Deny use, revoke cache and require sync</w:t>
            </w:r>
          </w:p>
        </w:tc>
      </w:tr>
    </w:tbl>
    <w:p>
      <w:r>
        <w:br w:type="page"/>
      </w:r>
    </w:p>
    <w:p>
      <w:pPr>
        <w:pStyle w:val="Heading1"/>
      </w:pPr>
      <w:r>
        <w:t>18. Incident response and breach handling</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Stage</w:t>
            </w:r>
          </w:p>
        </w:tc>
        <w:tc>
          <w:tcPr>
            <w:tcW w:type="dxa" w:w="7460"/>
            <w:shd w:fill="10243E"/>
            <w:tcMar>
              <w:top w:w="70" w:type="dxa"/>
              <w:start w:w="105" w:type="dxa"/>
              <w:bottom w:w="70" w:type="dxa"/>
              <w:end w:w="105" w:type="dxa"/>
            </w:tcMar>
          </w:tcPr>
          <w:p>
            <w:r>
              <w:rPr>
                <w:rFonts w:ascii="Arial" w:hAnsi="Arial"/>
                <w:b/>
                <w:color w:val="FFFFFF"/>
                <w:sz w:val="17"/>
              </w:rPr>
              <w:t>Required action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Detect/receive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Open incident, preserve facts and assign severity/commander</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Contain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Revoke sessions/keys, isolate services, suspend exposure and protect event operations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Preserve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Secure logs, versions, evidence and chain of custody; avoid destructive “cleanup”</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Assess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Data/classes/subjects/events/jurisdictions, access, likelihood, consequence and ongoing risk</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Notify/escalate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Internal owner/CEO/legal/privacy and external parties according to applicable requirements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Eradicate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Fix root weakness, rotate secrets, remove persistence and validate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Recover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Restore trusted service/data; reconcile queued/offline/integration state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Communicate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Accurate minimum facts; protect investigation and individuals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Review</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Root cause, control/action owners, deadlines and effectiveness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Close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Evidence, decisions, notifications and residual risk accepted by authority</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NOTIFICATION CLOCK</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The incident register records discovery and decision times immediately. Applicable notification deadlines and recipients are resolved from the jurisdictional register; uncertainty is escalated, not used to delay triage.</w:t>
            </w:r>
          </w:p>
        </w:tc>
      </w:tr>
    </w:tbl>
    <w:p>
      <w:r>
        <w:br w:type="page"/>
      </w:r>
    </w:p>
    <w:p>
      <w:pPr>
        <w:pStyle w:val="Heading1"/>
      </w:pPr>
      <w:r>
        <w:t>19. Data-subject and correction workflows</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Request</w:t>
            </w:r>
          </w:p>
        </w:tc>
        <w:tc>
          <w:tcPr>
            <w:tcW w:type="dxa" w:w="7310"/>
            <w:shd w:fill="10243E"/>
            <w:tcMar>
              <w:top w:w="70" w:type="dxa"/>
              <w:start w:w="105" w:type="dxa"/>
              <w:bottom w:w="70" w:type="dxa"/>
              <w:end w:w="105" w:type="dxa"/>
            </w:tcMar>
          </w:tcPr>
          <w:p>
            <w:r>
              <w:rPr>
                <w:rFonts w:ascii="Arial" w:hAnsi="Arial"/>
                <w:b/>
                <w:color w:val="FFFFFF"/>
                <w:sz w:val="17"/>
              </w:rPr>
              <w:t>System treatment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Access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Verify identity; search systems/processors; redact others/keys/security detail; deliver securely</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Correction</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Correct current profile/source data; append correction to historical decision records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Deletion/erasure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Apply approved basis/exemptions/holds; purge eligible copies; explain retained categories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Restriction</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Block specified processing while preserving allowed evidence and legal obligations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Objection/withdrawal</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Route to basis-specific review; stop consent-based use where valid</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Portability/export</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Provide approved structured data where applicable; exclude derived/security/protected third-party data</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Complaint/appeal</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Independent route; preserve evidence; no retaliation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Deceased/inactive account</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Apply policy and authority verification; no informal disclosure</w:t>
            </w:r>
          </w:p>
        </w:tc>
      </w:tr>
    </w:tbl>
    <w:p>
      <w:pPr>
        <w:pStyle w:val="ListBullet"/>
        <w:spacing w:after="60"/>
        <w:ind w:left="547" w:hanging="274"/>
      </w:pPr>
      <w:r>
        <w:t>Requests receive stable case ID, scope, verification, deadline, owner and audit trail.</w:t>
      </w:r>
    </w:p>
    <w:p>
      <w:pPr>
        <w:pStyle w:val="ListBullet"/>
        <w:spacing w:after="60"/>
        <w:ind w:left="547" w:hanging="274"/>
      </w:pPr>
      <w:r>
        <w:t>Identity verification is proportional; do not collect more sensitive proof than the request warrants.</w:t>
      </w:r>
    </w:p>
    <w:p>
      <w:pPr>
        <w:pStyle w:val="ListBullet"/>
        <w:spacing w:after="60"/>
        <w:ind w:left="547" w:hanging="274"/>
      </w:pPr>
      <w:r>
        <w:t>Assessment keys, other persons’ data and security-sensitive detail are protected during disclosure.</w:t>
      </w:r>
    </w:p>
    <w:p>
      <w:pPr>
        <w:pStyle w:val="ListBullet"/>
        <w:spacing w:after="60"/>
        <w:ind w:left="547" w:hanging="274"/>
      </w:pPr>
      <w:r>
        <w:t>One system correction propagates through approved source-of-truth and reconciliation flows.</w:t>
      </w:r>
    </w:p>
    <w:p>
      <w:r>
        <w:br w:type="page"/>
      </w:r>
    </w:p>
    <w:p>
      <w:pPr>
        <w:pStyle w:val="Heading1"/>
      </w:pPr>
      <w:r>
        <w:t>20. Retention policy method</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Element</w:t>
            </w:r>
          </w:p>
        </w:tc>
        <w:tc>
          <w:tcPr>
            <w:tcW w:type="dxa" w:w="7460"/>
            <w:shd w:fill="10243E"/>
            <w:tcMar>
              <w:top w:w="70" w:type="dxa"/>
              <w:start w:w="105" w:type="dxa"/>
              <w:bottom w:w="70" w:type="dxa"/>
              <w:end w:w="105" w:type="dxa"/>
            </w:tcMar>
          </w:tcPr>
          <w:p>
            <w:r>
              <w:rPr>
                <w:rFonts w:ascii="Arial" w:hAnsi="Arial"/>
                <w:b/>
                <w:color w:val="FFFFFF"/>
                <w:sz w:val="17"/>
              </w:rPr>
              <w:t>Rule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Trigger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Named event starts the clock: creation, completion, expiry, event close, employment end, case closure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Period</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Ratified duration by category/jurisdiction; “forever” prohibited without explicit justification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Purpose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Operational, certification verification, appeal, security, audit, legal or research purpose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Owner</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Accountable data owner and privacy/security approver</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Disposal</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Secure deletion, cryptographic erasure, vendor deletion or irreversible anonymisation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Hold</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Legal, appeal, investigation or incident hold pauses disposal for exact scope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Dependency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Referenced evidence retained only as needed to preserve a valid decision/audit obligation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Review</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Schedule reviewed at least annually and on legal/system/purpose change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Backups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Deletion propagates through expiry/restore controls; restored backups reapply deletion ledger</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Proof</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Deletion job, exceptions, copies, vendor confirmation and verification receipt</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RETENTION LAW</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The schedule below is a proposed operational baseline, not a statement of statutory minimums. It must be ratified against applicable Nigerian, UK and event-local requirements before production; a stricter approved rule prevails.</w:t>
            </w:r>
          </w:p>
        </w:tc>
      </w:tr>
    </w:tbl>
    <w:p>
      <w:r>
        <w:br w:type="page"/>
      </w:r>
    </w:p>
    <w:p>
      <w:pPr>
        <w:pStyle w:val="Heading1"/>
      </w:pPr>
      <w:r>
        <w:t>21. Proposed retention schedule - core records</w:t>
      </w:r>
    </w:p>
    <w:tbl>
      <w:tblPr>
        <w:tblStyle w:val="TableGrid"/>
        <w:tblW w:type="dxa" w:w="9460"/>
        <w:jc w:val="left"/>
        <w:tblLayout w:type="fixed"/>
        <w:tblLook w:firstColumn="1" w:firstRow="1" w:lastColumn="0" w:lastRow="0" w:noHBand="0" w:noVBand="1" w:val="04A0"/>
        <w:tblInd w:w="120" w:type="dxa"/>
      </w:tblPr>
      <w:tblGrid>
        <w:gridCol w:w="2100"/>
        <w:gridCol w:w="1600"/>
        <w:gridCol w:w="1450"/>
        <w:gridCol w:w="4310"/>
      </w:tblGrid>
      <w:tr>
        <w:tc>
          <w:tcPr>
            <w:tcW w:type="dxa" w:w="2100"/>
            <w:shd w:fill="10243E"/>
            <w:tcMar>
              <w:top w:w="70" w:type="dxa"/>
              <w:start w:w="105" w:type="dxa"/>
              <w:bottom w:w="70" w:type="dxa"/>
              <w:end w:w="105" w:type="dxa"/>
            </w:tcMar>
          </w:tcPr>
          <w:p>
            <w:r>
              <w:rPr>
                <w:rFonts w:ascii="Arial" w:hAnsi="Arial"/>
                <w:b/>
                <w:color w:val="FFFFFF"/>
                <w:sz w:val="17"/>
              </w:rPr>
              <w:t>Record</w:t>
            </w:r>
          </w:p>
        </w:tc>
        <w:tc>
          <w:tcPr>
            <w:tcW w:type="dxa" w:w="1600"/>
            <w:shd w:fill="10243E"/>
            <w:tcMar>
              <w:top w:w="70" w:type="dxa"/>
              <w:start w:w="105" w:type="dxa"/>
              <w:bottom w:w="70" w:type="dxa"/>
              <w:end w:w="105" w:type="dxa"/>
            </w:tcMar>
          </w:tcPr>
          <w:p>
            <w:r>
              <w:rPr>
                <w:rFonts w:ascii="Arial" w:hAnsi="Arial"/>
                <w:b/>
                <w:color w:val="FFFFFF"/>
                <w:sz w:val="17"/>
              </w:rPr>
              <w:t>Trigger</w:t>
            </w:r>
          </w:p>
        </w:tc>
        <w:tc>
          <w:tcPr>
            <w:tcW w:type="dxa" w:w="1450"/>
            <w:shd w:fill="10243E"/>
            <w:tcMar>
              <w:top w:w="70" w:type="dxa"/>
              <w:start w:w="105" w:type="dxa"/>
              <w:bottom w:w="70" w:type="dxa"/>
              <w:end w:w="105" w:type="dxa"/>
            </w:tcMar>
          </w:tcPr>
          <w:p>
            <w:r>
              <w:rPr>
                <w:rFonts w:ascii="Arial" w:hAnsi="Arial"/>
                <w:b/>
                <w:color w:val="FFFFFF"/>
                <w:sz w:val="17"/>
              </w:rPr>
              <w:t>Baseline</w:t>
            </w:r>
          </w:p>
        </w:tc>
        <w:tc>
          <w:tcPr>
            <w:tcW w:type="dxa" w:w="4310"/>
            <w:shd w:fill="10243E"/>
            <w:tcMar>
              <w:top w:w="70" w:type="dxa"/>
              <w:start w:w="105" w:type="dxa"/>
              <w:bottom w:w="70" w:type="dxa"/>
              <w:end w:w="105" w:type="dxa"/>
            </w:tcMar>
          </w:tcPr>
          <w:p>
            <w:r>
              <w:rPr>
                <w:rFonts w:ascii="Arial" w:hAnsi="Arial"/>
                <w:b/>
                <w:color w:val="FFFFFF"/>
                <w:sz w:val="17"/>
              </w:rPr>
              <w:t>Disposal / notes</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Invitation/unaccepted account</w:t>
            </w:r>
          </w:p>
        </w:tc>
        <w:tc>
          <w:tcPr>
            <w:tcW w:type="dxa" w:w="1600"/>
            <w:shd w:fill="FFFFFF"/>
            <w:vAlign w:val="top"/>
            <w:tcMar>
              <w:top w:w="70" w:type="dxa"/>
              <w:start w:w="105" w:type="dxa"/>
              <w:bottom w:w="70" w:type="dxa"/>
              <w:end w:w="105" w:type="dxa"/>
            </w:tcMar>
          </w:tcPr>
          <w:p>
            <w:pPr>
              <w:spacing w:after="20" w:line="240" w:lineRule="auto"/>
            </w:pPr>
            <w:r>
              <w:rPr>
                <w:rFonts w:ascii="Arial" w:hAnsi="Arial"/>
                <w:color w:val="172033"/>
                <w:sz w:val="15"/>
              </w:rPr>
              <w:t>Invite expiry</w:t>
            </w:r>
          </w:p>
        </w:tc>
        <w:tc>
          <w:tcPr>
            <w:tcW w:type="dxa" w:w="1450"/>
            <w:shd w:fill="FFFFFF"/>
            <w:vAlign w:val="top"/>
            <w:tcMar>
              <w:top w:w="70" w:type="dxa"/>
              <w:start w:w="105" w:type="dxa"/>
              <w:bottom w:w="70" w:type="dxa"/>
              <w:end w:w="105" w:type="dxa"/>
            </w:tcMar>
          </w:tcPr>
          <w:p>
            <w:pPr>
              <w:spacing w:after="20" w:line="240" w:lineRule="auto"/>
            </w:pPr>
            <w:r>
              <w:rPr>
                <w:rFonts w:ascii="Arial" w:hAnsi="Arial"/>
                <w:color w:val="172033"/>
                <w:sz w:val="15"/>
              </w:rPr>
              <w:t>90 days</w:t>
            </w:r>
          </w:p>
        </w:tc>
        <w:tc>
          <w:tcPr>
            <w:tcW w:type="dxa" w:w="4310"/>
            <w:shd w:fill="FFFFFF"/>
            <w:vAlign w:val="top"/>
            <w:tcMar>
              <w:top w:w="70" w:type="dxa"/>
              <w:start w:w="105" w:type="dxa"/>
              <w:bottom w:w="70" w:type="dxa"/>
              <w:end w:w="105" w:type="dxa"/>
            </w:tcMar>
          </w:tcPr>
          <w:p>
            <w:pPr>
              <w:spacing w:after="20" w:line="240" w:lineRule="auto"/>
            </w:pPr>
            <w:r>
              <w:rPr>
                <w:rFonts w:ascii="Arial" w:hAnsi="Arial"/>
                <w:color w:val="172033"/>
                <w:sz w:val="15"/>
              </w:rPr>
              <w:t>Delete contact/token unless another purpose exists</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Active profile/role</w:t>
            </w:r>
          </w:p>
        </w:tc>
        <w:tc>
          <w:tcPr>
            <w:tcW w:type="dxa" w:w="1600"/>
            <w:shd w:fill="F6F7F9"/>
            <w:vAlign w:val="top"/>
            <w:tcMar>
              <w:top w:w="70" w:type="dxa"/>
              <w:start w:w="105" w:type="dxa"/>
              <w:bottom w:w="70" w:type="dxa"/>
              <w:end w:w="105" w:type="dxa"/>
            </w:tcMar>
          </w:tcPr>
          <w:p>
            <w:pPr>
              <w:spacing w:after="20" w:line="240" w:lineRule="auto"/>
            </w:pPr>
            <w:r>
              <w:rPr>
                <w:rFonts w:ascii="Arial" w:hAnsi="Arial"/>
                <w:color w:val="172033"/>
                <w:sz w:val="15"/>
              </w:rPr>
              <w:t>End of relationship</w:t>
            </w:r>
          </w:p>
        </w:tc>
        <w:tc>
          <w:tcPr>
            <w:tcW w:type="dxa" w:w="1450"/>
            <w:shd w:fill="F6F7F9"/>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310"/>
            <w:shd w:fill="F6F7F9"/>
            <w:vAlign w:val="top"/>
            <w:tcMar>
              <w:top w:w="70" w:type="dxa"/>
              <w:start w:w="105" w:type="dxa"/>
              <w:bottom w:w="70" w:type="dxa"/>
              <w:end w:w="105" w:type="dxa"/>
            </w:tcMar>
          </w:tcPr>
          <w:p>
            <w:pPr>
              <w:spacing w:after="20" w:line="240" w:lineRule="auto"/>
            </w:pPr>
            <w:r>
              <w:rPr>
                <w:rFonts w:ascii="Arial" w:hAnsi="Arial"/>
                <w:color w:val="172033"/>
                <w:sz w:val="15"/>
              </w:rPr>
              <w:t>Delete/anonymise; preserve necessary certificate/audit links</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Enrolment/progress</w:t>
            </w:r>
          </w:p>
        </w:tc>
        <w:tc>
          <w:tcPr>
            <w:tcW w:type="dxa" w:w="1600"/>
            <w:shd w:fill="FFFFFF"/>
            <w:vAlign w:val="top"/>
            <w:tcMar>
              <w:top w:w="70" w:type="dxa"/>
              <w:start w:w="105" w:type="dxa"/>
              <w:bottom w:w="70" w:type="dxa"/>
              <w:end w:w="105" w:type="dxa"/>
            </w:tcMar>
          </w:tcPr>
          <w:p>
            <w:pPr>
              <w:spacing w:after="20" w:line="240" w:lineRule="auto"/>
            </w:pPr>
            <w:r>
              <w:rPr>
                <w:rFonts w:ascii="Arial" w:hAnsi="Arial"/>
                <w:color w:val="172033"/>
                <w:sz w:val="15"/>
              </w:rPr>
              <w:t>Completion/withdrawal</w:t>
            </w:r>
          </w:p>
        </w:tc>
        <w:tc>
          <w:tcPr>
            <w:tcW w:type="dxa" w:w="1450"/>
            <w:shd w:fill="FFFFFF"/>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310"/>
            <w:shd w:fill="FFFFFF"/>
            <w:vAlign w:val="top"/>
            <w:tcMar>
              <w:top w:w="70" w:type="dxa"/>
              <w:start w:w="105" w:type="dxa"/>
              <w:bottom w:w="70" w:type="dxa"/>
              <w:end w:w="105" w:type="dxa"/>
            </w:tcMar>
          </w:tcPr>
          <w:p>
            <w:pPr>
              <w:spacing w:after="20" w:line="240" w:lineRule="auto"/>
            </w:pPr>
            <w:r>
              <w:rPr>
                <w:rFonts w:ascii="Arial" w:hAnsi="Arial"/>
                <w:color w:val="172033"/>
                <w:sz w:val="15"/>
              </w:rPr>
              <w:t>Minimise; retain certification evidence dependencies</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Lesson interaction telemetry</w:t>
            </w:r>
          </w:p>
        </w:tc>
        <w:tc>
          <w:tcPr>
            <w:tcW w:type="dxa" w:w="1600"/>
            <w:shd w:fill="F6F7F9"/>
            <w:vAlign w:val="top"/>
            <w:tcMar>
              <w:top w:w="70" w:type="dxa"/>
              <w:start w:w="105" w:type="dxa"/>
              <w:bottom w:w="70" w:type="dxa"/>
              <w:end w:w="105" w:type="dxa"/>
            </w:tcMar>
          </w:tcPr>
          <w:p>
            <w:pPr>
              <w:spacing w:after="20" w:line="240" w:lineRule="auto"/>
            </w:pPr>
            <w:r>
              <w:rPr>
                <w:rFonts w:ascii="Arial" w:hAnsi="Arial"/>
                <w:color w:val="172033"/>
                <w:sz w:val="15"/>
              </w:rPr>
              <w:t>Collection</w:t>
            </w:r>
          </w:p>
        </w:tc>
        <w:tc>
          <w:tcPr>
            <w:tcW w:type="dxa" w:w="1450"/>
            <w:shd w:fill="F6F7F9"/>
            <w:vAlign w:val="top"/>
            <w:tcMar>
              <w:top w:w="70" w:type="dxa"/>
              <w:start w:w="105" w:type="dxa"/>
              <w:bottom w:w="70" w:type="dxa"/>
              <w:end w:w="105" w:type="dxa"/>
            </w:tcMar>
          </w:tcPr>
          <w:p>
            <w:pPr>
              <w:spacing w:after="20" w:line="240" w:lineRule="auto"/>
            </w:pPr>
            <w:r>
              <w:rPr>
                <w:rFonts w:ascii="Arial" w:hAnsi="Arial"/>
                <w:color w:val="172033"/>
                <w:sz w:val="15"/>
              </w:rPr>
              <w:t>13 months proposed</w:t>
            </w:r>
          </w:p>
        </w:tc>
        <w:tc>
          <w:tcPr>
            <w:tcW w:type="dxa" w:w="4310"/>
            <w:shd w:fill="F6F7F9"/>
            <w:vAlign w:val="top"/>
            <w:tcMar>
              <w:top w:w="70" w:type="dxa"/>
              <w:start w:w="105" w:type="dxa"/>
              <w:bottom w:w="70" w:type="dxa"/>
              <w:end w:w="105" w:type="dxa"/>
            </w:tcMar>
          </w:tcPr>
          <w:p>
            <w:pPr>
              <w:spacing w:after="20" w:line="240" w:lineRule="auto"/>
            </w:pPr>
            <w:r>
              <w:rPr>
                <w:rFonts w:ascii="Arial" w:hAnsi="Arial"/>
                <w:color w:val="172033"/>
                <w:sz w:val="15"/>
              </w:rPr>
              <w:t>Aggregate/anonymise earlier where possible</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Acknowledgements</w:t>
            </w:r>
          </w:p>
        </w:tc>
        <w:tc>
          <w:tcPr>
            <w:tcW w:type="dxa" w:w="1600"/>
            <w:shd w:fill="FFFFFF"/>
            <w:vAlign w:val="top"/>
            <w:tcMar>
              <w:top w:w="70" w:type="dxa"/>
              <w:start w:w="105" w:type="dxa"/>
              <w:bottom w:w="70" w:type="dxa"/>
              <w:end w:w="105" w:type="dxa"/>
            </w:tcMar>
          </w:tcPr>
          <w:p>
            <w:pPr>
              <w:spacing w:after="20" w:line="240" w:lineRule="auto"/>
            </w:pPr>
            <w:r>
              <w:rPr>
                <w:rFonts w:ascii="Arial" w:hAnsi="Arial"/>
                <w:color w:val="172033"/>
                <w:sz w:val="15"/>
              </w:rPr>
              <w:t>Supersession/end of relevance</w:t>
            </w:r>
          </w:p>
        </w:tc>
        <w:tc>
          <w:tcPr>
            <w:tcW w:type="dxa" w:w="1450"/>
            <w:shd w:fill="FFFFFF"/>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310"/>
            <w:shd w:fill="FFFFFF"/>
            <w:vAlign w:val="top"/>
            <w:tcMar>
              <w:top w:w="70" w:type="dxa"/>
              <w:start w:w="105" w:type="dxa"/>
              <w:bottom w:w="70" w:type="dxa"/>
              <w:end w:w="105" w:type="dxa"/>
            </w:tcMar>
          </w:tcPr>
          <w:p>
            <w:pPr>
              <w:spacing w:after="20" w:line="240" w:lineRule="auto"/>
            </w:pPr>
            <w:r>
              <w:rPr>
                <w:rFonts w:ascii="Arial" w:hAnsi="Arial"/>
                <w:color w:val="172033"/>
                <w:sz w:val="15"/>
              </w:rPr>
              <w:t>Retain exact version where accountability needs</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Assessment attempt/response</w:t>
            </w:r>
          </w:p>
        </w:tc>
        <w:tc>
          <w:tcPr>
            <w:tcW w:type="dxa" w:w="1600"/>
            <w:shd w:fill="F6F7F9"/>
            <w:vAlign w:val="top"/>
            <w:tcMar>
              <w:top w:w="70" w:type="dxa"/>
              <w:start w:w="105" w:type="dxa"/>
              <w:bottom w:w="70" w:type="dxa"/>
              <w:end w:w="105" w:type="dxa"/>
            </w:tcMar>
          </w:tcPr>
          <w:p>
            <w:pPr>
              <w:spacing w:after="20" w:line="240" w:lineRule="auto"/>
            </w:pPr>
            <w:r>
              <w:rPr>
                <w:rFonts w:ascii="Arial" w:hAnsi="Arial"/>
                <w:color w:val="172033"/>
                <w:sz w:val="15"/>
              </w:rPr>
              <w:t>Attempt closure</w:t>
            </w:r>
          </w:p>
        </w:tc>
        <w:tc>
          <w:tcPr>
            <w:tcW w:type="dxa" w:w="1450"/>
            <w:shd w:fill="F6F7F9"/>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310"/>
            <w:shd w:fill="F6F7F9"/>
            <w:vAlign w:val="top"/>
            <w:tcMar>
              <w:top w:w="70" w:type="dxa"/>
              <w:start w:w="105" w:type="dxa"/>
              <w:bottom w:w="70" w:type="dxa"/>
              <w:end w:w="105" w:type="dxa"/>
            </w:tcMar>
          </w:tcPr>
          <w:p>
            <w:pPr>
              <w:spacing w:after="20" w:line="240" w:lineRule="auto"/>
            </w:pPr>
            <w:r>
              <w:rPr>
                <w:rFonts w:ascii="Arial" w:hAnsi="Arial"/>
                <w:color w:val="172033"/>
                <w:sz w:val="15"/>
              </w:rPr>
              <w:t>Restricted; longer only for certificate/claim/hold</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Practical evidence/media</w:t>
            </w:r>
          </w:p>
        </w:tc>
        <w:tc>
          <w:tcPr>
            <w:tcW w:type="dxa" w:w="1600"/>
            <w:shd w:fill="FFFFFF"/>
            <w:vAlign w:val="top"/>
            <w:tcMar>
              <w:top w:w="70" w:type="dxa"/>
              <w:start w:w="105" w:type="dxa"/>
              <w:bottom w:w="70" w:type="dxa"/>
              <w:end w:w="105" w:type="dxa"/>
            </w:tcMar>
          </w:tcPr>
          <w:p>
            <w:pPr>
              <w:spacing w:after="20" w:line="240" w:lineRule="auto"/>
            </w:pPr>
            <w:r>
              <w:rPr>
                <w:rFonts w:ascii="Arial" w:hAnsi="Arial"/>
                <w:color w:val="172033"/>
                <w:sz w:val="15"/>
              </w:rPr>
              <w:t>Final decision/appeal closure</w:t>
            </w:r>
          </w:p>
        </w:tc>
        <w:tc>
          <w:tcPr>
            <w:tcW w:type="dxa" w:w="1450"/>
            <w:shd w:fill="FFFFFF"/>
            <w:vAlign w:val="top"/>
            <w:tcMar>
              <w:top w:w="70" w:type="dxa"/>
              <w:start w:w="105" w:type="dxa"/>
              <w:bottom w:w="70" w:type="dxa"/>
              <w:end w:w="105" w:type="dxa"/>
            </w:tcMar>
          </w:tcPr>
          <w:p>
            <w:pPr>
              <w:spacing w:after="20" w:line="240" w:lineRule="auto"/>
            </w:pPr>
            <w:r>
              <w:rPr>
                <w:rFonts w:ascii="Arial" w:hAnsi="Arial"/>
                <w:color w:val="172033"/>
                <w:sz w:val="15"/>
              </w:rPr>
              <w:t>2 years proposed</w:t>
            </w:r>
          </w:p>
        </w:tc>
        <w:tc>
          <w:tcPr>
            <w:tcW w:type="dxa" w:w="4310"/>
            <w:shd w:fill="FFFFFF"/>
            <w:vAlign w:val="top"/>
            <w:tcMar>
              <w:top w:w="70" w:type="dxa"/>
              <w:start w:w="105" w:type="dxa"/>
              <w:bottom w:w="70" w:type="dxa"/>
              <w:end w:w="105" w:type="dxa"/>
            </w:tcMar>
          </w:tcPr>
          <w:p>
            <w:pPr>
              <w:spacing w:after="20" w:line="240" w:lineRule="auto"/>
            </w:pPr>
            <w:r>
              <w:rPr>
                <w:rFonts w:ascii="Arial" w:hAnsi="Arial"/>
                <w:color w:val="172033"/>
                <w:sz w:val="15"/>
              </w:rPr>
              <w:t>Prefer shortest period; retain scored facts/rationale longer if needed</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Results/marking rationale</w:t>
            </w:r>
          </w:p>
        </w:tc>
        <w:tc>
          <w:tcPr>
            <w:tcW w:type="dxa" w:w="1600"/>
            <w:shd w:fill="F6F7F9"/>
            <w:vAlign w:val="top"/>
            <w:tcMar>
              <w:top w:w="70" w:type="dxa"/>
              <w:start w:w="105" w:type="dxa"/>
              <w:bottom w:w="70" w:type="dxa"/>
              <w:end w:w="105" w:type="dxa"/>
            </w:tcMar>
          </w:tcPr>
          <w:p>
            <w:pPr>
              <w:spacing w:after="20" w:line="240" w:lineRule="auto"/>
            </w:pPr>
            <w:r>
              <w:rPr>
                <w:rFonts w:ascii="Arial" w:hAnsi="Arial"/>
                <w:color w:val="172033"/>
                <w:sz w:val="15"/>
              </w:rPr>
              <w:t>Certificate/decision expiry or closure</w:t>
            </w:r>
          </w:p>
        </w:tc>
        <w:tc>
          <w:tcPr>
            <w:tcW w:type="dxa" w:w="1450"/>
            <w:shd w:fill="F6F7F9"/>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310"/>
            <w:shd w:fill="F6F7F9"/>
            <w:vAlign w:val="top"/>
            <w:tcMar>
              <w:top w:w="70" w:type="dxa"/>
              <w:start w:w="105" w:type="dxa"/>
              <w:bottom w:w="70" w:type="dxa"/>
              <w:end w:w="105" w:type="dxa"/>
            </w:tcMar>
          </w:tcPr>
          <w:p>
            <w:pPr>
              <w:spacing w:after="20" w:line="240" w:lineRule="auto"/>
            </w:pPr>
            <w:r>
              <w:rPr>
                <w:rFonts w:ascii="Arial" w:hAnsi="Arial"/>
                <w:color w:val="172033"/>
                <w:sz w:val="15"/>
              </w:rPr>
              <w:t>Preserve immutable decision lineage</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Certificate record</w:t>
            </w:r>
          </w:p>
        </w:tc>
        <w:tc>
          <w:tcPr>
            <w:tcW w:type="dxa" w:w="1600"/>
            <w:shd w:fill="FFFFFF"/>
            <w:vAlign w:val="top"/>
            <w:tcMar>
              <w:top w:w="70" w:type="dxa"/>
              <w:start w:w="105" w:type="dxa"/>
              <w:bottom w:w="70" w:type="dxa"/>
              <w:end w:w="105" w:type="dxa"/>
            </w:tcMar>
          </w:tcPr>
          <w:p>
            <w:pPr>
              <w:spacing w:after="20" w:line="240" w:lineRule="auto"/>
            </w:pPr>
            <w:r>
              <w:rPr>
                <w:rFonts w:ascii="Arial" w:hAnsi="Arial"/>
                <w:color w:val="172033"/>
                <w:sz w:val="15"/>
              </w:rPr>
              <w:t>Expiry/revocation</w:t>
            </w:r>
          </w:p>
        </w:tc>
        <w:tc>
          <w:tcPr>
            <w:tcW w:type="dxa" w:w="1450"/>
            <w:shd w:fill="FFFFFF"/>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310"/>
            <w:shd w:fill="FFFFFF"/>
            <w:vAlign w:val="top"/>
            <w:tcMar>
              <w:top w:w="70" w:type="dxa"/>
              <w:start w:w="105" w:type="dxa"/>
              <w:bottom w:w="70" w:type="dxa"/>
              <w:end w:w="105" w:type="dxa"/>
            </w:tcMar>
          </w:tcPr>
          <w:p>
            <w:pPr>
              <w:spacing w:after="20" w:line="240" w:lineRule="auto"/>
            </w:pPr>
            <w:r>
              <w:rPr>
                <w:rFonts w:ascii="Arial" w:hAnsi="Arial"/>
                <w:color w:val="172033"/>
                <w:sz w:val="15"/>
              </w:rPr>
              <w:t>Retain verification history; minimise underlying evidence</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Event readiness</w:t>
            </w:r>
          </w:p>
        </w:tc>
        <w:tc>
          <w:tcPr>
            <w:tcW w:type="dxa" w:w="1600"/>
            <w:shd w:fill="F6F7F9"/>
            <w:vAlign w:val="top"/>
            <w:tcMar>
              <w:top w:w="70" w:type="dxa"/>
              <w:start w:w="105" w:type="dxa"/>
              <w:bottom w:w="70" w:type="dxa"/>
              <w:end w:w="105" w:type="dxa"/>
            </w:tcMar>
          </w:tcPr>
          <w:p>
            <w:pPr>
              <w:spacing w:after="20" w:line="240" w:lineRule="auto"/>
            </w:pPr>
            <w:r>
              <w:rPr>
                <w:rFonts w:ascii="Arial" w:hAnsi="Arial"/>
                <w:color w:val="172033"/>
                <w:sz w:val="15"/>
              </w:rPr>
              <w:t>Event close</w:t>
            </w:r>
          </w:p>
        </w:tc>
        <w:tc>
          <w:tcPr>
            <w:tcW w:type="dxa" w:w="1450"/>
            <w:shd w:fill="F6F7F9"/>
            <w:vAlign w:val="top"/>
            <w:tcMar>
              <w:top w:w="70" w:type="dxa"/>
              <w:start w:w="105" w:type="dxa"/>
              <w:bottom w:w="70" w:type="dxa"/>
              <w:end w:w="105" w:type="dxa"/>
            </w:tcMar>
          </w:tcPr>
          <w:p>
            <w:pPr>
              <w:spacing w:after="20" w:line="240" w:lineRule="auto"/>
            </w:pPr>
            <w:r>
              <w:rPr>
                <w:rFonts w:ascii="Arial" w:hAnsi="Arial"/>
                <w:color w:val="172033"/>
                <w:sz w:val="15"/>
              </w:rPr>
              <w:t>2 years proposed</w:t>
            </w:r>
          </w:p>
        </w:tc>
        <w:tc>
          <w:tcPr>
            <w:tcW w:type="dxa" w:w="4310"/>
            <w:shd w:fill="F6F7F9"/>
            <w:vAlign w:val="top"/>
            <w:tcMar>
              <w:top w:w="70" w:type="dxa"/>
              <w:start w:w="105" w:type="dxa"/>
              <w:bottom w:w="70" w:type="dxa"/>
              <w:end w:w="105" w:type="dxa"/>
            </w:tcMar>
          </w:tcPr>
          <w:p>
            <w:pPr>
              <w:spacing w:after="20" w:line="240" w:lineRule="auto"/>
            </w:pPr>
            <w:r>
              <w:rPr>
                <w:rFonts w:ascii="Arial" w:hAnsi="Arial"/>
                <w:color w:val="172033"/>
                <w:sz w:val="15"/>
              </w:rPr>
              <w:t>Minimise event detail; longer only approved incident/claim need</w:t>
            </w:r>
          </w:p>
        </w:tc>
      </w:tr>
    </w:tbl>
    <w:p>
      <w:r>
        <w:br w:type="page"/>
      </w:r>
    </w:p>
    <w:p>
      <w:pPr>
        <w:pStyle w:val="Heading1"/>
      </w:pPr>
      <w:r>
        <w:t>22. Proposed retention schedule - protected and operational</w:t>
      </w:r>
    </w:p>
    <w:tbl>
      <w:tblPr>
        <w:tblStyle w:val="TableGrid"/>
        <w:tblW w:type="dxa" w:w="9360"/>
        <w:jc w:val="left"/>
        <w:tblLayout w:type="fixed"/>
        <w:tblLook w:firstColumn="1" w:firstRow="1" w:lastColumn="0" w:lastRow="0" w:noHBand="0" w:noVBand="1" w:val="04A0"/>
        <w:tblInd w:w="120" w:type="dxa"/>
      </w:tblPr>
      <w:tblGrid>
        <w:gridCol w:w="2100"/>
        <w:gridCol w:w="1700"/>
        <w:gridCol w:w="1550"/>
        <w:gridCol w:w="4010"/>
      </w:tblGrid>
      <w:tr>
        <w:tc>
          <w:tcPr>
            <w:tcW w:type="dxa" w:w="2100"/>
            <w:shd w:fill="10243E"/>
            <w:tcMar>
              <w:top w:w="70" w:type="dxa"/>
              <w:start w:w="105" w:type="dxa"/>
              <w:bottom w:w="70" w:type="dxa"/>
              <w:end w:w="105" w:type="dxa"/>
            </w:tcMar>
          </w:tcPr>
          <w:p>
            <w:r>
              <w:rPr>
                <w:rFonts w:ascii="Arial" w:hAnsi="Arial"/>
                <w:b/>
                <w:color w:val="FFFFFF"/>
                <w:sz w:val="17"/>
              </w:rPr>
              <w:t>Record</w:t>
            </w:r>
          </w:p>
        </w:tc>
        <w:tc>
          <w:tcPr>
            <w:tcW w:type="dxa" w:w="1700"/>
            <w:shd w:fill="10243E"/>
            <w:tcMar>
              <w:top w:w="70" w:type="dxa"/>
              <w:start w:w="105" w:type="dxa"/>
              <w:bottom w:w="70" w:type="dxa"/>
              <w:end w:w="105" w:type="dxa"/>
            </w:tcMar>
          </w:tcPr>
          <w:p>
            <w:r>
              <w:rPr>
                <w:rFonts w:ascii="Arial" w:hAnsi="Arial"/>
                <w:b/>
                <w:color w:val="FFFFFF"/>
                <w:sz w:val="17"/>
              </w:rPr>
              <w:t>Trigger</w:t>
            </w:r>
          </w:p>
        </w:tc>
        <w:tc>
          <w:tcPr>
            <w:tcW w:type="dxa" w:w="1550"/>
            <w:shd w:fill="10243E"/>
            <w:tcMar>
              <w:top w:w="70" w:type="dxa"/>
              <w:start w:w="105" w:type="dxa"/>
              <w:bottom w:w="70" w:type="dxa"/>
              <w:end w:w="105" w:type="dxa"/>
            </w:tcMar>
          </w:tcPr>
          <w:p>
            <w:r>
              <w:rPr>
                <w:rFonts w:ascii="Arial" w:hAnsi="Arial"/>
                <w:b/>
                <w:color w:val="FFFFFF"/>
                <w:sz w:val="17"/>
              </w:rPr>
              <w:t>Baseline</w:t>
            </w:r>
          </w:p>
        </w:tc>
        <w:tc>
          <w:tcPr>
            <w:tcW w:type="dxa" w:w="4010"/>
            <w:shd w:fill="10243E"/>
            <w:tcMar>
              <w:top w:w="70" w:type="dxa"/>
              <w:start w:w="105" w:type="dxa"/>
              <w:bottom w:w="70" w:type="dxa"/>
              <w:end w:w="105" w:type="dxa"/>
            </w:tcMar>
          </w:tcPr>
          <w:p>
            <w:r>
              <w:rPr>
                <w:rFonts w:ascii="Arial" w:hAnsi="Arial"/>
                <w:b/>
                <w:color w:val="FFFFFF"/>
                <w:sz w:val="17"/>
              </w:rPr>
              <w:t>Disposal / notes</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Question/item bank</w:t>
            </w:r>
          </w:p>
        </w:tc>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5"/>
              </w:rPr>
              <w:t>Retirement</w:t>
            </w:r>
          </w:p>
        </w:tc>
        <w:tc>
          <w:tcPr>
            <w:tcW w:type="dxa" w:w="1550"/>
            <w:shd w:fill="FFFFFF"/>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010"/>
            <w:shd w:fill="FFFFFF"/>
            <w:vAlign w:val="top"/>
            <w:tcMar>
              <w:top w:w="70" w:type="dxa"/>
              <w:start w:w="105" w:type="dxa"/>
              <w:bottom w:w="70" w:type="dxa"/>
              <w:end w:w="105" w:type="dxa"/>
            </w:tcMar>
          </w:tcPr>
          <w:p>
            <w:pPr>
              <w:spacing w:after="20" w:line="240" w:lineRule="auto"/>
            </w:pPr>
            <w:r>
              <w:rPr>
                <w:rFonts w:ascii="Arial" w:hAnsi="Arial"/>
                <w:color w:val="172033"/>
                <w:sz w:val="15"/>
              </w:rPr>
              <w:t>Protected archive for defensibility; delete drafts sooner</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Assessment form/key</w:t>
            </w:r>
          </w:p>
        </w:tc>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5"/>
              </w:rPr>
              <w:t>Last use/retirement</w:t>
            </w:r>
          </w:p>
        </w:tc>
        <w:tc>
          <w:tcPr>
            <w:tcW w:type="dxa" w:w="1550"/>
            <w:shd w:fill="F6F7F9"/>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010"/>
            <w:shd w:fill="F6F7F9"/>
            <w:vAlign w:val="top"/>
            <w:tcMar>
              <w:top w:w="70" w:type="dxa"/>
              <w:start w:w="105" w:type="dxa"/>
              <w:bottom w:w="70" w:type="dxa"/>
              <w:end w:w="105" w:type="dxa"/>
            </w:tcMar>
          </w:tcPr>
          <w:p>
            <w:pPr>
              <w:spacing w:after="20" w:line="240" w:lineRule="auto"/>
            </w:pPr>
            <w:r>
              <w:rPr>
                <w:rFonts w:ascii="Arial" w:hAnsi="Arial"/>
                <w:color w:val="172033"/>
                <w:sz w:val="15"/>
              </w:rPr>
              <w:t>Restricted; exposure records may justify period</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Draft/rejected content</w:t>
            </w:r>
          </w:p>
        </w:tc>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5"/>
              </w:rPr>
              <w:t>Closure</w:t>
            </w:r>
          </w:p>
        </w:tc>
        <w:tc>
          <w:tcPr>
            <w:tcW w:type="dxa" w:w="1550"/>
            <w:shd w:fill="FFFFFF"/>
            <w:vAlign w:val="top"/>
            <w:tcMar>
              <w:top w:w="70" w:type="dxa"/>
              <w:start w:w="105" w:type="dxa"/>
              <w:bottom w:w="70" w:type="dxa"/>
              <w:end w:w="105" w:type="dxa"/>
            </w:tcMar>
          </w:tcPr>
          <w:p>
            <w:pPr>
              <w:spacing w:after="20" w:line="240" w:lineRule="auto"/>
            </w:pPr>
            <w:r>
              <w:rPr>
                <w:rFonts w:ascii="Arial" w:hAnsi="Arial"/>
                <w:color w:val="172033"/>
                <w:sz w:val="15"/>
              </w:rPr>
              <w:t>2 years proposed</w:t>
            </w:r>
          </w:p>
        </w:tc>
        <w:tc>
          <w:tcPr>
            <w:tcW w:type="dxa" w:w="4010"/>
            <w:shd w:fill="FFFFFF"/>
            <w:vAlign w:val="top"/>
            <w:tcMar>
              <w:top w:w="70" w:type="dxa"/>
              <w:start w:w="105" w:type="dxa"/>
              <w:bottom w:w="70" w:type="dxa"/>
              <w:end w:w="105" w:type="dxa"/>
            </w:tcMar>
          </w:tcPr>
          <w:p>
            <w:pPr>
              <w:spacing w:after="20" w:line="240" w:lineRule="auto"/>
            </w:pPr>
            <w:r>
              <w:rPr>
                <w:rFonts w:ascii="Arial" w:hAnsi="Arial"/>
                <w:color w:val="172033"/>
                <w:sz w:val="15"/>
              </w:rPr>
              <w:t>Delete unless decision/audit need</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Published/superseded content</w:t>
            </w:r>
          </w:p>
        </w:tc>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5"/>
              </w:rPr>
              <w:t>Supersession</w:t>
            </w:r>
          </w:p>
        </w:tc>
        <w:tc>
          <w:tcPr>
            <w:tcW w:type="dxa" w:w="1550"/>
            <w:shd w:fill="F6F7F9"/>
            <w:vAlign w:val="top"/>
            <w:tcMar>
              <w:top w:w="70" w:type="dxa"/>
              <w:start w:w="105" w:type="dxa"/>
              <w:bottom w:w="70" w:type="dxa"/>
              <w:end w:w="105" w:type="dxa"/>
            </w:tcMar>
          </w:tcPr>
          <w:p>
            <w:pPr>
              <w:spacing w:after="20" w:line="240" w:lineRule="auto"/>
            </w:pPr>
            <w:r>
              <w:rPr>
                <w:rFonts w:ascii="Arial" w:hAnsi="Arial"/>
                <w:color w:val="172033"/>
                <w:sz w:val="15"/>
              </w:rPr>
              <w:t>Life of dependent records + 6 years proposed</w:t>
            </w:r>
          </w:p>
        </w:tc>
        <w:tc>
          <w:tcPr>
            <w:tcW w:type="dxa" w:w="4010"/>
            <w:shd w:fill="F6F7F9"/>
            <w:vAlign w:val="top"/>
            <w:tcMar>
              <w:top w:w="70" w:type="dxa"/>
              <w:start w:w="105" w:type="dxa"/>
              <w:bottom w:w="70" w:type="dxa"/>
              <w:end w:w="105" w:type="dxa"/>
            </w:tcMar>
          </w:tcPr>
          <w:p>
            <w:pPr>
              <w:spacing w:after="20" w:line="240" w:lineRule="auto"/>
            </w:pPr>
            <w:r>
              <w:rPr>
                <w:rFonts w:ascii="Arial" w:hAnsi="Arial"/>
                <w:color w:val="172033"/>
                <w:sz w:val="15"/>
              </w:rPr>
              <w:t>Preserve exact historical decision context</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Review/approval records</w:t>
            </w:r>
          </w:p>
        </w:tc>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5"/>
              </w:rPr>
              <w:t>Decision</w:t>
            </w:r>
          </w:p>
        </w:tc>
        <w:tc>
          <w:tcPr>
            <w:tcW w:type="dxa" w:w="1550"/>
            <w:shd w:fill="FFFFFF"/>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010"/>
            <w:shd w:fill="FFFFFF"/>
            <w:vAlign w:val="top"/>
            <w:tcMar>
              <w:top w:w="70" w:type="dxa"/>
              <w:start w:w="105" w:type="dxa"/>
              <w:bottom w:w="70" w:type="dxa"/>
              <w:end w:w="105" w:type="dxa"/>
            </w:tcMar>
          </w:tcPr>
          <w:p>
            <w:pPr>
              <w:spacing w:after="20" w:line="240" w:lineRule="auto"/>
            </w:pPr>
            <w:r>
              <w:rPr>
                <w:rFonts w:ascii="Arial" w:hAnsi="Arial"/>
                <w:color w:val="172033"/>
                <w:sz w:val="15"/>
              </w:rPr>
              <w:t>Immutable governance evidence</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Event Training Package</w:t>
            </w:r>
          </w:p>
        </w:tc>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5"/>
              </w:rPr>
              <w:t>Event close</w:t>
            </w:r>
          </w:p>
        </w:tc>
        <w:tc>
          <w:tcPr>
            <w:tcW w:type="dxa" w:w="1550"/>
            <w:shd w:fill="F6F7F9"/>
            <w:vAlign w:val="top"/>
            <w:tcMar>
              <w:top w:w="70" w:type="dxa"/>
              <w:start w:w="105" w:type="dxa"/>
              <w:bottom w:w="70" w:type="dxa"/>
              <w:end w:w="105" w:type="dxa"/>
            </w:tcMar>
          </w:tcPr>
          <w:p>
            <w:pPr>
              <w:spacing w:after="20" w:line="240" w:lineRule="auto"/>
            </w:pPr>
            <w:r>
              <w:rPr>
                <w:rFonts w:ascii="Arial" w:hAnsi="Arial"/>
                <w:color w:val="172033"/>
                <w:sz w:val="15"/>
              </w:rPr>
              <w:t>2 years proposed</w:t>
            </w:r>
          </w:p>
        </w:tc>
        <w:tc>
          <w:tcPr>
            <w:tcW w:type="dxa" w:w="4010"/>
            <w:shd w:fill="F6F7F9"/>
            <w:vAlign w:val="top"/>
            <w:tcMar>
              <w:top w:w="70" w:type="dxa"/>
              <w:start w:w="105" w:type="dxa"/>
              <w:bottom w:w="70" w:type="dxa"/>
              <w:end w:w="105" w:type="dxa"/>
            </w:tcMar>
          </w:tcPr>
          <w:p>
            <w:pPr>
              <w:spacing w:after="20" w:line="240" w:lineRule="auto"/>
            </w:pPr>
            <w:r>
              <w:rPr>
                <w:rFonts w:ascii="Arial" w:hAnsi="Arial"/>
                <w:color w:val="172033"/>
                <w:sz w:val="15"/>
              </w:rPr>
              <w:t>Strip unnecessary event facts; dependent readiness refs retained</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Support tickets</w:t>
            </w:r>
          </w:p>
        </w:tc>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5"/>
              </w:rPr>
              <w:t>Closure</w:t>
            </w:r>
          </w:p>
        </w:tc>
        <w:tc>
          <w:tcPr>
            <w:tcW w:type="dxa" w:w="1550"/>
            <w:shd w:fill="FFFFFF"/>
            <w:vAlign w:val="top"/>
            <w:tcMar>
              <w:top w:w="70" w:type="dxa"/>
              <w:start w:w="105" w:type="dxa"/>
              <w:bottom w:w="70" w:type="dxa"/>
              <w:end w:w="105" w:type="dxa"/>
            </w:tcMar>
          </w:tcPr>
          <w:p>
            <w:pPr>
              <w:spacing w:after="20" w:line="240" w:lineRule="auto"/>
            </w:pPr>
            <w:r>
              <w:rPr>
                <w:rFonts w:ascii="Arial" w:hAnsi="Arial"/>
                <w:color w:val="172033"/>
                <w:sz w:val="15"/>
              </w:rPr>
              <w:t>2 years proposed</w:t>
            </w:r>
          </w:p>
        </w:tc>
        <w:tc>
          <w:tcPr>
            <w:tcW w:type="dxa" w:w="4010"/>
            <w:shd w:fill="FFFFFF"/>
            <w:vAlign w:val="top"/>
            <w:tcMar>
              <w:top w:w="70" w:type="dxa"/>
              <w:start w:w="105" w:type="dxa"/>
              <w:bottom w:w="70" w:type="dxa"/>
              <w:end w:w="105" w:type="dxa"/>
            </w:tcMar>
          </w:tcPr>
          <w:p>
            <w:pPr>
              <w:spacing w:after="20" w:line="240" w:lineRule="auto"/>
            </w:pPr>
            <w:r>
              <w:rPr>
                <w:rFonts w:ascii="Arial" w:hAnsi="Arial"/>
                <w:color w:val="172033"/>
                <w:sz w:val="15"/>
              </w:rPr>
              <w:t>Redact attachments/secrets promptly</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Application/security logs</w:t>
            </w:r>
          </w:p>
        </w:tc>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5"/>
              </w:rPr>
              <w:t>Creation</w:t>
            </w:r>
          </w:p>
        </w:tc>
        <w:tc>
          <w:tcPr>
            <w:tcW w:type="dxa" w:w="1550"/>
            <w:shd w:fill="F6F7F9"/>
            <w:vAlign w:val="top"/>
            <w:tcMar>
              <w:top w:w="70" w:type="dxa"/>
              <w:start w:w="105" w:type="dxa"/>
              <w:bottom w:w="70" w:type="dxa"/>
              <w:end w:w="105" w:type="dxa"/>
            </w:tcMar>
          </w:tcPr>
          <w:p>
            <w:pPr>
              <w:spacing w:after="20" w:line="240" w:lineRule="auto"/>
            </w:pPr>
            <w:r>
              <w:rPr>
                <w:rFonts w:ascii="Arial" w:hAnsi="Arial"/>
                <w:color w:val="172033"/>
                <w:sz w:val="15"/>
              </w:rPr>
              <w:t>13 months proposed</w:t>
            </w:r>
          </w:p>
        </w:tc>
        <w:tc>
          <w:tcPr>
            <w:tcW w:type="dxa" w:w="4010"/>
            <w:shd w:fill="F6F7F9"/>
            <w:vAlign w:val="top"/>
            <w:tcMar>
              <w:top w:w="70" w:type="dxa"/>
              <w:start w:w="105" w:type="dxa"/>
              <w:bottom w:w="70" w:type="dxa"/>
              <w:end w:w="105" w:type="dxa"/>
            </w:tcMar>
          </w:tcPr>
          <w:p>
            <w:pPr>
              <w:spacing w:after="20" w:line="240" w:lineRule="auto"/>
            </w:pPr>
            <w:r>
              <w:rPr>
                <w:rFonts w:ascii="Arial" w:hAnsi="Arial"/>
                <w:color w:val="172033"/>
                <w:sz w:val="15"/>
              </w:rPr>
              <w:t>Longer for high-risk/incident subset</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Privileged/audit events</w:t>
            </w:r>
          </w:p>
        </w:tc>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5"/>
              </w:rPr>
              <w:t>Creation/case closure</w:t>
            </w:r>
          </w:p>
        </w:tc>
        <w:tc>
          <w:tcPr>
            <w:tcW w:type="dxa" w:w="1550"/>
            <w:shd w:fill="FFFFFF"/>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010"/>
            <w:shd w:fill="FFFFFF"/>
            <w:vAlign w:val="top"/>
            <w:tcMar>
              <w:top w:w="70" w:type="dxa"/>
              <w:start w:w="105" w:type="dxa"/>
              <w:bottom w:w="70" w:type="dxa"/>
              <w:end w:w="105" w:type="dxa"/>
            </w:tcMar>
          </w:tcPr>
          <w:p>
            <w:pPr>
              <w:spacing w:after="20" w:line="240" w:lineRule="auto"/>
            </w:pPr>
            <w:r>
              <w:rPr>
                <w:rFonts w:ascii="Arial" w:hAnsi="Arial"/>
                <w:color w:val="172033"/>
                <w:sz w:val="15"/>
              </w:rPr>
              <w:t>Tamper protected; minimise payload</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Security incident case</w:t>
            </w:r>
          </w:p>
        </w:tc>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5"/>
              </w:rPr>
              <w:t>Closure</w:t>
            </w:r>
          </w:p>
        </w:tc>
        <w:tc>
          <w:tcPr>
            <w:tcW w:type="dxa" w:w="1550"/>
            <w:shd w:fill="F6F7F9"/>
            <w:vAlign w:val="top"/>
            <w:tcMar>
              <w:top w:w="70" w:type="dxa"/>
              <w:start w:w="105" w:type="dxa"/>
              <w:bottom w:w="70" w:type="dxa"/>
              <w:end w:w="105" w:type="dxa"/>
            </w:tcMar>
          </w:tcPr>
          <w:p>
            <w:pPr>
              <w:spacing w:after="20" w:line="240" w:lineRule="auto"/>
            </w:pPr>
            <w:r>
              <w:rPr>
                <w:rFonts w:ascii="Arial" w:hAnsi="Arial"/>
                <w:color w:val="172033"/>
                <w:sz w:val="15"/>
              </w:rPr>
              <w:t>6 years proposed</w:t>
            </w:r>
          </w:p>
        </w:tc>
        <w:tc>
          <w:tcPr>
            <w:tcW w:type="dxa" w:w="4010"/>
            <w:shd w:fill="F6F7F9"/>
            <w:vAlign w:val="top"/>
            <w:tcMar>
              <w:top w:w="70" w:type="dxa"/>
              <w:start w:w="105" w:type="dxa"/>
              <w:bottom w:w="70" w:type="dxa"/>
              <w:end w:w="105" w:type="dxa"/>
            </w:tcMar>
          </w:tcPr>
          <w:p>
            <w:pPr>
              <w:spacing w:after="20" w:line="240" w:lineRule="auto"/>
            </w:pPr>
            <w:r>
              <w:rPr>
                <w:rFonts w:ascii="Arial" w:hAnsi="Arial"/>
                <w:color w:val="172033"/>
                <w:sz w:val="15"/>
              </w:rPr>
              <w:t>Longer if approved legal/claim need</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5"/>
              </w:rPr>
              <w:t>Exports/temp files</w:t>
            </w:r>
          </w:p>
        </w:tc>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5"/>
              </w:rPr>
              <w:t>Creation/delivery</w:t>
            </w:r>
          </w:p>
        </w:tc>
        <w:tc>
          <w:tcPr>
            <w:tcW w:type="dxa" w:w="1550"/>
            <w:shd w:fill="FFFFFF"/>
            <w:vAlign w:val="top"/>
            <w:tcMar>
              <w:top w:w="70" w:type="dxa"/>
              <w:start w:w="105" w:type="dxa"/>
              <w:bottom w:w="70" w:type="dxa"/>
              <w:end w:w="105" w:type="dxa"/>
            </w:tcMar>
          </w:tcPr>
          <w:p>
            <w:pPr>
              <w:spacing w:after="20" w:line="240" w:lineRule="auto"/>
            </w:pPr>
            <w:r>
              <w:rPr>
                <w:rFonts w:ascii="Arial" w:hAnsi="Arial"/>
                <w:color w:val="172033"/>
                <w:sz w:val="15"/>
              </w:rPr>
              <w:t>7-30 days proposed</w:t>
            </w:r>
          </w:p>
        </w:tc>
        <w:tc>
          <w:tcPr>
            <w:tcW w:type="dxa" w:w="4010"/>
            <w:shd w:fill="FFFFFF"/>
            <w:vAlign w:val="top"/>
            <w:tcMar>
              <w:top w:w="70" w:type="dxa"/>
              <w:start w:w="105" w:type="dxa"/>
              <w:bottom w:w="70" w:type="dxa"/>
              <w:end w:w="105" w:type="dxa"/>
            </w:tcMar>
          </w:tcPr>
          <w:p>
            <w:pPr>
              <w:spacing w:after="20" w:line="240" w:lineRule="auto"/>
            </w:pPr>
            <w:r>
              <w:rPr>
                <w:rFonts w:ascii="Arial" w:hAnsi="Arial"/>
                <w:color w:val="172033"/>
                <w:sz w:val="15"/>
              </w:rPr>
              <w:t>Auto-expire; recipient obligations continue</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5"/>
              </w:rPr>
              <w:t>Backups</w:t>
            </w:r>
          </w:p>
        </w:tc>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5"/>
              </w:rPr>
              <w:t>Backup creation</w:t>
            </w:r>
          </w:p>
        </w:tc>
        <w:tc>
          <w:tcPr>
            <w:tcW w:type="dxa" w:w="1550"/>
            <w:shd w:fill="F6F7F9"/>
            <w:vAlign w:val="top"/>
            <w:tcMar>
              <w:top w:w="70" w:type="dxa"/>
              <w:start w:w="105" w:type="dxa"/>
              <w:bottom w:w="70" w:type="dxa"/>
              <w:end w:w="105" w:type="dxa"/>
            </w:tcMar>
          </w:tcPr>
          <w:p>
            <w:pPr>
              <w:spacing w:after="20" w:line="240" w:lineRule="auto"/>
            </w:pPr>
            <w:r>
              <w:rPr>
                <w:rFonts w:ascii="Arial" w:hAnsi="Arial"/>
                <w:color w:val="172033"/>
                <w:sz w:val="15"/>
              </w:rPr>
              <w:t>35-90 days proposed</w:t>
            </w:r>
          </w:p>
        </w:tc>
        <w:tc>
          <w:tcPr>
            <w:tcW w:type="dxa" w:w="4010"/>
            <w:shd w:fill="F6F7F9"/>
            <w:vAlign w:val="top"/>
            <w:tcMar>
              <w:top w:w="70" w:type="dxa"/>
              <w:start w:w="105" w:type="dxa"/>
              <w:bottom w:w="70" w:type="dxa"/>
              <w:end w:w="105" w:type="dxa"/>
            </w:tcMar>
          </w:tcPr>
          <w:p>
            <w:pPr>
              <w:spacing w:after="20" w:line="240" w:lineRule="auto"/>
            </w:pPr>
            <w:r>
              <w:rPr>
                <w:rFonts w:ascii="Arial" w:hAnsi="Arial"/>
                <w:color w:val="172033"/>
                <w:sz w:val="15"/>
              </w:rPr>
              <w:t>Encrypted rotation; deletion ledger on restore</w:t>
            </w:r>
          </w:p>
        </w:tc>
      </w:tr>
    </w:tbl>
    <w:p>
      <w:r>
        <w:br w:type="page"/>
      </w:r>
    </w:p>
    <w:p>
      <w:pPr>
        <w:pStyle w:val="Heading1"/>
      </w:pPr>
      <w:r>
        <w:t>23. Deletion, anonymisation and holds</w:t>
      </w:r>
    </w:p>
    <w:tbl>
      <w:tblPr>
        <w:tblStyle w:val="TableGrid"/>
        <w:tblW w:type="dxa" w:w="9360"/>
        <w:jc w:val="left"/>
        <w:tblLayout w:type="fixed"/>
        <w:tblLook w:firstColumn="1" w:firstRow="1" w:lastColumn="0" w:lastRow="0" w:noHBand="0" w:noVBand="1" w:val="04A0"/>
        <w:tblInd w:w="120" w:type="dxa"/>
      </w:tblPr>
      <w:tblGrid>
        <w:gridCol w:w="1950"/>
        <w:gridCol w:w="7410"/>
      </w:tblGrid>
      <w:tr>
        <w:tc>
          <w:tcPr>
            <w:tcW w:type="dxa" w:w="1950"/>
            <w:shd w:fill="10243E"/>
            <w:tcMar>
              <w:top w:w="70" w:type="dxa"/>
              <w:start w:w="105" w:type="dxa"/>
              <w:bottom w:w="70" w:type="dxa"/>
              <w:end w:w="105" w:type="dxa"/>
            </w:tcMar>
          </w:tcPr>
          <w:p>
            <w:r>
              <w:rPr>
                <w:rFonts w:ascii="Arial" w:hAnsi="Arial"/>
                <w:b/>
                <w:color w:val="FFFFFF"/>
                <w:sz w:val="17"/>
              </w:rPr>
              <w:t>Action</w:t>
            </w:r>
          </w:p>
        </w:tc>
        <w:tc>
          <w:tcPr>
            <w:tcW w:type="dxa" w:w="7410"/>
            <w:shd w:fill="10243E"/>
            <w:tcMar>
              <w:top w:w="70" w:type="dxa"/>
              <w:start w:w="105" w:type="dxa"/>
              <w:bottom w:w="70" w:type="dxa"/>
              <w:end w:w="105" w:type="dxa"/>
            </w:tcMar>
          </w:tcPr>
          <w:p>
            <w:r>
              <w:rPr>
                <w:rFonts w:ascii="Arial" w:hAnsi="Arial"/>
                <w:b/>
                <w:color w:val="FFFFFF"/>
                <w:sz w:val="17"/>
              </w:rPr>
              <w:t>Control</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Eligibility scan</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Confirm trigger, period, owner, classification, dependencies and holds</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Approval</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Dual control for restricted/bulk/high-impact purge</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Scope preview</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Rows, objects, stores, vendors, backups and expected retained references</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Deletion</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Idempotent secure delete/crypto-erasure according to storage capability</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Anonymisation</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Irreversible against reasonably available means; remove linkable keys and small-cohort risk</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Derived data</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Delete/recompute caches, search indexes, embeddings, analytics and exports</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Vendor copies</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Contracted deletion and confirmation; reconcile failures</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Backups</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Expire by schedule; on restore, replay deletion ledger before service</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Hold</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Exact subject/category/case scope, authority, reason, start/review and release</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Receipt</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Counts, exceptions, actor/approver, time, method and verification</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Failure</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No false completion; retry safely, alert owner and preserve case</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NO DESTRUCTIVE HISTORY</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Deletion must not rewrite an assessment or certificate into a misleading state. Where an audit obligation remains, retain a minimised, access-restricted decision stub and lawful justification rather than the unnecessary underlying data.</w:t>
            </w:r>
          </w:p>
        </w:tc>
      </w:tr>
    </w:tbl>
    <w:p>
      <w:r>
        <w:br w:type="page"/>
      </w:r>
    </w:p>
    <w:p>
      <w:pPr>
        <w:pStyle w:val="Heading1"/>
      </w:pPr>
      <w:r>
        <w:t>24. Backups, recovery and continuity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Control</w:t>
            </w:r>
          </w:p>
        </w:tc>
        <w:tc>
          <w:tcPr>
            <w:tcW w:type="dxa" w:w="7460"/>
            <w:shd w:fill="10243E"/>
            <w:tcMar>
              <w:top w:w="70" w:type="dxa"/>
              <w:start w:w="105" w:type="dxa"/>
              <w:bottom w:w="70" w:type="dxa"/>
              <w:end w:w="105" w:type="dxa"/>
            </w:tcMar>
          </w:tcPr>
          <w:p>
            <w:r>
              <w:rPr>
                <w:rFonts w:ascii="Arial" w:hAnsi="Arial"/>
                <w:b/>
                <w:color w:val="FFFFFF"/>
                <w:sz w:val="17"/>
              </w:rPr>
              <w:t>Requirement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Scope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Document systems/data covered and intentionally excluded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Encryption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Encrypted in transit/at rest with separately controlled keys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Isolation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Protect from production compromise and unauthorised deletion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Frequency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Set recovery-point objective by service criticality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Restore time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Set recovery-time objective and event-critical priority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Testing</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Regular restore test using safe data; evidence completeness and integrity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Immutability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Protected recovery copies where proportionate; does not mean indefinite retention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Deletion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Backup lifetime bounded; restored copies receive current deletions/holds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Incident recovery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Trusted restore point, key rotation and integration/offline reconciliation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Vendor exit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Export/restore test and confirmed deletion at termination</w:t>
            </w:r>
          </w:p>
        </w:tc>
      </w:tr>
    </w:tbl>
    <w:p>
      <w:r>
        <w:br w:type="page"/>
      </w:r>
    </w:p>
    <w:p>
      <w:pPr>
        <w:pStyle w:val="Heading1"/>
      </w:pPr>
      <w:r>
        <w:t>25. Vendors, subprocessors and transfers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Control</w:t>
            </w:r>
          </w:p>
        </w:tc>
        <w:tc>
          <w:tcPr>
            <w:tcW w:type="dxa" w:w="7460"/>
            <w:shd w:fill="10243E"/>
            <w:tcMar>
              <w:top w:w="70" w:type="dxa"/>
              <w:start w:w="105" w:type="dxa"/>
              <w:bottom w:w="70" w:type="dxa"/>
              <w:end w:w="105" w:type="dxa"/>
            </w:tcMar>
          </w:tcPr>
          <w:p>
            <w:r>
              <w:rPr>
                <w:rFonts w:ascii="Arial" w:hAnsi="Arial"/>
                <w:b/>
                <w:color w:val="FFFFFF"/>
                <w:sz w:val="17"/>
              </w:rPr>
              <w:t>Requirement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Due diligence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Security/privacy capability, location, incident history and critical dependency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Contract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Purpose, instructions, confidentiality, security, subprocessors, incidents, rights, return/deletion and audit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Data map</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Exact categories, subjects, locations, transfers and retention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Access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Named/narrow service roles; no vendor blanket production access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Transfer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Approved jurisdictional mechanism/safeguards recorded before transfer</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Monitoring</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Assurance evidence, incidents, changes and service availability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Subprocessor change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Notice, review and objection/exit route as policy requires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AI provider</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No training on protected data unless explicitly approved; retention and isolation controlled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Exit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Revoke credentials, export needed records, delete copies/backups and obtain evidence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Failure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Continuity/alternative plan for critical provider</w:t>
            </w:r>
          </w:p>
        </w:tc>
      </w:tr>
    </w:tbl>
    <w:p>
      <w:r>
        <w:br w:type="page"/>
      </w:r>
    </w:p>
    <w:p>
      <w:pPr>
        <w:pStyle w:val="Heading1"/>
      </w:pPr>
      <w:r>
        <w:t>26. AI, analytics and derived data</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Use</w:t>
            </w:r>
          </w:p>
        </w:tc>
        <w:tc>
          <w:tcPr>
            <w:tcW w:type="dxa" w:w="7460"/>
            <w:shd w:fill="10243E"/>
            <w:tcMar>
              <w:top w:w="70" w:type="dxa"/>
              <w:start w:w="105" w:type="dxa"/>
              <w:bottom w:w="70" w:type="dxa"/>
              <w:end w:w="105" w:type="dxa"/>
            </w:tcMar>
          </w:tcPr>
          <w:p>
            <w:r>
              <w:rPr>
                <w:rFonts w:ascii="Arial" w:hAnsi="Arial"/>
                <w:b/>
                <w:color w:val="FFFFFF"/>
                <w:sz w:val="17"/>
              </w:rPr>
              <w:t>Control</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AI tutoring/summaries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Use approved minimum context; label output; no keys or unsupported authority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Authoring assistance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Draft-only provenance; no personal/raw response use unless expressly governed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Intelligence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Aggregate/minimise; small-cohort suppression; show confidence and source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Recommendations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No sensitive-trait inference; human decision; no automatic certification/assignment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Embeddings/search index</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Classify as source; tenant isolation; deletion/reindex propagation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Model training/fine-tuning</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Prohibited on protected Academy/event data unless separately ratified and contracted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Telemetry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No raw answers, evidence, keystrokes, tokens or restricted event screens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Prompt/output logs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Minimise, classify, restrict and retain under approved schedule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External AI</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No copy/paste of restricted data into unapproved tools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Incident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Disable provider/feature, preserve evidence and assess exposed prompts/outputs</w:t>
            </w:r>
          </w:p>
        </w:tc>
      </w:tr>
    </w:tbl>
    <w:p>
      <w:r>
        <w:br w:type="page"/>
      </w:r>
    </w:p>
    <w:p>
      <w:pPr>
        <w:pStyle w:val="Heading1"/>
      </w:pPr>
      <w:r>
        <w:t>27. Privacy and security by interface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Role</w:t>
            </w:r>
          </w:p>
        </w:tc>
        <w:tc>
          <w:tcPr>
            <w:tcW w:type="dxa" w:w="7460"/>
            <w:shd w:fill="10243E"/>
            <w:tcMar>
              <w:top w:w="70" w:type="dxa"/>
              <w:start w:w="105" w:type="dxa"/>
              <w:bottom w:w="70" w:type="dxa"/>
              <w:end w:w="105" w:type="dxa"/>
            </w:tcMar>
          </w:tcPr>
          <w:p>
            <w:r>
              <w:rPr>
                <w:rFonts w:ascii="Arial" w:hAnsi="Arial"/>
                <w:b/>
                <w:color w:val="FFFFFF"/>
                <w:sz w:val="17"/>
              </w:rPr>
              <w:t>Safe experience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Learner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Own data, notice, sessions, accessibility privacy, downloads and rights route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Manager</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Safe team status/blockers; no raw responses, keys or protected assessor notes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Assessor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Assigned cases only; secure evidence viewer; conflict declaration; no full bank</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Author/reviewer</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Protected draft/key workspace; controlled preview and export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Administrator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Function-limited queues, bulk preview, reason, approval and receipts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CEO/governance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Risk/coverage intelligence and purpose-bound drilldown; no unrestricted mutation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Auditor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Read-only reconstruction; access is audited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Support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Ticket-scoped minimum diagnostic view; visible/time-bound impersonation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Event OS consumer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Minimum certificate/readiness status only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Service identity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Narrow machine scope, owner, rotation and correlation</w:t>
            </w:r>
          </w:p>
        </w:tc>
      </w:tr>
    </w:tbl>
    <w:p>
      <w:r>
        <w:br w:type="page"/>
      </w:r>
    </w:p>
    <w:p>
      <w:pPr>
        <w:pStyle w:val="Heading1"/>
      </w:pPr>
      <w:r>
        <w:t>28. Lagos-specific and globally reusable logic</w:t>
      </w:r>
    </w:p>
    <w:tbl>
      <w:tblPr>
        <w:tblStyle w:val="TableGrid"/>
        <w:tblW w:type="dxa" w:w="9360"/>
        <w:jc w:val="left"/>
        <w:tblLayout w:type="fixed"/>
        <w:tblLook w:firstColumn="1" w:firstRow="1" w:lastColumn="0" w:lastRow="0" w:noHBand="0" w:noVBand="1" w:val="04A0"/>
        <w:tblInd w:w="120" w:type="dxa"/>
      </w:tblPr>
      <w:tblGrid>
        <w:gridCol w:w="4550"/>
        <w:gridCol w:w="4810"/>
      </w:tblGrid>
      <w:tr>
        <w:tc>
          <w:tcPr>
            <w:tcW w:type="dxa" w:w="4550"/>
            <w:shd w:fill="10243E"/>
            <w:tcMar>
              <w:top w:w="70" w:type="dxa"/>
              <w:start w:w="105" w:type="dxa"/>
              <w:bottom w:w="70" w:type="dxa"/>
              <w:end w:w="105" w:type="dxa"/>
            </w:tcMar>
          </w:tcPr>
          <w:p>
            <w:r>
              <w:rPr>
                <w:rFonts w:ascii="Arial" w:hAnsi="Arial"/>
                <w:b/>
                <w:color w:val="FFFFFF"/>
                <w:sz w:val="17"/>
              </w:rPr>
              <w:t>Globally reusable</w:t>
            </w:r>
          </w:p>
        </w:tc>
        <w:tc>
          <w:tcPr>
            <w:tcW w:type="dxa" w:w="4810"/>
            <w:shd w:fill="10243E"/>
            <w:tcMar>
              <w:top w:w="70" w:type="dxa"/>
              <w:start w:w="105" w:type="dxa"/>
              <w:bottom w:w="70" w:type="dxa"/>
              <w:end w:w="105" w:type="dxa"/>
            </w:tcMar>
          </w:tcPr>
          <w:p>
            <w:r>
              <w:rPr>
                <w:rFonts w:ascii="Arial" w:hAnsi="Arial"/>
                <w:b/>
                <w:color w:val="FFFFFF"/>
                <w:sz w:val="17"/>
              </w:rPr>
              <w:t>Localised and versioned</w:t>
            </w:r>
          </w:p>
        </w:tc>
      </w:tr>
      <w:tr>
        <w:tc>
          <w:tcPr>
            <w:tcW w:type="dxa" w:w="4550"/>
            <w:shd w:fill="FFFFFF"/>
            <w:vAlign w:val="top"/>
            <w:tcMar>
              <w:top w:w="70" w:type="dxa"/>
              <w:start w:w="105" w:type="dxa"/>
              <w:bottom w:w="70" w:type="dxa"/>
              <w:end w:w="105" w:type="dxa"/>
            </w:tcMar>
          </w:tcPr>
          <w:p>
            <w:pPr>
              <w:spacing w:after="20" w:line="240" w:lineRule="auto"/>
            </w:pPr>
            <w:r>
              <w:rPr>
                <w:rFonts w:ascii="Arial" w:hAnsi="Arial"/>
                <w:color w:val="172033"/>
                <w:sz w:val="16"/>
              </w:rPr>
              <w:t>Classification, least privilege, encryption and audit</w:t>
            </w:r>
          </w:p>
        </w:tc>
        <w:tc>
          <w:tcPr>
            <w:tcW w:type="dxa" w:w="4810"/>
            <w:shd w:fill="FFFFFF"/>
            <w:vAlign w:val="top"/>
            <w:tcMar>
              <w:top w:w="70" w:type="dxa"/>
              <w:start w:w="105" w:type="dxa"/>
              <w:bottom w:w="70" w:type="dxa"/>
              <w:end w:w="105" w:type="dxa"/>
            </w:tcMar>
          </w:tcPr>
          <w:p>
            <w:pPr>
              <w:spacing w:after="20" w:line="240" w:lineRule="auto"/>
            </w:pPr>
            <w:r>
              <w:rPr>
                <w:rFonts w:ascii="Arial" w:hAnsi="Arial"/>
                <w:color w:val="172033"/>
                <w:sz w:val="16"/>
              </w:rPr>
              <w:t>Nigeria/Lagos privacy and employment requirements</w:t>
            </w:r>
          </w:p>
        </w:tc>
      </w:tr>
      <w:tr>
        <w:tc>
          <w:tcPr>
            <w:tcW w:type="dxa" w:w="4550"/>
            <w:shd w:fill="F6F7F9"/>
            <w:vAlign w:val="top"/>
            <w:tcMar>
              <w:top w:w="70" w:type="dxa"/>
              <w:start w:w="105" w:type="dxa"/>
              <w:bottom w:w="70" w:type="dxa"/>
              <w:end w:w="105" w:type="dxa"/>
            </w:tcMar>
          </w:tcPr>
          <w:p>
            <w:pPr>
              <w:spacing w:after="20" w:line="240" w:lineRule="auto"/>
            </w:pPr>
            <w:r>
              <w:rPr>
                <w:rFonts w:ascii="Arial" w:hAnsi="Arial"/>
                <w:color w:val="172033"/>
                <w:sz w:val="16"/>
              </w:rPr>
              <w:t>Assessment integrity and immutable evidence</w:t>
            </w:r>
          </w:p>
        </w:tc>
        <w:tc>
          <w:tcPr>
            <w:tcW w:type="dxa" w:w="4810"/>
            <w:shd w:fill="F6F7F9"/>
            <w:vAlign w:val="top"/>
            <w:tcMar>
              <w:top w:w="70" w:type="dxa"/>
              <w:start w:w="105" w:type="dxa"/>
              <w:bottom w:w="70" w:type="dxa"/>
              <w:end w:w="105" w:type="dxa"/>
            </w:tcMar>
          </w:tcPr>
          <w:p>
            <w:pPr>
              <w:spacing w:after="20" w:line="240" w:lineRule="auto"/>
            </w:pPr>
            <w:r>
              <w:rPr>
                <w:rFonts w:ascii="Arial" w:hAnsi="Arial"/>
                <w:color w:val="172033"/>
                <w:sz w:val="16"/>
              </w:rPr>
              <w:t>Local examination, workplace and cultural expectations</w:t>
            </w:r>
          </w:p>
        </w:tc>
      </w:tr>
      <w:tr>
        <w:tc>
          <w:tcPr>
            <w:tcW w:type="dxa" w:w="4550"/>
            <w:shd w:fill="FFFFFF"/>
            <w:vAlign w:val="top"/>
            <w:tcMar>
              <w:top w:w="70" w:type="dxa"/>
              <w:start w:w="105" w:type="dxa"/>
              <w:bottom w:w="70" w:type="dxa"/>
              <w:end w:w="105" w:type="dxa"/>
            </w:tcMar>
          </w:tcPr>
          <w:p>
            <w:pPr>
              <w:spacing w:after="20" w:line="240" w:lineRule="auto"/>
            </w:pPr>
            <w:r>
              <w:rPr>
                <w:rFonts w:ascii="Arial" w:hAnsi="Arial"/>
                <w:color w:val="172033"/>
                <w:sz w:val="16"/>
              </w:rPr>
              <w:t>Event/assignment/purpose/time scoping</w:t>
            </w:r>
          </w:p>
        </w:tc>
        <w:tc>
          <w:tcPr>
            <w:tcW w:type="dxa" w:w="4810"/>
            <w:shd w:fill="FFFFFF"/>
            <w:vAlign w:val="top"/>
            <w:tcMar>
              <w:top w:w="70" w:type="dxa"/>
              <w:start w:w="105" w:type="dxa"/>
              <w:bottom w:w="70" w:type="dxa"/>
              <w:end w:w="105" w:type="dxa"/>
            </w:tcMar>
          </w:tcPr>
          <w:p>
            <w:pPr>
              <w:spacing w:after="20" w:line="240" w:lineRule="auto"/>
            </w:pPr>
            <w:r>
              <w:rPr>
                <w:rFonts w:ascii="Arial" w:hAnsi="Arial"/>
                <w:color w:val="172033"/>
                <w:sz w:val="16"/>
              </w:rPr>
              <w:t>Venue risk, connectivity and device-sharing conditions</w:t>
            </w:r>
          </w:p>
        </w:tc>
      </w:tr>
      <w:tr>
        <w:tc>
          <w:tcPr>
            <w:tcW w:type="dxa" w:w="4550"/>
            <w:shd w:fill="F6F7F9"/>
            <w:vAlign w:val="top"/>
            <w:tcMar>
              <w:top w:w="70" w:type="dxa"/>
              <w:start w:w="105" w:type="dxa"/>
              <w:bottom w:w="70" w:type="dxa"/>
              <w:end w:w="105" w:type="dxa"/>
            </w:tcMar>
          </w:tcPr>
          <w:p>
            <w:pPr>
              <w:spacing w:after="20" w:line="240" w:lineRule="auto"/>
            </w:pPr>
            <w:r>
              <w:rPr>
                <w:rFonts w:ascii="Arial" w:hAnsi="Arial"/>
                <w:color w:val="172033"/>
                <w:sz w:val="16"/>
              </w:rPr>
              <w:t>Retention triggers, holds and deletion proof</w:t>
            </w:r>
          </w:p>
        </w:tc>
        <w:tc>
          <w:tcPr>
            <w:tcW w:type="dxa" w:w="4810"/>
            <w:shd w:fill="F6F7F9"/>
            <w:vAlign w:val="top"/>
            <w:tcMar>
              <w:top w:w="70" w:type="dxa"/>
              <w:start w:w="105" w:type="dxa"/>
              <w:bottom w:w="70" w:type="dxa"/>
              <w:end w:w="105" w:type="dxa"/>
            </w:tcMar>
          </w:tcPr>
          <w:p>
            <w:pPr>
              <w:spacing w:after="20" w:line="240" w:lineRule="auto"/>
            </w:pPr>
            <w:r>
              <w:rPr>
                <w:rFonts w:ascii="Arial" w:hAnsi="Arial"/>
                <w:color w:val="172033"/>
                <w:sz w:val="16"/>
              </w:rPr>
              <w:t>Approved Nigerian/UK/event-local retention periods and rights</w:t>
            </w:r>
          </w:p>
        </w:tc>
      </w:tr>
      <w:tr>
        <w:tc>
          <w:tcPr>
            <w:tcW w:type="dxa" w:w="4550"/>
            <w:shd w:fill="FFFFFF"/>
            <w:vAlign w:val="top"/>
            <w:tcMar>
              <w:top w:w="70" w:type="dxa"/>
              <w:start w:w="105" w:type="dxa"/>
              <w:bottom w:w="70" w:type="dxa"/>
              <w:end w:w="105" w:type="dxa"/>
            </w:tcMar>
          </w:tcPr>
          <w:p>
            <w:pPr>
              <w:spacing w:after="20" w:line="240" w:lineRule="auto"/>
            </w:pPr>
            <w:r>
              <w:rPr>
                <w:rFonts w:ascii="Arial" w:hAnsi="Arial"/>
                <w:color w:val="172033"/>
                <w:sz w:val="16"/>
              </w:rPr>
              <w:t>Vendor and cross-border governance</w:t>
            </w:r>
          </w:p>
        </w:tc>
        <w:tc>
          <w:tcPr>
            <w:tcW w:type="dxa" w:w="4810"/>
            <w:shd w:fill="FFFFFF"/>
            <w:vAlign w:val="top"/>
            <w:tcMar>
              <w:top w:w="70" w:type="dxa"/>
              <w:start w:w="105" w:type="dxa"/>
              <w:bottom w:w="70" w:type="dxa"/>
              <w:end w:w="105" w:type="dxa"/>
            </w:tcMar>
          </w:tcPr>
          <w:p>
            <w:pPr>
              <w:spacing w:after="20" w:line="240" w:lineRule="auto"/>
            </w:pPr>
            <w:r>
              <w:rPr>
                <w:rFonts w:ascii="Arial" w:hAnsi="Arial"/>
                <w:color w:val="172033"/>
                <w:sz w:val="16"/>
              </w:rPr>
              <w:t>Service locations and transfer safeguards</w:t>
            </w:r>
          </w:p>
        </w:tc>
      </w:tr>
      <w:tr>
        <w:tc>
          <w:tcPr>
            <w:tcW w:type="dxa" w:w="4550"/>
            <w:shd w:fill="F6F7F9"/>
            <w:vAlign w:val="top"/>
            <w:tcMar>
              <w:top w:w="70" w:type="dxa"/>
              <w:start w:w="105" w:type="dxa"/>
              <w:bottom w:w="70" w:type="dxa"/>
              <w:end w:w="105" w:type="dxa"/>
            </w:tcMar>
          </w:tcPr>
          <w:p>
            <w:pPr>
              <w:spacing w:after="20" w:line="240" w:lineRule="auto"/>
            </w:pPr>
            <w:r>
              <w:rPr>
                <w:rFonts w:ascii="Arial" w:hAnsi="Arial"/>
                <w:color w:val="172033"/>
                <w:sz w:val="16"/>
              </w:rPr>
              <w:t>Incident lifecycle and recovery</w:t>
            </w:r>
          </w:p>
        </w:tc>
        <w:tc>
          <w:tcPr>
            <w:tcW w:type="dxa" w:w="4810"/>
            <w:shd w:fill="F6F7F9"/>
            <w:vAlign w:val="top"/>
            <w:tcMar>
              <w:top w:w="70" w:type="dxa"/>
              <w:start w:w="105" w:type="dxa"/>
              <w:bottom w:w="70" w:type="dxa"/>
              <w:end w:w="105" w:type="dxa"/>
            </w:tcMar>
          </w:tcPr>
          <w:p>
            <w:pPr>
              <w:spacing w:after="20" w:line="240" w:lineRule="auto"/>
            </w:pPr>
            <w:r>
              <w:rPr>
                <w:rFonts w:ascii="Arial" w:hAnsi="Arial"/>
                <w:color w:val="172033"/>
                <w:sz w:val="16"/>
              </w:rPr>
              <w:t>Local escalation, regulator/subject notification rules and contacts</w:t>
            </w:r>
          </w:p>
        </w:tc>
      </w:tr>
    </w:tbl>
    <w:p>
      <w:pPr>
        <w:pStyle w:val="ListBullet"/>
        <w:spacing w:after="60"/>
        <w:ind w:left="547" w:hanging="274"/>
      </w:pPr>
      <w:r>
        <w:t>Local controls carry source, jurisdiction, owner, effective date and review date.</w:t>
      </w:r>
    </w:p>
    <w:p>
      <w:pPr>
        <w:pStyle w:val="ListBullet"/>
        <w:spacing w:after="60"/>
        <w:ind w:left="547" w:hanging="274"/>
      </w:pPr>
      <w:r>
        <w:t>Remote operation follows the event locality while preserving Maison Doclar minimum standards.</w:t>
      </w:r>
    </w:p>
    <w:p>
      <w:pPr>
        <w:pStyle w:val="ListBullet"/>
        <w:spacing w:after="60"/>
        <w:ind w:left="547" w:hanging="274"/>
      </w:pPr>
      <w:r>
        <w:t>The production retention schedule cannot be ratified from convenience alone; privacy/legal owners must validate it.</w:t>
      </w:r>
    </w:p>
    <w:p>
      <w:r>
        <w:br w:type="page"/>
      </w:r>
    </w:p>
    <w:p>
      <w:pPr>
        <w:pStyle w:val="Heading1"/>
      </w:pPr>
      <w:r>
        <w:t>29. Acceptance tests - security and integrity</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105" w:type="dxa"/>
              <w:bottom w:w="70" w:type="dxa"/>
              <w:end w:w="105" w:type="dxa"/>
            </w:tcMar>
          </w:tcPr>
          <w:p>
            <w:r>
              <w:rPr>
                <w:rFonts w:ascii="Arial" w:hAnsi="Arial"/>
                <w:b/>
                <w:color w:val="FFFFFF"/>
                <w:sz w:val="17"/>
              </w:rPr>
              <w:t>ID</w:t>
            </w:r>
          </w:p>
        </w:tc>
        <w:tc>
          <w:tcPr>
            <w:tcW w:type="dxa" w:w="8260"/>
            <w:shd w:fill="10243E"/>
            <w:tcMar>
              <w:top w:w="70" w:type="dxa"/>
              <w:start w:w="105" w:type="dxa"/>
              <w:bottom w:w="70" w:type="dxa"/>
              <w:end w:w="105" w:type="dxa"/>
            </w:tcMar>
          </w:tcPr>
          <w:p>
            <w:r>
              <w:rPr>
                <w:rFonts w:ascii="Arial" w:hAnsi="Arial"/>
                <w:b/>
                <w:color w:val="FFFFFF"/>
                <w:sz w:val="17"/>
              </w:rPr>
              <w:t>Acceptance condition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SP-01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Every protected record has organisation_id; event records also require event_id</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SP-02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Cross-tenant and unauthorised cross-event access fails at API/data layer</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SP-03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Unknown/stale role, purpose, assignment or policy fails closed</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SP-04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MFA and reauthentication protect privileged/restricted actions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SP-05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Role switching visibly changes active scope and never merges permissions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SP-06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Learner cannot access another learner through URL, search, count or export</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SP-07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Manager receives no keys, raw responses or protected assessor notes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SP-08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Assessor sees only assigned cases after conflict checks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SP-09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Submitted response and frozen form cannot be overwritten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SP-10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Scoring references exact approved key/rubric/version and critical logic</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SP-11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Administrator/CEO cannot edit frozen evidence or audit history</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SP-12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Question-bank bulk access/export requires enhanced control and audit</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SP-13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Secure attempt retry/idempotency cannot create duplicate submissions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SP-14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Uploads are validated, scanned, quarantined and safely rendered</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SP-15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No secrets or restricted payloads enter source control, URLs or ordinary logs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SP-16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Restricted browser/cache/offline data expires and is revocable</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SP-17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Every privileged allow/deny decision is reconstructable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SP-18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Audit access is read-only and itself audited</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SP-19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Log pipeline failure raises alert and does not produce false assurance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SP-20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OS exchange excludes question keys, raw responses and private evidence</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SP-21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Unknown OS identity/event/version fails safely and reconciles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SP-22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Event-close removes event-scoped access and cached data</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SP-23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Backups restore trusted data and reapply deletion ledger</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SP-24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Vendor credentials and copies are revoked/deleted on exit</w:t>
            </w:r>
          </w:p>
        </w:tc>
      </w:tr>
    </w:tbl>
    <w:p>
      <w:r>
        <w:br w:type="page"/>
      </w:r>
    </w:p>
    <w:p>
      <w:pPr>
        <w:pStyle w:val="Heading1"/>
      </w:pPr>
      <w:r>
        <w:t>30. Acceptance tests - privacy and retention</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105" w:type="dxa"/>
              <w:bottom w:w="70" w:type="dxa"/>
              <w:end w:w="105" w:type="dxa"/>
            </w:tcMar>
          </w:tcPr>
          <w:p>
            <w:r>
              <w:rPr>
                <w:rFonts w:ascii="Arial" w:hAnsi="Arial"/>
                <w:b/>
                <w:color w:val="FFFFFF"/>
                <w:sz w:val="17"/>
              </w:rPr>
              <w:t>ID</w:t>
            </w:r>
          </w:p>
        </w:tc>
        <w:tc>
          <w:tcPr>
            <w:tcW w:type="dxa" w:w="8260"/>
            <w:shd w:fill="10243E"/>
            <w:tcMar>
              <w:top w:w="70" w:type="dxa"/>
              <w:start w:w="105" w:type="dxa"/>
              <w:bottom w:w="70" w:type="dxa"/>
              <w:end w:w="105" w:type="dxa"/>
            </w:tcMar>
          </w:tcPr>
          <w:p>
            <w:r>
              <w:rPr>
                <w:rFonts w:ascii="Arial" w:hAnsi="Arial"/>
                <w:b/>
                <w:color w:val="FFFFFF"/>
                <w:sz w:val="17"/>
              </w:rPr>
              <w:t>Acceptance condition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SP-25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Every collection/use/share/export maps to purpose, classification and approved basis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SP-26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Special-category/highly sensitive data has separate necessity and minimum access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SP-27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Notifications expose no protected assessment or sensitive event detail</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SP-28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Rights request verifies identity proportionately and protects third parties/keys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SP-29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Correction updates current truth without rewriting historical decisions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SP-30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Deletion evaluates dependencies and active holds before execution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SP-31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Bulk/restricted purge requires scope preview and dual control</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SP-32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Deletion propagates to caches, indexes, embeddings, exports and vendors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SP-33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Anonymisation is tested against re-identification and small-cohort risk</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SP-34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Deletion failure returns exceptions and never false completion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SP-35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Retention schedule uses trigger, period, purpose, owner, disposal and proof</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SP-36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No category is retained forever without explicit ratified justification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SP-37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Restored backup cannot resurrect deleted data into service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SP-38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Incident workflow preserves evidence and records notification decisions/times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SP-39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Secret compromise triggers rotation, impact assessment and reconciliation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SP-40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Cross-border/vendor processing is registered and approved before transfer</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SP-41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AI/analytics exclude raw answers, evidence and sensitive inference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SP-42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Embeddings/search indexes inherit classification and honour deletion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SP-43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Production data is absent from lower environments unless approved and masked</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SP-44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Security controls pass keyboard/screen-reader and accommodation scenarios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SP-45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Quarterly privileged and event-close access reviews produce signed findings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SP-46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Proposed retention periods cannot activate before jurisdictional ratification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SP-47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Reference incident validates containment, recovery, disclosure and audit</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SP-48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Reference event validates sensitive package, offline expiry and OS boundary</w:t>
            </w:r>
          </w:p>
        </w:tc>
      </w:tr>
    </w:tbl>
    <w:p>
      <w:r>
        <w:br w:type="page"/>
      </w:r>
    </w:p>
    <w:p>
      <w:pPr>
        <w:pStyle w:val="Heading1"/>
      </w:pPr>
      <w:r>
        <w:t>31. Definition of protection complete</w:t>
      </w:r>
    </w:p>
    <w:tbl>
      <w:tblPr>
        <w:tblStyle w:val="TableGrid"/>
        <w:tblW w:type="dxa" w:w="9360"/>
        <w:jc w:val="left"/>
        <w:tblLayout w:type="fixed"/>
        <w:tblLook w:firstColumn="1" w:firstRow="1" w:lastColumn="0" w:lastRow="0" w:noHBand="0" w:noVBand="1" w:val="04A0"/>
        <w:tblInd w:w="120" w:type="dxa"/>
      </w:tblPr>
      <w:tblGrid>
        <w:gridCol w:w="2000"/>
        <w:gridCol w:w="7360"/>
      </w:tblGrid>
      <w:tr>
        <w:tc>
          <w:tcPr>
            <w:tcW w:type="dxa" w:w="2000"/>
            <w:shd w:fill="10243E"/>
            <w:tcMar>
              <w:top w:w="70" w:type="dxa"/>
              <w:start w:w="105" w:type="dxa"/>
              <w:bottom w:w="70" w:type="dxa"/>
              <w:end w:w="105" w:type="dxa"/>
            </w:tcMar>
          </w:tcPr>
          <w:p>
            <w:r>
              <w:rPr>
                <w:rFonts w:ascii="Arial" w:hAnsi="Arial"/>
                <w:b/>
                <w:color w:val="FFFFFF"/>
                <w:sz w:val="17"/>
              </w:rPr>
              <w:t>Release gate</w:t>
            </w:r>
          </w:p>
        </w:tc>
        <w:tc>
          <w:tcPr>
            <w:tcW w:type="dxa" w:w="7360"/>
            <w:shd w:fill="10243E"/>
            <w:tcMar>
              <w:top w:w="70" w:type="dxa"/>
              <w:start w:w="105" w:type="dxa"/>
              <w:bottom w:w="70" w:type="dxa"/>
              <w:end w:w="105" w:type="dxa"/>
            </w:tcMar>
          </w:tcPr>
          <w:p>
            <w:r>
              <w:rPr>
                <w:rFonts w:ascii="Arial" w:hAnsi="Arial"/>
                <w:b/>
                <w:color w:val="FFFFFF"/>
                <w:sz w:val="17"/>
              </w:rPr>
              <w:t>Evidence required</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Inventory/classification</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Owners, purposes, classes, locations, recipients and schedules complete</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Identity/access</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MFA, least privilege, tenant/event isolation, reviews and offboarding proven</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Assessment integrity</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Bank, form, attempt, response, evidence, scoring and irregularity controls proven</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Event data</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Minimum package, expiry, offline and Academy-OS boundary proven</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Application security</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Threat tests, upload/export/log/cache and environment separation passed</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Audit/monitoring</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Tamper protection, correlation, alerts and decision reconstruction proven</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Privacy</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Notices, purpose/basis, minimisation, rights and fairness workflows approved</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Retention</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Jurisdictionally ratified schedule, holds, purge, anonymisation and receipts proven</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Recovery</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Backup isolation, restore, deletion replay and continuity tests passed</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Vendors/transfers</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Contracts, locations, access, incident and exit evidence complete</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AI/analytics</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Prohibited data, derived-data deletion and human authority proven</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Operations</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Incident, breach, rights, purge, key and vendor runbooks approved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DONE MEANS PROVABLE PROTECTION</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A privacy notice, encrypted database or role table alone is not completion. The system is complete only when minimum collection, correct access, immutable evidence, safe sharing, monitored use, governed retention and verified disposal all work together under realistic Academy and event conditions.</w:t>
            </w:r>
          </w:p>
        </w:tc>
      </w:tr>
    </w:tbl>
    <w:p>
      <w:pPr>
        <w:pStyle w:val="Heading2"/>
      </w:pPr>
      <w:r>
        <w:t>31.1 Ratification record</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05" w:type="dxa"/>
              <w:bottom w:w="70" w:type="dxa"/>
              <w:end w:w="105" w:type="dxa"/>
            </w:tcMar>
          </w:tcPr>
          <w:p>
            <w:r>
              <w:rPr>
                <w:rFonts w:ascii="Arial" w:hAnsi="Arial"/>
                <w:b/>
                <w:color w:val="FFFFFF"/>
                <w:sz w:val="17"/>
              </w:rPr>
              <w:t>Field</w:t>
            </w:r>
          </w:p>
        </w:tc>
        <w:tc>
          <w:tcPr>
            <w:tcW w:type="dxa" w:w="7160"/>
            <w:shd w:fill="10243E"/>
            <w:tcMar>
              <w:top w:w="70" w:type="dxa"/>
              <w:start w:w="105" w:type="dxa"/>
              <w:bottom w:w="70" w:type="dxa"/>
              <w:end w:w="105" w:type="dxa"/>
            </w:tcMar>
          </w:tcPr>
          <w:p>
            <w:r>
              <w:rPr>
                <w:rFonts w:ascii="Arial" w:hAnsi="Arial"/>
                <w:b/>
                <w:color w:val="FFFFFF"/>
                <w:sz w:val="17"/>
              </w:rPr>
              <w:t>Value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Document / version</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Maison Doclar Academy Security, Privacy and Data-Retention Specification / v1.0</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8"/>
              </w:rPr>
              <w:t>Decision</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8"/>
              </w:rPr>
              <w:t>Approve / Approve with amendments / Return for jurisdictional review</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Privacy/security review</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8"/>
              </w:rPr>
              <w:t>CEO signature / date</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Effective from</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8"/>
              </w:rPr>
              <w:t>Next scheduled review</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bl>
    <w:p>
      <w:pPr>
        <w:spacing w:after="0"/>
        <w:jc w:val="center"/>
      </w:pPr>
      <w:r>
        <w:rPr>
          <w:rFonts w:ascii="Arial" w:hAnsi="Arial"/>
          <w:b/>
          <w:color w:val="667085"/>
          <w:sz w:val="17"/>
        </w:rPr>
        <w:t>End of controlled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Controlled document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67085"/>
        <w:sz w:val="17"/>
      </w:rPr>
      <w:t>MAISON DOCLAR  /  SECURITY, PRIVACY &amp;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43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B79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Security, Privacy and Data-Retention Specification</dc:title>
  <dc:subject>Personal data, assessment integrity, sensitive event information, access, audit and retention</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