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pPr>
      <w:r>
        <w:rPr>
          <w:rFonts w:ascii="Arial" w:hAnsi="Arial"/>
          <w:b/>
          <w:color w:val="B79F85"/>
          <w:sz w:val="22"/>
        </w:rPr>
        <w:t>MAISON DOCLAR</w:t>
      </w:r>
    </w:p>
    <w:p>
      <w:pPr>
        <w:spacing w:after="80"/>
      </w:pPr>
      <w:r>
        <w:rPr>
          <w:rFonts w:ascii="Arial" w:hAnsi="Arial"/>
          <w:b/>
          <w:color w:val="10243E"/>
          <w:sz w:val="32"/>
        </w:rPr>
        <w:t>Academy</w:t>
      </w:r>
    </w:p>
    <w:p>
      <w:pPr>
        <w:spacing w:after="200"/>
      </w:pPr>
      <w:r>
        <w:rPr>
          <w:rFonts w:ascii="Arial" w:hAnsi="Arial"/>
          <w:b/>
          <w:color w:val="10243E"/>
          <w:sz w:val="56"/>
        </w:rPr>
        <w:t>Production Build Sequence</w:t>
      </w:r>
    </w:p>
    <w:p>
      <w:pPr>
        <w:spacing w:after="500"/>
      </w:pPr>
      <w:r>
        <w:rPr>
          <w:rFonts w:ascii="Arial" w:hAnsi="Arial"/>
          <w:b w:val="0"/>
          <w:color w:val="667085"/>
          <w:sz w:val="25"/>
        </w:rPr>
        <w:t>Efficient vertical slices, dependencies, evidence and completion gates</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10243E"/>
            <w:tcMar>
              <w:top w:w="70" w:type="dxa"/>
              <w:start w:w="105" w:type="dxa"/>
              <w:bottom w:w="70" w:type="dxa"/>
              <w:end w:w="105" w:type="dxa"/>
            </w:tcMar>
          </w:tcPr>
          <w:p>
            <w:r>
              <w:rPr>
                <w:rFonts w:ascii="Arial" w:hAnsi="Arial"/>
                <w:b/>
                <w:color w:val="FFFFFF"/>
                <w:sz w:val="17"/>
              </w:rPr>
              <w:t>Document</w:t>
            </w:r>
          </w:p>
        </w:tc>
        <w:tc>
          <w:tcPr>
            <w:tcW w:type="dxa" w:w="7160"/>
            <w:shd w:fill="10243E"/>
            <w:tcMar>
              <w:top w:w="70" w:type="dxa"/>
              <w:start w:w="105" w:type="dxa"/>
              <w:bottom w:w="70" w:type="dxa"/>
              <w:end w:w="105" w:type="dxa"/>
            </w:tcMar>
          </w:tcPr>
          <w:p>
            <w:r>
              <w:rPr>
                <w:rFonts w:ascii="Arial" w:hAnsi="Arial"/>
                <w:b/>
                <w:color w:val="FFFFFF"/>
                <w:sz w:val="17"/>
              </w:rPr>
              <w:t>Control value</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6"/>
              </w:rPr>
              <w:t>Owner</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6"/>
              </w:rPr>
              <w:t>CEO / Academy Product and Engineering Governance</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6"/>
              </w:rPr>
              <w:t>Version</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6"/>
              </w:rPr>
              <w:t>1.0</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6"/>
              </w:rPr>
              <w:t>Status</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6"/>
              </w:rPr>
              <w:t>Draft for ratification</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6"/>
              </w:rPr>
              <w:t>Build method</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6"/>
              </w:rPr>
              <w:t>Production-fidelity vertical slices; no horizontal-layer delivery</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6"/>
              </w:rPr>
              <w:t>Applies to</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6"/>
              </w:rPr>
              <w:t>Academy repository, applications, services, data, integrations, content migration and production operations</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6"/>
              </w:rPr>
              <w:t>Controlling sources</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6"/>
              </w:rPr>
              <w:t>Ratified Academy Blueprint and all Academy specifications v1.0</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6"/>
              </w:rPr>
              <w:t>Primary release principle</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6"/>
              </w:rPr>
              <w:t>A slice is complete only when its user journey, frontend, backend, permissions, audit, tests and operational evidence pass together</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6"/>
              </w:rPr>
              <w:t>Sequence size</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6"/>
              </w:rPr>
              <w:t>Gate 0 plus 16 implementation slices and production ratification</w:t>
            </w:r>
          </w:p>
        </w:tc>
      </w:tr>
    </w:tbl>
    <w:p>
      <w:pPr>
        <w:spacing w:after="200"/>
      </w:pPr>
      <w:r>
        <w:rPr>
          <w:rFonts w:ascii="Arial" w:hAnsi="Arial"/>
          <w:b w:val="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BUILD LAW</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Deliver the smallest complete production capability in dependency order. Never claim progress from isolated schemas, APIs or screens that do not close a safe, usable and testable user journey.</w:t>
            </w:r>
          </w:p>
        </w:tc>
      </w:tr>
    </w:tbl>
    <w:p>
      <w:r>
        <w:br w:type="page"/>
      </w:r>
    </w:p>
    <w:p>
      <w:pPr>
        <w:pStyle w:val="Heading1"/>
      </w:pPr>
      <w:r>
        <w:t>1. Purpose and outcome</w:t>
      </w:r>
    </w:p>
    <w:p>
      <w:pPr>
        <w:spacing w:after="100"/>
      </w:pPr>
      <w:r>
        <w:rPr>
          <w:rFonts w:ascii="Arial" w:hAnsi="Arial"/>
          <w:b w:val="0"/>
        </w:rPr>
        <w:t>This document converts the ratified Academy specifications into the order in which the system should be built. It defines what each slice releases, what it depends on, which frontend journeys must exist, which records and controls it activates, and the evidence required before the next dependent slice may begin.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Outcome</w:t>
            </w:r>
          </w:p>
        </w:tc>
        <w:tc>
          <w:tcPr>
            <w:tcW w:type="dxa" w:w="7460"/>
            <w:shd w:fill="10243E"/>
            <w:tcMar>
              <w:top w:w="70" w:type="dxa"/>
              <w:start w:w="105" w:type="dxa"/>
              <w:bottom w:w="70" w:type="dxa"/>
              <w:end w:w="105" w:type="dxa"/>
            </w:tcMar>
          </w:tcPr>
          <w:p>
            <w:r>
              <w:rPr>
                <w:rFonts w:ascii="Arial" w:hAnsi="Arial"/>
                <w:b/>
                <w:color w:val="FFFFFF"/>
                <w:sz w:val="17"/>
              </w:rPr>
              <w:t>Meaning</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Buildable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Each slice is bounded enough to implement, review and accept without reopening the architecture.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Production-fidelity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Security, accessibility, observability, failure states and audit are included in the slice—not deferred.</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Frontend parity</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Every backend capability has the complete authorised interface needed to use, understand and recover it.</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Safe dependency order</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Later capabilities rely only on contracts and states already proven by earlier gates.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Content readiness</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The 30-module corpus is produced through the same governed workflow used in production.</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Independent acceptance</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Completion is proved by executable tests, role walkthroughs, audit reconstruction and release receipts.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Scope economy</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Shared primitives are built once; bounded modules reuse them without creating a monolith.</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SYSTEM BOUNDARY</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The Academy owns learning, assessment, competence, certification and readiness evidence. MD-EOS owns event truth, assignments, guests, credentials and operational authority. A positive Academy status is evidence for an Event OS decision, not the decision itself.</w:t>
            </w:r>
          </w:p>
        </w:tc>
      </w:tr>
    </w:tbl>
    <w:p>
      <w:r>
        <w:br w:type="page"/>
      </w:r>
    </w:p>
    <w:p>
      <w:pPr>
        <w:pStyle w:val="Heading1"/>
      </w:pPr>
      <w:r>
        <w:t>2. Preconditions and Gate 0</w:t>
      </w:r>
    </w:p>
    <w:p>
      <w:pPr>
        <w:spacing w:after="100"/>
      </w:pPr>
      <w:r>
        <w:rPr>
          <w:rFonts w:ascii="Arial" w:hAnsi="Arial"/>
          <w:b w:val="0"/>
        </w:rPr>
        <w:t>No implementation slice starts until the control baseline below is closed. Gate 0 is short, documentary and technical: it prevents the clean repository from encoding unresolved authority or version ambiguity.</w:t>
      </w:r>
    </w:p>
    <w:tbl>
      <w:tblPr>
        <w:tblStyle w:val="TableGrid"/>
        <w:tblW w:type="dxa" w:w="9360"/>
        <w:jc w:val="left"/>
        <w:tblLayout w:type="fixed"/>
        <w:tblLook w:firstColumn="1" w:firstRow="1" w:lastColumn="0" w:lastRow="0" w:noHBand="0" w:noVBand="1" w:val="04A0"/>
        <w:tblInd w:w="120" w:type="dxa"/>
      </w:tblPr>
      <w:tblGrid>
        <w:gridCol w:w="2050"/>
        <w:gridCol w:w="3900"/>
        <w:gridCol w:w="3410"/>
      </w:tblGrid>
      <w:tr>
        <w:tc>
          <w:tcPr>
            <w:tcW w:type="dxa" w:w="2050"/>
            <w:shd w:fill="10243E"/>
            <w:tcMar>
              <w:top w:w="70" w:type="dxa"/>
              <w:start w:w="105" w:type="dxa"/>
              <w:bottom w:w="70" w:type="dxa"/>
              <w:end w:w="105" w:type="dxa"/>
            </w:tcMar>
          </w:tcPr>
          <w:p>
            <w:r>
              <w:rPr>
                <w:rFonts w:ascii="Arial" w:hAnsi="Arial"/>
                <w:b/>
                <w:color w:val="FFFFFF"/>
                <w:sz w:val="17"/>
              </w:rPr>
              <w:t>Gate 0 item</w:t>
            </w:r>
          </w:p>
        </w:tc>
        <w:tc>
          <w:tcPr>
            <w:tcW w:type="dxa" w:w="3900"/>
            <w:shd w:fill="10243E"/>
            <w:tcMar>
              <w:top w:w="70" w:type="dxa"/>
              <w:start w:w="105" w:type="dxa"/>
              <w:bottom w:w="70" w:type="dxa"/>
              <w:end w:w="105" w:type="dxa"/>
            </w:tcMar>
          </w:tcPr>
          <w:p>
            <w:r>
              <w:rPr>
                <w:rFonts w:ascii="Arial" w:hAnsi="Arial"/>
                <w:b/>
                <w:color w:val="FFFFFF"/>
                <w:sz w:val="17"/>
              </w:rPr>
              <w:t>Required closure</w:t>
            </w:r>
          </w:p>
        </w:tc>
        <w:tc>
          <w:tcPr>
            <w:tcW w:type="dxa" w:w="3410"/>
            <w:shd w:fill="10243E"/>
            <w:tcMar>
              <w:top w:w="70" w:type="dxa"/>
              <w:start w:w="105" w:type="dxa"/>
              <w:bottom w:w="70" w:type="dxa"/>
              <w:end w:w="105" w:type="dxa"/>
            </w:tcMar>
          </w:tcPr>
          <w:p>
            <w:r>
              <w:rPr>
                <w:rFonts w:ascii="Arial" w:hAnsi="Arial"/>
                <w:b/>
                <w:color w:val="FFFFFF"/>
                <w:sz w:val="17"/>
              </w:rPr>
              <w:t>Evidence</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5"/>
              </w:rPr>
              <w:t>Blueprint status</w:t>
            </w:r>
          </w:p>
        </w:tc>
        <w:tc>
          <w:tcPr>
            <w:tcW w:type="dxa" w:w="3900"/>
            <w:shd w:fill="FFFFFF"/>
            <w:vAlign w:val="top"/>
            <w:tcMar>
              <w:top w:w="70" w:type="dxa"/>
              <w:start w:w="105" w:type="dxa"/>
              <w:bottom w:w="70" w:type="dxa"/>
              <w:end w:w="105" w:type="dxa"/>
            </w:tcMar>
          </w:tcPr>
          <w:p>
            <w:pPr>
              <w:spacing w:after="20" w:line="240" w:lineRule="auto"/>
            </w:pPr>
            <w:r>
              <w:rPr>
                <w:rFonts w:ascii="Arial" w:hAnsi="Arial"/>
                <w:color w:val="172033"/>
                <w:sz w:val="15"/>
              </w:rPr>
              <w:t>Update the Academy Canonical Blueprint control record from draft wording to the CEO-ratified status already decided.</w:t>
            </w:r>
          </w:p>
        </w:tc>
        <w:tc>
          <w:tcPr>
            <w:tcW w:type="dxa" w:w="3410"/>
            <w:shd w:fill="FFFFFF"/>
            <w:vAlign w:val="top"/>
            <w:tcMar>
              <w:top w:w="70" w:type="dxa"/>
              <w:start w:w="105" w:type="dxa"/>
              <w:bottom w:w="70" w:type="dxa"/>
              <w:end w:w="105" w:type="dxa"/>
            </w:tcMar>
          </w:tcPr>
          <w:p>
            <w:pPr>
              <w:spacing w:after="20" w:line="240" w:lineRule="auto"/>
            </w:pPr>
            <w:r>
              <w:rPr>
                <w:rFonts w:ascii="Arial" w:hAnsi="Arial"/>
                <w:color w:val="172033"/>
                <w:sz w:val="15"/>
              </w:rPr>
              <w:t>Signed/versioned control record</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5"/>
              </w:rPr>
              <w:t>Specification register</w:t>
            </w:r>
          </w:p>
        </w:tc>
        <w:tc>
          <w:tcPr>
            <w:tcW w:type="dxa" w:w="3900"/>
            <w:shd w:fill="F6F7F9"/>
            <w:vAlign w:val="top"/>
            <w:tcMar>
              <w:top w:w="70" w:type="dxa"/>
              <w:start w:w="105" w:type="dxa"/>
              <w:bottom w:w="70" w:type="dxa"/>
              <w:end w:w="105" w:type="dxa"/>
            </w:tcMar>
          </w:tcPr>
          <w:p>
            <w:pPr>
              <w:spacing w:after="20" w:line="240" w:lineRule="auto"/>
            </w:pPr>
            <w:r>
              <w:rPr>
                <w:rFonts w:ascii="Arial" w:hAnsi="Arial"/>
                <w:color w:val="172033"/>
                <w:sz w:val="15"/>
              </w:rPr>
              <w:t>Record exact current versions of the Blueprint, competency map, role paths, curriculum, assessment, certification, data, permissions, frontend, intelligence, content governance, security and integration documents.</w:t>
            </w:r>
          </w:p>
        </w:tc>
        <w:tc>
          <w:tcPr>
            <w:tcW w:type="dxa" w:w="3410"/>
            <w:shd w:fill="F6F7F9"/>
            <w:vAlign w:val="top"/>
            <w:tcMar>
              <w:top w:w="70" w:type="dxa"/>
              <w:start w:w="105" w:type="dxa"/>
              <w:bottom w:w="70" w:type="dxa"/>
              <w:end w:w="105" w:type="dxa"/>
            </w:tcMar>
          </w:tcPr>
          <w:p>
            <w:pPr>
              <w:spacing w:after="20" w:line="240" w:lineRule="auto"/>
            </w:pPr>
            <w:r>
              <w:rPr>
                <w:rFonts w:ascii="Arial" w:hAnsi="Arial"/>
                <w:color w:val="172033"/>
                <w:sz w:val="15"/>
              </w:rPr>
              <w:t>Machine-readable source register</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5"/>
              </w:rPr>
              <w:t>Decision register</w:t>
            </w:r>
          </w:p>
        </w:tc>
        <w:tc>
          <w:tcPr>
            <w:tcW w:type="dxa" w:w="3900"/>
            <w:shd w:fill="FFFFFF"/>
            <w:vAlign w:val="top"/>
            <w:tcMar>
              <w:top w:w="70" w:type="dxa"/>
              <w:start w:w="105" w:type="dxa"/>
              <w:bottom w:w="70" w:type="dxa"/>
              <w:end w:w="105" w:type="dxa"/>
            </w:tcMar>
          </w:tcPr>
          <w:p>
            <w:pPr>
              <w:spacing w:after="20" w:line="240" w:lineRule="auto"/>
            </w:pPr>
            <w:r>
              <w:rPr>
                <w:rFonts w:ascii="Arial" w:hAnsi="Arial"/>
                <w:color w:val="172033"/>
                <w:sz w:val="15"/>
              </w:rPr>
              <w:t>Close or explicitly assign every material contradiction, assumption and jurisdictional decision.</w:t>
            </w:r>
          </w:p>
        </w:tc>
        <w:tc>
          <w:tcPr>
            <w:tcW w:type="dxa" w:w="3410"/>
            <w:shd w:fill="FFFFFF"/>
            <w:vAlign w:val="top"/>
            <w:tcMar>
              <w:top w:w="70" w:type="dxa"/>
              <w:start w:w="105" w:type="dxa"/>
              <w:bottom w:w="70" w:type="dxa"/>
              <w:end w:w="105" w:type="dxa"/>
            </w:tcMar>
          </w:tcPr>
          <w:p>
            <w:pPr>
              <w:spacing w:after="20" w:line="240" w:lineRule="auto"/>
            </w:pPr>
            <w:r>
              <w:rPr>
                <w:rFonts w:ascii="Arial" w:hAnsi="Arial"/>
                <w:color w:val="172033"/>
                <w:sz w:val="15"/>
              </w:rPr>
              <w:t>Decision IDs, owners and due dates</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5"/>
              </w:rPr>
              <w:t>Repository charter</w:t>
            </w:r>
          </w:p>
        </w:tc>
        <w:tc>
          <w:tcPr>
            <w:tcW w:type="dxa" w:w="3900"/>
            <w:shd w:fill="F6F7F9"/>
            <w:vAlign w:val="top"/>
            <w:tcMar>
              <w:top w:w="70" w:type="dxa"/>
              <w:start w:w="105" w:type="dxa"/>
              <w:bottom w:w="70" w:type="dxa"/>
              <w:end w:w="105" w:type="dxa"/>
            </w:tcMar>
          </w:tcPr>
          <w:p>
            <w:pPr>
              <w:spacing w:after="20" w:line="240" w:lineRule="auto"/>
            </w:pPr>
            <w:r>
              <w:rPr>
                <w:rFonts w:ascii="Arial" w:hAnsi="Arial"/>
                <w:color w:val="172033"/>
                <w:sz w:val="15"/>
              </w:rPr>
              <w:t>Confirm separate Academy repository/database/deployment; shared identity and OS contract only.</w:t>
            </w:r>
          </w:p>
        </w:tc>
        <w:tc>
          <w:tcPr>
            <w:tcW w:type="dxa" w:w="3410"/>
            <w:shd w:fill="F6F7F9"/>
            <w:vAlign w:val="top"/>
            <w:tcMar>
              <w:top w:w="70" w:type="dxa"/>
              <w:start w:w="105" w:type="dxa"/>
              <w:bottom w:w="70" w:type="dxa"/>
              <w:end w:w="105" w:type="dxa"/>
            </w:tcMar>
          </w:tcPr>
          <w:p>
            <w:pPr>
              <w:spacing w:after="20" w:line="240" w:lineRule="auto"/>
            </w:pPr>
            <w:r>
              <w:rPr>
                <w:rFonts w:ascii="Arial" w:hAnsi="Arial"/>
                <w:color w:val="172033"/>
                <w:sz w:val="15"/>
              </w:rPr>
              <w:t>ADR and repository README</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5"/>
              </w:rPr>
              <w:t>Reference actors</w:t>
            </w:r>
          </w:p>
        </w:tc>
        <w:tc>
          <w:tcPr>
            <w:tcW w:type="dxa" w:w="3900"/>
            <w:shd w:fill="FFFFFF"/>
            <w:vAlign w:val="top"/>
            <w:tcMar>
              <w:top w:w="70" w:type="dxa"/>
              <w:start w:w="105" w:type="dxa"/>
              <w:bottom w:w="70" w:type="dxa"/>
              <w:end w:w="105" w:type="dxa"/>
            </w:tcMar>
          </w:tcPr>
          <w:p>
            <w:pPr>
              <w:spacing w:after="20" w:line="240" w:lineRule="auto"/>
            </w:pPr>
            <w:r>
              <w:rPr>
                <w:rFonts w:ascii="Arial" w:hAnsi="Arial"/>
                <w:color w:val="172033"/>
                <w:sz w:val="15"/>
              </w:rPr>
              <w:t>Create non-production reference users for learner, manager, assessor, author, reviewer, admin, CEO, auditor and service identity.</w:t>
            </w:r>
          </w:p>
        </w:tc>
        <w:tc>
          <w:tcPr>
            <w:tcW w:type="dxa" w:w="3410"/>
            <w:shd w:fill="FFFFFF"/>
            <w:vAlign w:val="top"/>
            <w:tcMar>
              <w:top w:w="70" w:type="dxa"/>
              <w:start w:w="105" w:type="dxa"/>
              <w:bottom w:w="70" w:type="dxa"/>
              <w:end w:w="105" w:type="dxa"/>
            </w:tcMar>
          </w:tcPr>
          <w:p>
            <w:pPr>
              <w:spacing w:after="20" w:line="240" w:lineRule="auto"/>
            </w:pPr>
            <w:r>
              <w:rPr>
                <w:rFonts w:ascii="Arial" w:hAnsi="Arial"/>
                <w:color w:val="172033"/>
                <w:sz w:val="15"/>
              </w:rPr>
              <w:t>Test persona register</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5"/>
              </w:rPr>
              <w:t>Reference scenarios</w:t>
            </w:r>
          </w:p>
        </w:tc>
        <w:tc>
          <w:tcPr>
            <w:tcW w:type="dxa" w:w="3900"/>
            <w:shd w:fill="F6F7F9"/>
            <w:vAlign w:val="top"/>
            <w:tcMar>
              <w:top w:w="70" w:type="dxa"/>
              <w:start w:w="105" w:type="dxa"/>
              <w:bottom w:w="70" w:type="dxa"/>
              <w:end w:w="105" w:type="dxa"/>
            </w:tcMar>
          </w:tcPr>
          <w:p>
            <w:pPr>
              <w:spacing w:after="20" w:line="240" w:lineRule="auto"/>
            </w:pPr>
            <w:r>
              <w:rPr>
                <w:rFonts w:ascii="Arial" w:hAnsi="Arial"/>
                <w:color w:val="172033"/>
                <w:sz w:val="15"/>
              </w:rPr>
              <w:t>Fix representative Lagos event, role change, high-risk capability, content correction, assessment leakage and data-rights scenarios.</w:t>
            </w:r>
          </w:p>
        </w:tc>
        <w:tc>
          <w:tcPr>
            <w:tcW w:type="dxa" w:w="3410"/>
            <w:shd w:fill="F6F7F9"/>
            <w:vAlign w:val="top"/>
            <w:tcMar>
              <w:top w:w="70" w:type="dxa"/>
              <w:start w:w="105" w:type="dxa"/>
              <w:bottom w:w="70" w:type="dxa"/>
              <w:end w:w="105" w:type="dxa"/>
            </w:tcMar>
          </w:tcPr>
          <w:p>
            <w:pPr>
              <w:spacing w:after="20" w:line="240" w:lineRule="auto"/>
            </w:pPr>
            <w:r>
              <w:rPr>
                <w:rFonts w:ascii="Arial" w:hAnsi="Arial"/>
                <w:color w:val="172033"/>
                <w:sz w:val="15"/>
              </w:rPr>
              <w:t>Versioned scenario fixtures</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5"/>
              </w:rPr>
              <w:t>Release evidence format</w:t>
            </w:r>
          </w:p>
        </w:tc>
        <w:tc>
          <w:tcPr>
            <w:tcW w:type="dxa" w:w="3900"/>
            <w:shd w:fill="FFFFFF"/>
            <w:vAlign w:val="top"/>
            <w:tcMar>
              <w:top w:w="70" w:type="dxa"/>
              <w:start w:w="105" w:type="dxa"/>
              <w:bottom w:w="70" w:type="dxa"/>
              <w:end w:w="105" w:type="dxa"/>
            </w:tcMar>
          </w:tcPr>
          <w:p>
            <w:pPr>
              <w:spacing w:after="20" w:line="240" w:lineRule="auto"/>
            </w:pPr>
            <w:r>
              <w:rPr>
                <w:rFonts w:ascii="Arial" w:hAnsi="Arial"/>
                <w:color w:val="172033"/>
                <w:sz w:val="15"/>
              </w:rPr>
              <w:t>Define evidence manifest, test IDs, screenshots, audit IDs, migration receipts and sign-off fields.</w:t>
            </w:r>
          </w:p>
        </w:tc>
        <w:tc>
          <w:tcPr>
            <w:tcW w:type="dxa" w:w="3410"/>
            <w:shd w:fill="FFFFFF"/>
            <w:vAlign w:val="top"/>
            <w:tcMar>
              <w:top w:w="70" w:type="dxa"/>
              <w:start w:w="105" w:type="dxa"/>
              <w:bottom w:w="70" w:type="dxa"/>
              <w:end w:w="105" w:type="dxa"/>
            </w:tcMar>
          </w:tcPr>
          <w:p>
            <w:pPr>
              <w:spacing w:after="20" w:line="240" w:lineRule="auto"/>
            </w:pPr>
            <w:r>
              <w:rPr>
                <w:rFonts w:ascii="Arial" w:hAnsi="Arial"/>
                <w:color w:val="172033"/>
                <w:sz w:val="15"/>
              </w:rPr>
              <w:t>Acceptance evidence template</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5"/>
              </w:rPr>
              <w:t>Security baseline</w:t>
            </w:r>
          </w:p>
        </w:tc>
        <w:tc>
          <w:tcPr>
            <w:tcW w:type="dxa" w:w="3900"/>
            <w:shd w:fill="F6F7F9"/>
            <w:vAlign w:val="top"/>
            <w:tcMar>
              <w:top w:w="70" w:type="dxa"/>
              <w:start w:w="105" w:type="dxa"/>
              <w:bottom w:w="70" w:type="dxa"/>
              <w:end w:w="105" w:type="dxa"/>
            </w:tcMar>
          </w:tcPr>
          <w:p>
            <w:pPr>
              <w:spacing w:after="20" w:line="240" w:lineRule="auto"/>
            </w:pPr>
            <w:r>
              <w:rPr>
                <w:rFonts w:ascii="Arial" w:hAnsi="Arial"/>
                <w:color w:val="172033"/>
                <w:sz w:val="15"/>
              </w:rPr>
              <w:t>Approve secrets, environments, data classification, dependency policy and incident contacts.</w:t>
            </w:r>
          </w:p>
        </w:tc>
        <w:tc>
          <w:tcPr>
            <w:tcW w:type="dxa" w:w="3410"/>
            <w:shd w:fill="F6F7F9"/>
            <w:vAlign w:val="top"/>
            <w:tcMar>
              <w:top w:w="70" w:type="dxa"/>
              <w:start w:w="105" w:type="dxa"/>
              <w:bottom w:w="70" w:type="dxa"/>
              <w:end w:w="105" w:type="dxa"/>
            </w:tcMar>
          </w:tcPr>
          <w:p>
            <w:pPr>
              <w:spacing w:after="20" w:line="240" w:lineRule="auto"/>
            </w:pPr>
            <w:r>
              <w:rPr>
                <w:rFonts w:ascii="Arial" w:hAnsi="Arial"/>
                <w:color w:val="172033"/>
                <w:sz w:val="15"/>
              </w:rPr>
              <w:t>Security readiness checklist</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GATE 0 PASS</w:t>
            </w:r>
          </w:p>
        </w:tc>
      </w:tr>
      <w:tr>
        <w:tc>
          <w:tcPr>
            <w:tcW w:type="dxa" w:w="9360"/>
            <w:shd w:fill="EAF4EE"/>
            <w:vAlign w:val="top"/>
            <w:tcMar>
              <w:top w:w="70" w:type="dxa"/>
              <w:start w:w="105" w:type="dxa"/>
              <w:bottom w:w="70" w:type="dxa"/>
              <w:end w:w="105" w:type="dxa"/>
            </w:tcMar>
          </w:tcPr>
          <w:p>
            <w:pPr>
              <w:spacing w:after="20" w:line="240" w:lineRule="auto"/>
            </w:pPr>
            <w:r>
              <w:rPr>
                <w:rFonts w:ascii="Arial" w:hAnsi="Arial"/>
                <w:color w:val="172033"/>
                <w:sz w:val="18"/>
              </w:rPr>
              <w:t>All controlling documents have unambiguous status and version; repository and system boundaries are recorded; test actors and reference scenarios exist; no critical legal, authority or security decision is ownerless.</w:t>
            </w:r>
          </w:p>
        </w:tc>
      </w:tr>
    </w:tbl>
    <w:p>
      <w:r>
        <w:br w:type="page"/>
      </w:r>
    </w:p>
    <w:p>
      <w:pPr>
        <w:pStyle w:val="Heading1"/>
      </w:pPr>
      <w:r>
        <w:t>3. Vertical-slice operating method</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Rule</w:t>
            </w:r>
          </w:p>
        </w:tc>
        <w:tc>
          <w:tcPr>
            <w:tcW w:type="dxa" w:w="7460"/>
            <w:shd w:fill="10243E"/>
            <w:tcMar>
              <w:top w:w="70" w:type="dxa"/>
              <w:start w:w="105" w:type="dxa"/>
              <w:bottom w:w="70" w:type="dxa"/>
              <w:end w:w="105" w:type="dxa"/>
            </w:tcMar>
          </w:tcPr>
          <w:p>
            <w:r>
              <w:rPr>
                <w:rFonts w:ascii="Arial" w:hAnsi="Arial"/>
                <w:b/>
                <w:color w:val="FFFFFF"/>
                <w:sz w:val="17"/>
              </w:rPr>
              <w:t>Required practice</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One user outcome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Name the decision or task a user can complete after the slice.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Full path</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Implement UI, application logic, domain rules, persistence, jobs/integration, audit and support states together.</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Contract first</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Freeze request/response, event, state and permission contracts before parallel implementation.</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Server authority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Frontend affordances mirror policy, but API and database enforce the decision independently.</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Immutable evidence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Published content, attempts, results, certificates and audit events use append-only/versioned treatment.</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Feature flags</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Incomplete or risky capability remains unavailable without creating alternate production logic.</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Migration with product</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Schema migration, backfill, rollback and reconciliation evidence ship with the feature.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No hidden debt</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A deferred item must be non-essential, explicitly owned and incapable of weakening the slice gate.</w:t>
            </w:r>
          </w:p>
        </w:tc>
      </w:tr>
    </w:tbl>
    <w:p>
      <w:pPr>
        <w:pStyle w:val="Heading2"/>
      </w:pPr>
      <w:r>
        <w:t>3.1 Standard slice workstreams</w:t>
      </w:r>
    </w:p>
    <w:tbl>
      <w:tblPr>
        <w:tblStyle w:val="TableGrid"/>
        <w:tblW w:type="dxa" w:w="9360"/>
        <w:jc w:val="left"/>
        <w:tblLayout w:type="fixed"/>
        <w:tblLook w:firstColumn="1" w:firstRow="1" w:lastColumn="0" w:lastRow="0" w:noHBand="0" w:noVBand="1" w:val="04A0"/>
        <w:tblInd w:w="120" w:type="dxa"/>
      </w:tblPr>
      <w:tblGrid>
        <w:gridCol w:w="1850"/>
        <w:gridCol w:w="7510"/>
      </w:tblGrid>
      <w:tr>
        <w:tc>
          <w:tcPr>
            <w:tcW w:type="dxa" w:w="1850"/>
            <w:shd w:fill="10243E"/>
            <w:tcMar>
              <w:top w:w="70" w:type="dxa"/>
              <w:start w:w="105" w:type="dxa"/>
              <w:bottom w:w="70" w:type="dxa"/>
              <w:end w:w="105" w:type="dxa"/>
            </w:tcMar>
          </w:tcPr>
          <w:p>
            <w:r>
              <w:rPr>
                <w:rFonts w:ascii="Arial" w:hAnsi="Arial"/>
                <w:b/>
                <w:color w:val="FFFFFF"/>
                <w:sz w:val="17"/>
              </w:rPr>
              <w:t>Workstream</w:t>
            </w:r>
          </w:p>
        </w:tc>
        <w:tc>
          <w:tcPr>
            <w:tcW w:type="dxa" w:w="7510"/>
            <w:shd w:fill="10243E"/>
            <w:tcMar>
              <w:top w:w="70" w:type="dxa"/>
              <w:start w:w="105" w:type="dxa"/>
              <w:bottom w:w="70" w:type="dxa"/>
              <w:end w:w="105" w:type="dxa"/>
            </w:tcMar>
          </w:tcPr>
          <w:p>
            <w:r>
              <w:rPr>
                <w:rFonts w:ascii="Arial" w:hAnsi="Arial"/>
                <w:b/>
                <w:color w:val="FFFFFF"/>
                <w:sz w:val="17"/>
              </w:rPr>
              <w:t>Minimum in every slice</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Product/domain</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Rules, state transitions, invariants, decision owners and error behaviour</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Frontend</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Responsive journey, role navigation, loading/empty/error/denied/stale/conflict/success states, accessibility</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Backend/data</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API, transactions, constraints, idempotency, migrations, jobs and data-quality checks</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Security/privacy</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Purpose, classification, least privilege, tenant/event isolation, safe fields and retention treatment</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Audit/intelligence</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Material events, correlation, alerts, metrics and reconstructable decision evidence</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Quality</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Unit, integration, policy, contract, end-to-end, accessibility, performance and recovery tests</w:t>
            </w:r>
          </w:p>
        </w:tc>
      </w:tr>
      <w:tr>
        <w:tc>
          <w:tcPr>
            <w:tcW w:type="dxa" w:w="1850"/>
            <w:shd w:fill="FFFFFF"/>
            <w:vAlign w:val="top"/>
            <w:tcMar>
              <w:top w:w="70" w:type="dxa"/>
              <w:start w:w="105" w:type="dxa"/>
              <w:bottom w:w="70" w:type="dxa"/>
              <w:end w:w="105" w:type="dxa"/>
            </w:tcMar>
          </w:tcPr>
          <w:p>
            <w:pPr>
              <w:spacing w:after="20" w:line="240" w:lineRule="auto"/>
            </w:pPr>
            <w:r>
              <w:rPr>
                <w:rFonts w:ascii="Arial" w:hAnsi="Arial"/>
                <w:color w:val="172033"/>
                <w:sz w:val="16"/>
              </w:rPr>
              <w:t>Operations</w:t>
            </w:r>
          </w:p>
        </w:tc>
        <w:tc>
          <w:tcPr>
            <w:tcW w:type="dxa" w:w="7510"/>
            <w:shd w:fill="FFFFFF"/>
            <w:vAlign w:val="top"/>
            <w:tcMar>
              <w:top w:w="70" w:type="dxa"/>
              <w:start w:w="105" w:type="dxa"/>
              <w:bottom w:w="70" w:type="dxa"/>
              <w:end w:w="105" w:type="dxa"/>
            </w:tcMar>
          </w:tcPr>
          <w:p>
            <w:pPr>
              <w:spacing w:after="20" w:line="240" w:lineRule="auto"/>
            </w:pPr>
            <w:r>
              <w:rPr>
                <w:rFonts w:ascii="Arial" w:hAnsi="Arial"/>
                <w:color w:val="172033"/>
                <w:sz w:val="16"/>
              </w:rPr>
              <w:t>Observability, support view, runbook, feature flag, rollback and deployment receipt</w:t>
            </w:r>
          </w:p>
        </w:tc>
      </w:tr>
      <w:tr>
        <w:tc>
          <w:tcPr>
            <w:tcW w:type="dxa" w:w="1850"/>
            <w:shd w:fill="F6F7F9"/>
            <w:vAlign w:val="top"/>
            <w:tcMar>
              <w:top w:w="70" w:type="dxa"/>
              <w:start w:w="105" w:type="dxa"/>
              <w:bottom w:w="70" w:type="dxa"/>
              <w:end w:w="105" w:type="dxa"/>
            </w:tcMar>
          </w:tcPr>
          <w:p>
            <w:pPr>
              <w:spacing w:after="20" w:line="240" w:lineRule="auto"/>
            </w:pPr>
            <w:r>
              <w:rPr>
                <w:rFonts w:ascii="Arial" w:hAnsi="Arial"/>
                <w:color w:val="172033"/>
                <w:sz w:val="16"/>
              </w:rPr>
              <w:t>Content</w:t>
            </w:r>
          </w:p>
        </w:tc>
        <w:tc>
          <w:tcPr>
            <w:tcW w:type="dxa" w:w="7510"/>
            <w:shd w:fill="F6F7F9"/>
            <w:vAlign w:val="top"/>
            <w:tcMar>
              <w:top w:w="70" w:type="dxa"/>
              <w:start w:w="105" w:type="dxa"/>
              <w:bottom w:w="70" w:type="dxa"/>
              <w:end w:w="105" w:type="dxa"/>
            </w:tcMar>
          </w:tcPr>
          <w:p>
            <w:pPr>
              <w:spacing w:after="20" w:line="240" w:lineRule="auto"/>
            </w:pPr>
            <w:r>
              <w:rPr>
                <w:rFonts w:ascii="Arial" w:hAnsi="Arial"/>
                <w:color w:val="172033"/>
                <w:sz w:val="16"/>
              </w:rPr>
              <w:t>Applicable knowledge, copy, rubrics, help and controlled version fixtures</w:t>
            </w:r>
          </w:p>
        </w:tc>
      </w:tr>
    </w:tbl>
    <w:p>
      <w:r>
        <w:br w:type="page"/>
      </w:r>
    </w:p>
    <w:p>
      <w:pPr>
        <w:pStyle w:val="Heading1"/>
      </w:pPr>
      <w:r>
        <w:t>4. Sequence at a glance</w:t>
      </w:r>
    </w:p>
    <w:tbl>
      <w:tblPr>
        <w:tblStyle w:val="TableGrid"/>
        <w:tblW w:type="dxa" w:w="9360"/>
        <w:jc w:val="left"/>
        <w:tblLayout w:type="fixed"/>
        <w:tblLook w:firstColumn="1" w:firstRow="1" w:lastColumn="0" w:lastRow="0" w:noHBand="0" w:noVBand="1" w:val="04A0"/>
        <w:tblInd w:w="120" w:type="dxa"/>
      </w:tblPr>
      <w:tblGrid>
        <w:gridCol w:w="700"/>
        <w:gridCol w:w="2300"/>
        <w:gridCol w:w="1750"/>
        <w:gridCol w:w="4610"/>
      </w:tblGrid>
      <w:tr>
        <w:tc>
          <w:tcPr>
            <w:tcW w:type="dxa" w:w="700"/>
            <w:shd w:fill="10243E"/>
            <w:tcMar>
              <w:top w:w="70" w:type="dxa"/>
              <w:start w:w="105" w:type="dxa"/>
              <w:bottom w:w="70" w:type="dxa"/>
              <w:end w:w="105" w:type="dxa"/>
            </w:tcMar>
          </w:tcPr>
          <w:p>
            <w:r>
              <w:rPr>
                <w:rFonts w:ascii="Arial" w:hAnsi="Arial"/>
                <w:b/>
                <w:color w:val="FFFFFF"/>
                <w:sz w:val="17"/>
              </w:rPr>
              <w:t>Slice</w:t>
            </w:r>
          </w:p>
        </w:tc>
        <w:tc>
          <w:tcPr>
            <w:tcW w:type="dxa" w:w="2300"/>
            <w:shd w:fill="10243E"/>
            <w:tcMar>
              <w:top w:w="70" w:type="dxa"/>
              <w:start w:w="105" w:type="dxa"/>
              <w:bottom w:w="70" w:type="dxa"/>
              <w:end w:w="105" w:type="dxa"/>
            </w:tcMar>
          </w:tcPr>
          <w:p>
            <w:r>
              <w:rPr>
                <w:rFonts w:ascii="Arial" w:hAnsi="Arial"/>
                <w:b/>
                <w:color w:val="FFFFFF"/>
                <w:sz w:val="17"/>
              </w:rPr>
              <w:t>Capability</w:t>
            </w:r>
          </w:p>
        </w:tc>
        <w:tc>
          <w:tcPr>
            <w:tcW w:type="dxa" w:w="1750"/>
            <w:shd w:fill="10243E"/>
            <w:tcMar>
              <w:top w:w="70" w:type="dxa"/>
              <w:start w:w="105" w:type="dxa"/>
              <w:bottom w:w="70" w:type="dxa"/>
              <w:end w:w="105" w:type="dxa"/>
            </w:tcMar>
          </w:tcPr>
          <w:p>
            <w:r>
              <w:rPr>
                <w:rFonts w:ascii="Arial" w:hAnsi="Arial"/>
                <w:b/>
                <w:color w:val="FFFFFF"/>
                <w:sz w:val="17"/>
              </w:rPr>
              <w:t>Depends on</w:t>
            </w:r>
          </w:p>
        </w:tc>
        <w:tc>
          <w:tcPr>
            <w:tcW w:type="dxa" w:w="4610"/>
            <w:shd w:fill="10243E"/>
            <w:tcMar>
              <w:top w:w="70" w:type="dxa"/>
              <w:start w:w="105" w:type="dxa"/>
              <w:bottom w:w="70" w:type="dxa"/>
              <w:end w:w="105" w:type="dxa"/>
            </w:tcMar>
          </w:tcPr>
          <w:p>
            <w:r>
              <w:rPr>
                <w:rFonts w:ascii="Arial" w:hAnsi="Arial"/>
                <w:b/>
                <w:color w:val="FFFFFF"/>
                <w:sz w:val="17"/>
              </w:rPr>
              <w:t>Usable result</w:t>
            </w:r>
          </w:p>
        </w:tc>
      </w:tr>
      <w:tr>
        <w:tc>
          <w:tcPr>
            <w:tcW w:type="dxa" w:w="700"/>
            <w:shd w:fill="FFFFFF"/>
            <w:vAlign w:val="top"/>
            <w:tcMar>
              <w:top w:w="70" w:type="dxa"/>
              <w:start w:w="105" w:type="dxa"/>
              <w:bottom w:w="70" w:type="dxa"/>
              <w:end w:w="105" w:type="dxa"/>
            </w:tcMar>
          </w:tcPr>
          <w:p>
            <w:pPr>
              <w:spacing w:after="20" w:line="240" w:lineRule="auto"/>
            </w:pPr>
            <w:r>
              <w:rPr>
                <w:rFonts w:ascii="Arial" w:hAnsi="Arial"/>
                <w:color w:val="172033"/>
                <w:sz w:val="15"/>
              </w:rPr>
              <w:t>0</w:t>
            </w:r>
          </w:p>
        </w:tc>
        <w:tc>
          <w:tcPr>
            <w:tcW w:type="dxa" w:w="2300"/>
            <w:shd w:fill="FFFFFF"/>
            <w:vAlign w:val="top"/>
            <w:tcMar>
              <w:top w:w="70" w:type="dxa"/>
              <w:start w:w="105" w:type="dxa"/>
              <w:bottom w:w="70" w:type="dxa"/>
              <w:end w:w="105" w:type="dxa"/>
            </w:tcMar>
          </w:tcPr>
          <w:p>
            <w:pPr>
              <w:spacing w:after="20" w:line="240" w:lineRule="auto"/>
            </w:pPr>
            <w:r>
              <w:rPr>
                <w:rFonts w:ascii="Arial" w:hAnsi="Arial"/>
                <w:color w:val="172033"/>
                <w:sz w:val="15"/>
              </w:rPr>
              <w:t>Control baseline</w:t>
            </w:r>
          </w:p>
        </w:tc>
        <w:tc>
          <w:tcPr>
            <w:tcW w:type="dxa" w:w="1750"/>
            <w:shd w:fill="FFFFFF"/>
            <w:vAlign w:val="top"/>
            <w:tcMar>
              <w:top w:w="70" w:type="dxa"/>
              <w:start w:w="105" w:type="dxa"/>
              <w:bottom w:w="70" w:type="dxa"/>
              <w:end w:w="105" w:type="dxa"/>
            </w:tcMar>
          </w:tcPr>
          <w:p>
            <w:pPr>
              <w:spacing w:after="20" w:line="240" w:lineRule="auto"/>
            </w:pPr>
            <w:r>
              <w:rPr>
                <w:rFonts w:ascii="Arial" w:hAnsi="Arial"/>
                <w:color w:val="172033"/>
                <w:sz w:val="15"/>
              </w:rPr>
              <w:t>None</w:t>
            </w:r>
          </w:p>
        </w:tc>
        <w:tc>
          <w:tcPr>
            <w:tcW w:type="dxa" w:w="4610"/>
            <w:shd w:fill="FFFFFF"/>
            <w:vAlign w:val="top"/>
            <w:tcMar>
              <w:top w:w="70" w:type="dxa"/>
              <w:start w:w="105" w:type="dxa"/>
              <w:bottom w:w="70" w:type="dxa"/>
              <w:end w:w="105" w:type="dxa"/>
            </w:tcMar>
          </w:tcPr>
          <w:p>
            <w:pPr>
              <w:spacing w:after="20" w:line="240" w:lineRule="auto"/>
            </w:pPr>
            <w:r>
              <w:rPr>
                <w:rFonts w:ascii="Arial" w:hAnsi="Arial"/>
                <w:color w:val="172033"/>
                <w:sz w:val="15"/>
              </w:rPr>
              <w:t>Ratified sources, actors, scenarios and evidence format</w:t>
            </w:r>
          </w:p>
        </w:tc>
      </w:tr>
      <w:tr>
        <w:tc>
          <w:tcPr>
            <w:tcW w:type="dxa" w:w="700"/>
            <w:shd w:fill="F6F7F9"/>
            <w:vAlign w:val="top"/>
            <w:tcMar>
              <w:top w:w="70" w:type="dxa"/>
              <w:start w:w="105" w:type="dxa"/>
              <w:bottom w:w="70" w:type="dxa"/>
              <w:end w:w="105" w:type="dxa"/>
            </w:tcMar>
          </w:tcPr>
          <w:p>
            <w:pPr>
              <w:spacing w:after="20" w:line="240" w:lineRule="auto"/>
            </w:pPr>
            <w:r>
              <w:rPr>
                <w:rFonts w:ascii="Arial" w:hAnsi="Arial"/>
                <w:color w:val="172033"/>
                <w:sz w:val="15"/>
              </w:rPr>
              <w:t>1</w:t>
            </w:r>
          </w:p>
        </w:tc>
        <w:tc>
          <w:tcPr>
            <w:tcW w:type="dxa" w:w="2300"/>
            <w:shd w:fill="F6F7F9"/>
            <w:vAlign w:val="top"/>
            <w:tcMar>
              <w:top w:w="70" w:type="dxa"/>
              <w:start w:w="105" w:type="dxa"/>
              <w:bottom w:w="70" w:type="dxa"/>
              <w:end w:w="105" w:type="dxa"/>
            </w:tcMar>
          </w:tcPr>
          <w:p>
            <w:pPr>
              <w:spacing w:after="20" w:line="240" w:lineRule="auto"/>
            </w:pPr>
            <w:r>
              <w:rPr>
                <w:rFonts w:ascii="Arial" w:hAnsi="Arial"/>
                <w:color w:val="172033"/>
                <w:sz w:val="15"/>
              </w:rPr>
              <w:t>Secure platform shell</w:t>
            </w:r>
          </w:p>
        </w:tc>
        <w:tc>
          <w:tcPr>
            <w:tcW w:type="dxa" w:w="1750"/>
            <w:shd w:fill="F6F7F9"/>
            <w:vAlign w:val="top"/>
            <w:tcMar>
              <w:top w:w="70" w:type="dxa"/>
              <w:start w:w="105" w:type="dxa"/>
              <w:bottom w:w="70" w:type="dxa"/>
              <w:end w:w="105" w:type="dxa"/>
            </w:tcMar>
          </w:tcPr>
          <w:p>
            <w:pPr>
              <w:spacing w:after="20" w:line="240" w:lineRule="auto"/>
            </w:pPr>
            <w:r>
              <w:rPr>
                <w:rFonts w:ascii="Arial" w:hAnsi="Arial"/>
                <w:color w:val="172033"/>
                <w:sz w:val="15"/>
              </w:rPr>
              <w:t>0</w:t>
            </w:r>
          </w:p>
        </w:tc>
        <w:tc>
          <w:tcPr>
            <w:tcW w:type="dxa" w:w="4610"/>
            <w:shd w:fill="F6F7F9"/>
            <w:vAlign w:val="top"/>
            <w:tcMar>
              <w:top w:w="70" w:type="dxa"/>
              <w:start w:w="105" w:type="dxa"/>
              <w:bottom w:w="70" w:type="dxa"/>
              <w:end w:w="105" w:type="dxa"/>
            </w:tcMar>
          </w:tcPr>
          <w:p>
            <w:pPr>
              <w:spacing w:after="20" w:line="240" w:lineRule="auto"/>
            </w:pPr>
            <w:r>
              <w:rPr>
                <w:rFonts w:ascii="Arial" w:hAnsi="Arial"/>
                <w:color w:val="172033"/>
                <w:sz w:val="15"/>
              </w:rPr>
              <w:t>Authenticated, scoped, auditable role workspaces</w:t>
            </w:r>
          </w:p>
        </w:tc>
      </w:tr>
      <w:tr>
        <w:tc>
          <w:tcPr>
            <w:tcW w:type="dxa" w:w="700"/>
            <w:shd w:fill="FFFFFF"/>
            <w:vAlign w:val="top"/>
            <w:tcMar>
              <w:top w:w="70" w:type="dxa"/>
              <w:start w:w="105" w:type="dxa"/>
              <w:bottom w:w="70" w:type="dxa"/>
              <w:end w:w="105" w:type="dxa"/>
            </w:tcMar>
          </w:tcPr>
          <w:p>
            <w:pPr>
              <w:spacing w:after="20" w:line="240" w:lineRule="auto"/>
            </w:pPr>
            <w:r>
              <w:rPr>
                <w:rFonts w:ascii="Arial" w:hAnsi="Arial"/>
                <w:color w:val="172033"/>
                <w:sz w:val="15"/>
              </w:rPr>
              <w:t>2</w:t>
            </w:r>
          </w:p>
        </w:tc>
        <w:tc>
          <w:tcPr>
            <w:tcW w:type="dxa" w:w="2300"/>
            <w:shd w:fill="FFFFFF"/>
            <w:vAlign w:val="top"/>
            <w:tcMar>
              <w:top w:w="70" w:type="dxa"/>
              <w:start w:w="105" w:type="dxa"/>
              <w:bottom w:w="70" w:type="dxa"/>
              <w:end w:w="105" w:type="dxa"/>
            </w:tcMar>
          </w:tcPr>
          <w:p>
            <w:pPr>
              <w:spacing w:after="20" w:line="240" w:lineRule="auto"/>
            </w:pPr>
            <w:r>
              <w:rPr>
                <w:rFonts w:ascii="Arial" w:hAnsi="Arial"/>
                <w:color w:val="172033"/>
                <w:sz w:val="15"/>
              </w:rPr>
              <w:t>People, roles and enrolment</w:t>
            </w:r>
          </w:p>
        </w:tc>
        <w:tc>
          <w:tcPr>
            <w:tcW w:type="dxa" w:w="1750"/>
            <w:shd w:fill="FFFFFF"/>
            <w:vAlign w:val="top"/>
            <w:tcMar>
              <w:top w:w="70" w:type="dxa"/>
              <w:start w:w="105" w:type="dxa"/>
              <w:bottom w:w="70" w:type="dxa"/>
              <w:end w:w="105" w:type="dxa"/>
            </w:tcMar>
          </w:tcPr>
          <w:p>
            <w:pPr>
              <w:spacing w:after="20" w:line="240" w:lineRule="auto"/>
            </w:pPr>
            <w:r>
              <w:rPr>
                <w:rFonts w:ascii="Arial" w:hAnsi="Arial"/>
                <w:color w:val="172033"/>
                <w:sz w:val="15"/>
              </w:rPr>
              <w:t>1</w:t>
            </w:r>
          </w:p>
        </w:tc>
        <w:tc>
          <w:tcPr>
            <w:tcW w:type="dxa" w:w="4610"/>
            <w:shd w:fill="FFFFFF"/>
            <w:vAlign w:val="top"/>
            <w:tcMar>
              <w:top w:w="70" w:type="dxa"/>
              <w:start w:w="105" w:type="dxa"/>
              <w:bottom w:w="70" w:type="dxa"/>
              <w:end w:w="105" w:type="dxa"/>
            </w:tcMar>
          </w:tcPr>
          <w:p>
            <w:pPr>
              <w:spacing w:after="20" w:line="240" w:lineRule="auto"/>
            </w:pPr>
            <w:r>
              <w:rPr>
                <w:rFonts w:ascii="Arial" w:hAnsi="Arial"/>
                <w:color w:val="172033"/>
                <w:sz w:val="15"/>
              </w:rPr>
              <w:t>Governed learner population and assigned paths</w:t>
            </w:r>
          </w:p>
        </w:tc>
      </w:tr>
      <w:tr>
        <w:tc>
          <w:tcPr>
            <w:tcW w:type="dxa" w:w="700"/>
            <w:shd w:fill="F6F7F9"/>
            <w:vAlign w:val="top"/>
            <w:tcMar>
              <w:top w:w="70" w:type="dxa"/>
              <w:start w:w="105" w:type="dxa"/>
              <w:bottom w:w="70" w:type="dxa"/>
              <w:end w:w="105" w:type="dxa"/>
            </w:tcMar>
          </w:tcPr>
          <w:p>
            <w:pPr>
              <w:spacing w:after="20" w:line="240" w:lineRule="auto"/>
            </w:pPr>
            <w:r>
              <w:rPr>
                <w:rFonts w:ascii="Arial" w:hAnsi="Arial"/>
                <w:color w:val="172033"/>
                <w:sz w:val="15"/>
              </w:rPr>
              <w:t>3</w:t>
            </w:r>
          </w:p>
        </w:tc>
        <w:tc>
          <w:tcPr>
            <w:tcW w:type="dxa" w:w="2300"/>
            <w:shd w:fill="F6F7F9"/>
            <w:vAlign w:val="top"/>
            <w:tcMar>
              <w:top w:w="70" w:type="dxa"/>
              <w:start w:w="105" w:type="dxa"/>
              <w:bottom w:w="70" w:type="dxa"/>
              <w:end w:w="105" w:type="dxa"/>
            </w:tcMar>
          </w:tcPr>
          <w:p>
            <w:pPr>
              <w:spacing w:after="20" w:line="240" w:lineRule="auto"/>
            </w:pPr>
            <w:r>
              <w:rPr>
                <w:rFonts w:ascii="Arial" w:hAnsi="Arial"/>
                <w:color w:val="172033"/>
                <w:sz w:val="15"/>
              </w:rPr>
              <w:t>Knowledge and content governance</w:t>
            </w:r>
          </w:p>
        </w:tc>
        <w:tc>
          <w:tcPr>
            <w:tcW w:type="dxa" w:w="1750"/>
            <w:shd w:fill="F6F7F9"/>
            <w:vAlign w:val="top"/>
            <w:tcMar>
              <w:top w:w="70" w:type="dxa"/>
              <w:start w:w="105" w:type="dxa"/>
              <w:bottom w:w="70" w:type="dxa"/>
              <w:end w:w="105" w:type="dxa"/>
            </w:tcMar>
          </w:tcPr>
          <w:p>
            <w:pPr>
              <w:spacing w:after="20" w:line="240" w:lineRule="auto"/>
            </w:pPr>
            <w:r>
              <w:rPr>
                <w:rFonts w:ascii="Arial" w:hAnsi="Arial"/>
                <w:color w:val="172033"/>
                <w:sz w:val="15"/>
              </w:rPr>
              <w:t>1</w:t>
            </w:r>
          </w:p>
        </w:tc>
        <w:tc>
          <w:tcPr>
            <w:tcW w:type="dxa" w:w="4610"/>
            <w:shd w:fill="F6F7F9"/>
            <w:vAlign w:val="top"/>
            <w:tcMar>
              <w:top w:w="70" w:type="dxa"/>
              <w:start w:w="105" w:type="dxa"/>
              <w:bottom w:w="70" w:type="dxa"/>
              <w:end w:w="105" w:type="dxa"/>
            </w:tcMar>
          </w:tcPr>
          <w:p>
            <w:pPr>
              <w:spacing w:after="20" w:line="240" w:lineRule="auto"/>
            </w:pPr>
            <w:r>
              <w:rPr>
                <w:rFonts w:ascii="Arial" w:hAnsi="Arial"/>
                <w:color w:val="172033"/>
                <w:sz w:val="15"/>
              </w:rPr>
              <w:t>Versioned author-review-approve-publish workflow</w:t>
            </w:r>
          </w:p>
        </w:tc>
      </w:tr>
      <w:tr>
        <w:tc>
          <w:tcPr>
            <w:tcW w:type="dxa" w:w="700"/>
            <w:shd w:fill="FFFFFF"/>
            <w:vAlign w:val="top"/>
            <w:tcMar>
              <w:top w:w="70" w:type="dxa"/>
              <w:start w:w="105" w:type="dxa"/>
              <w:bottom w:w="70" w:type="dxa"/>
              <w:end w:w="105" w:type="dxa"/>
            </w:tcMar>
          </w:tcPr>
          <w:p>
            <w:pPr>
              <w:spacing w:after="20" w:line="240" w:lineRule="auto"/>
            </w:pPr>
            <w:r>
              <w:rPr>
                <w:rFonts w:ascii="Arial" w:hAnsi="Arial"/>
                <w:color w:val="172033"/>
                <w:sz w:val="15"/>
              </w:rPr>
              <w:t>4</w:t>
            </w:r>
          </w:p>
        </w:tc>
        <w:tc>
          <w:tcPr>
            <w:tcW w:type="dxa" w:w="2300"/>
            <w:shd w:fill="FFFFFF"/>
            <w:vAlign w:val="top"/>
            <w:tcMar>
              <w:top w:w="70" w:type="dxa"/>
              <w:start w:w="105" w:type="dxa"/>
              <w:bottom w:w="70" w:type="dxa"/>
              <w:end w:w="105" w:type="dxa"/>
            </w:tcMar>
          </w:tcPr>
          <w:p>
            <w:pPr>
              <w:spacing w:after="20" w:line="240" w:lineRule="auto"/>
            </w:pPr>
            <w:r>
              <w:rPr>
                <w:rFonts w:ascii="Arial" w:hAnsi="Arial"/>
                <w:color w:val="172033"/>
                <w:sz w:val="15"/>
              </w:rPr>
              <w:t>Curriculum and learning delivery</w:t>
            </w:r>
          </w:p>
        </w:tc>
        <w:tc>
          <w:tcPr>
            <w:tcW w:type="dxa" w:w="1750"/>
            <w:shd w:fill="FFFFFF"/>
            <w:vAlign w:val="top"/>
            <w:tcMar>
              <w:top w:w="70" w:type="dxa"/>
              <w:start w:w="105" w:type="dxa"/>
              <w:bottom w:w="70" w:type="dxa"/>
              <w:end w:w="105" w:type="dxa"/>
            </w:tcMar>
          </w:tcPr>
          <w:p>
            <w:pPr>
              <w:spacing w:after="20" w:line="240" w:lineRule="auto"/>
            </w:pPr>
            <w:r>
              <w:rPr>
                <w:rFonts w:ascii="Arial" w:hAnsi="Arial"/>
                <w:color w:val="172033"/>
                <w:sz w:val="15"/>
              </w:rPr>
              <w:t>2,3</w:t>
            </w:r>
          </w:p>
        </w:tc>
        <w:tc>
          <w:tcPr>
            <w:tcW w:type="dxa" w:w="4610"/>
            <w:shd w:fill="FFFFFF"/>
            <w:vAlign w:val="top"/>
            <w:tcMar>
              <w:top w:w="70" w:type="dxa"/>
              <w:start w:w="105" w:type="dxa"/>
              <w:bottom w:w="70" w:type="dxa"/>
              <w:end w:w="105" w:type="dxa"/>
            </w:tcMar>
          </w:tcPr>
          <w:p>
            <w:pPr>
              <w:spacing w:after="20" w:line="240" w:lineRule="auto"/>
            </w:pPr>
            <w:r>
              <w:rPr>
                <w:rFonts w:ascii="Arial" w:hAnsi="Arial"/>
                <w:color w:val="172033"/>
                <w:sz w:val="15"/>
              </w:rPr>
              <w:t>Mobile learning, progress and acknowledgements</w:t>
            </w:r>
          </w:p>
        </w:tc>
      </w:tr>
      <w:tr>
        <w:tc>
          <w:tcPr>
            <w:tcW w:type="dxa" w:w="700"/>
            <w:shd w:fill="F6F7F9"/>
            <w:vAlign w:val="top"/>
            <w:tcMar>
              <w:top w:w="70" w:type="dxa"/>
              <w:start w:w="105" w:type="dxa"/>
              <w:bottom w:w="70" w:type="dxa"/>
              <w:end w:w="105" w:type="dxa"/>
            </w:tcMar>
          </w:tcPr>
          <w:p>
            <w:pPr>
              <w:spacing w:after="20" w:line="240" w:lineRule="auto"/>
            </w:pPr>
            <w:r>
              <w:rPr>
                <w:rFonts w:ascii="Arial" w:hAnsi="Arial"/>
                <w:color w:val="172033"/>
                <w:sz w:val="15"/>
              </w:rPr>
              <w:t>5</w:t>
            </w:r>
          </w:p>
        </w:tc>
        <w:tc>
          <w:tcPr>
            <w:tcW w:type="dxa" w:w="2300"/>
            <w:shd w:fill="F6F7F9"/>
            <w:vAlign w:val="top"/>
            <w:tcMar>
              <w:top w:w="70" w:type="dxa"/>
              <w:start w:w="105" w:type="dxa"/>
              <w:bottom w:w="70" w:type="dxa"/>
              <w:end w:w="105" w:type="dxa"/>
            </w:tcMar>
          </w:tcPr>
          <w:p>
            <w:pPr>
              <w:spacing w:after="20" w:line="240" w:lineRule="auto"/>
            </w:pPr>
            <w:r>
              <w:rPr>
                <w:rFonts w:ascii="Arial" w:hAnsi="Arial"/>
                <w:color w:val="172033"/>
                <w:sz w:val="15"/>
              </w:rPr>
              <w:t>Assessment authoring and assembly</w:t>
            </w:r>
          </w:p>
        </w:tc>
        <w:tc>
          <w:tcPr>
            <w:tcW w:type="dxa" w:w="1750"/>
            <w:shd w:fill="F6F7F9"/>
            <w:vAlign w:val="top"/>
            <w:tcMar>
              <w:top w:w="70" w:type="dxa"/>
              <w:start w:w="105" w:type="dxa"/>
              <w:bottom w:w="70" w:type="dxa"/>
              <w:end w:w="105" w:type="dxa"/>
            </w:tcMar>
          </w:tcPr>
          <w:p>
            <w:pPr>
              <w:spacing w:after="20" w:line="240" w:lineRule="auto"/>
            </w:pPr>
            <w:r>
              <w:rPr>
                <w:rFonts w:ascii="Arial" w:hAnsi="Arial"/>
                <w:color w:val="172033"/>
                <w:sz w:val="15"/>
              </w:rPr>
              <w:t>3</w:t>
            </w:r>
          </w:p>
        </w:tc>
        <w:tc>
          <w:tcPr>
            <w:tcW w:type="dxa" w:w="4610"/>
            <w:shd w:fill="F6F7F9"/>
            <w:vAlign w:val="top"/>
            <w:tcMar>
              <w:top w:w="70" w:type="dxa"/>
              <w:start w:w="105" w:type="dxa"/>
              <w:bottom w:w="70" w:type="dxa"/>
              <w:end w:w="105" w:type="dxa"/>
            </w:tcMar>
          </w:tcPr>
          <w:p>
            <w:pPr>
              <w:spacing w:after="20" w:line="240" w:lineRule="auto"/>
            </w:pPr>
            <w:r>
              <w:rPr>
                <w:rFonts w:ascii="Arial" w:hAnsi="Arial"/>
                <w:color w:val="172033"/>
                <w:sz w:val="15"/>
              </w:rPr>
              <w:t>Protected banks, blueprints, forms and approvals</w:t>
            </w:r>
          </w:p>
        </w:tc>
      </w:tr>
      <w:tr>
        <w:tc>
          <w:tcPr>
            <w:tcW w:type="dxa" w:w="700"/>
            <w:shd w:fill="FFFFFF"/>
            <w:vAlign w:val="top"/>
            <w:tcMar>
              <w:top w:w="70" w:type="dxa"/>
              <w:start w:w="105" w:type="dxa"/>
              <w:bottom w:w="70" w:type="dxa"/>
              <w:end w:w="105" w:type="dxa"/>
            </w:tcMar>
          </w:tcPr>
          <w:p>
            <w:pPr>
              <w:spacing w:after="20" w:line="240" w:lineRule="auto"/>
            </w:pPr>
            <w:r>
              <w:rPr>
                <w:rFonts w:ascii="Arial" w:hAnsi="Arial"/>
                <w:color w:val="172033"/>
                <w:sz w:val="15"/>
              </w:rPr>
              <w:t>6</w:t>
            </w:r>
          </w:p>
        </w:tc>
        <w:tc>
          <w:tcPr>
            <w:tcW w:type="dxa" w:w="2300"/>
            <w:shd w:fill="FFFFFF"/>
            <w:vAlign w:val="top"/>
            <w:tcMar>
              <w:top w:w="70" w:type="dxa"/>
              <w:start w:w="105" w:type="dxa"/>
              <w:bottom w:w="70" w:type="dxa"/>
              <w:end w:w="105" w:type="dxa"/>
            </w:tcMar>
          </w:tcPr>
          <w:p>
            <w:pPr>
              <w:spacing w:after="20" w:line="240" w:lineRule="auto"/>
            </w:pPr>
            <w:r>
              <w:rPr>
                <w:rFonts w:ascii="Arial" w:hAnsi="Arial"/>
                <w:color w:val="172033"/>
                <w:sz w:val="15"/>
              </w:rPr>
              <w:t>Secure assessment attempts</w:t>
            </w:r>
          </w:p>
        </w:tc>
        <w:tc>
          <w:tcPr>
            <w:tcW w:type="dxa" w:w="1750"/>
            <w:shd w:fill="FFFFFF"/>
            <w:vAlign w:val="top"/>
            <w:tcMar>
              <w:top w:w="70" w:type="dxa"/>
              <w:start w:w="105" w:type="dxa"/>
              <w:bottom w:w="70" w:type="dxa"/>
              <w:end w:w="105" w:type="dxa"/>
            </w:tcMar>
          </w:tcPr>
          <w:p>
            <w:pPr>
              <w:spacing w:after="20" w:line="240" w:lineRule="auto"/>
            </w:pPr>
            <w:r>
              <w:rPr>
                <w:rFonts w:ascii="Arial" w:hAnsi="Arial"/>
                <w:color w:val="172033"/>
                <w:sz w:val="15"/>
              </w:rPr>
              <w:t>4,5</w:t>
            </w:r>
          </w:p>
        </w:tc>
        <w:tc>
          <w:tcPr>
            <w:tcW w:type="dxa" w:w="4610"/>
            <w:shd w:fill="FFFFFF"/>
            <w:vAlign w:val="top"/>
            <w:tcMar>
              <w:top w:w="70" w:type="dxa"/>
              <w:start w:w="105" w:type="dxa"/>
              <w:bottom w:w="70" w:type="dxa"/>
              <w:end w:w="105" w:type="dxa"/>
            </w:tcMar>
          </w:tcPr>
          <w:p>
            <w:pPr>
              <w:spacing w:after="20" w:line="240" w:lineRule="auto"/>
            </w:pPr>
            <w:r>
              <w:rPr>
                <w:rFonts w:ascii="Arial" w:hAnsi="Arial"/>
                <w:color w:val="172033"/>
                <w:sz w:val="15"/>
              </w:rPr>
              <w:t>Attempts, objective marking, results and retakes</w:t>
            </w:r>
          </w:p>
        </w:tc>
      </w:tr>
      <w:tr>
        <w:tc>
          <w:tcPr>
            <w:tcW w:type="dxa" w:w="700"/>
            <w:shd w:fill="F6F7F9"/>
            <w:vAlign w:val="top"/>
            <w:tcMar>
              <w:top w:w="70" w:type="dxa"/>
              <w:start w:w="105" w:type="dxa"/>
              <w:bottom w:w="70" w:type="dxa"/>
              <w:end w:w="105" w:type="dxa"/>
            </w:tcMar>
          </w:tcPr>
          <w:p>
            <w:pPr>
              <w:spacing w:after="20" w:line="240" w:lineRule="auto"/>
            </w:pPr>
            <w:r>
              <w:rPr>
                <w:rFonts w:ascii="Arial" w:hAnsi="Arial"/>
                <w:color w:val="172033"/>
                <w:sz w:val="15"/>
              </w:rPr>
              <w:t>7</w:t>
            </w:r>
          </w:p>
        </w:tc>
        <w:tc>
          <w:tcPr>
            <w:tcW w:type="dxa" w:w="2300"/>
            <w:shd w:fill="F6F7F9"/>
            <w:vAlign w:val="top"/>
            <w:tcMar>
              <w:top w:w="70" w:type="dxa"/>
              <w:start w:w="105" w:type="dxa"/>
              <w:bottom w:w="70" w:type="dxa"/>
              <w:end w:w="105" w:type="dxa"/>
            </w:tcMar>
          </w:tcPr>
          <w:p>
            <w:pPr>
              <w:spacing w:after="20" w:line="240" w:lineRule="auto"/>
            </w:pPr>
            <w:r>
              <w:rPr>
                <w:rFonts w:ascii="Arial" w:hAnsi="Arial"/>
                <w:color w:val="172033"/>
                <w:sz w:val="15"/>
              </w:rPr>
              <w:t>Practical assessment and moderation</w:t>
            </w:r>
          </w:p>
        </w:tc>
        <w:tc>
          <w:tcPr>
            <w:tcW w:type="dxa" w:w="1750"/>
            <w:shd w:fill="F6F7F9"/>
            <w:vAlign w:val="top"/>
            <w:tcMar>
              <w:top w:w="70" w:type="dxa"/>
              <w:start w:w="105" w:type="dxa"/>
              <w:bottom w:w="70" w:type="dxa"/>
              <w:end w:w="105" w:type="dxa"/>
            </w:tcMar>
          </w:tcPr>
          <w:p>
            <w:pPr>
              <w:spacing w:after="20" w:line="240" w:lineRule="auto"/>
            </w:pPr>
            <w:r>
              <w:rPr>
                <w:rFonts w:ascii="Arial" w:hAnsi="Arial"/>
                <w:color w:val="172033"/>
                <w:sz w:val="15"/>
              </w:rPr>
              <w:t>2,5,6</w:t>
            </w:r>
          </w:p>
        </w:tc>
        <w:tc>
          <w:tcPr>
            <w:tcW w:type="dxa" w:w="4610"/>
            <w:shd w:fill="F6F7F9"/>
            <w:vAlign w:val="top"/>
            <w:tcMar>
              <w:top w:w="70" w:type="dxa"/>
              <w:start w:w="105" w:type="dxa"/>
              <w:bottom w:w="70" w:type="dxa"/>
              <w:end w:w="105" w:type="dxa"/>
            </w:tcMar>
          </w:tcPr>
          <w:p>
            <w:pPr>
              <w:spacing w:after="20" w:line="240" w:lineRule="auto"/>
            </w:pPr>
            <w:r>
              <w:rPr>
                <w:rFonts w:ascii="Arial" w:hAnsi="Arial"/>
                <w:color w:val="172033"/>
                <w:sz w:val="15"/>
              </w:rPr>
              <w:t>Observed evidence, conflicts, moderation and appeals</w:t>
            </w:r>
          </w:p>
        </w:tc>
      </w:tr>
      <w:tr>
        <w:tc>
          <w:tcPr>
            <w:tcW w:type="dxa" w:w="700"/>
            <w:shd w:fill="FFFFFF"/>
            <w:vAlign w:val="top"/>
            <w:tcMar>
              <w:top w:w="70" w:type="dxa"/>
              <w:start w:w="105" w:type="dxa"/>
              <w:bottom w:w="70" w:type="dxa"/>
              <w:end w:w="105" w:type="dxa"/>
            </w:tcMar>
          </w:tcPr>
          <w:p>
            <w:pPr>
              <w:spacing w:after="20" w:line="240" w:lineRule="auto"/>
            </w:pPr>
            <w:r>
              <w:rPr>
                <w:rFonts w:ascii="Arial" w:hAnsi="Arial"/>
                <w:color w:val="172033"/>
                <w:sz w:val="15"/>
              </w:rPr>
              <w:t>8</w:t>
            </w:r>
          </w:p>
        </w:tc>
        <w:tc>
          <w:tcPr>
            <w:tcW w:type="dxa" w:w="2300"/>
            <w:shd w:fill="FFFFFF"/>
            <w:vAlign w:val="top"/>
            <w:tcMar>
              <w:top w:w="70" w:type="dxa"/>
              <w:start w:w="105" w:type="dxa"/>
              <w:bottom w:w="70" w:type="dxa"/>
              <w:end w:w="105" w:type="dxa"/>
            </w:tcMar>
          </w:tcPr>
          <w:p>
            <w:pPr>
              <w:spacing w:after="20" w:line="240" w:lineRule="auto"/>
            </w:pPr>
            <w:r>
              <w:rPr>
                <w:rFonts w:ascii="Arial" w:hAnsi="Arial"/>
                <w:color w:val="172033"/>
                <w:sz w:val="15"/>
              </w:rPr>
              <w:t>Certification lifecycle</w:t>
            </w:r>
          </w:p>
        </w:tc>
        <w:tc>
          <w:tcPr>
            <w:tcW w:type="dxa" w:w="1750"/>
            <w:shd w:fill="FFFFFF"/>
            <w:vAlign w:val="top"/>
            <w:tcMar>
              <w:top w:w="70" w:type="dxa"/>
              <w:start w:w="105" w:type="dxa"/>
              <w:bottom w:w="70" w:type="dxa"/>
              <w:end w:w="105" w:type="dxa"/>
            </w:tcMar>
          </w:tcPr>
          <w:p>
            <w:pPr>
              <w:spacing w:after="20" w:line="240" w:lineRule="auto"/>
            </w:pPr>
            <w:r>
              <w:rPr>
                <w:rFonts w:ascii="Arial" w:hAnsi="Arial"/>
                <w:color w:val="172033"/>
                <w:sz w:val="15"/>
              </w:rPr>
              <w:t>6,7</w:t>
            </w:r>
          </w:p>
        </w:tc>
        <w:tc>
          <w:tcPr>
            <w:tcW w:type="dxa" w:w="4610"/>
            <w:shd w:fill="FFFFFF"/>
            <w:vAlign w:val="top"/>
            <w:tcMar>
              <w:top w:w="70" w:type="dxa"/>
              <w:start w:w="105" w:type="dxa"/>
              <w:bottom w:w="70" w:type="dxa"/>
              <w:end w:w="105" w:type="dxa"/>
            </w:tcMar>
          </w:tcPr>
          <w:p>
            <w:pPr>
              <w:spacing w:after="20" w:line="240" w:lineRule="auto"/>
            </w:pPr>
            <w:r>
              <w:rPr>
                <w:rFonts w:ascii="Arial" w:hAnsi="Arial"/>
                <w:color w:val="172033"/>
                <w:sz w:val="15"/>
              </w:rPr>
              <w:t>Issue, verify, renew, suspend and revoke</w:t>
            </w:r>
          </w:p>
        </w:tc>
      </w:tr>
      <w:tr>
        <w:tc>
          <w:tcPr>
            <w:tcW w:type="dxa" w:w="700"/>
            <w:shd w:fill="F6F7F9"/>
            <w:vAlign w:val="top"/>
            <w:tcMar>
              <w:top w:w="70" w:type="dxa"/>
              <w:start w:w="105" w:type="dxa"/>
              <w:bottom w:w="70" w:type="dxa"/>
              <w:end w:w="105" w:type="dxa"/>
            </w:tcMar>
          </w:tcPr>
          <w:p>
            <w:pPr>
              <w:spacing w:after="20" w:line="240" w:lineRule="auto"/>
            </w:pPr>
            <w:r>
              <w:rPr>
                <w:rFonts w:ascii="Arial" w:hAnsi="Arial"/>
                <w:color w:val="172033"/>
                <w:sz w:val="15"/>
              </w:rPr>
              <w:t>9</w:t>
            </w:r>
          </w:p>
        </w:tc>
        <w:tc>
          <w:tcPr>
            <w:tcW w:type="dxa" w:w="2300"/>
            <w:shd w:fill="F6F7F9"/>
            <w:vAlign w:val="top"/>
            <w:tcMar>
              <w:top w:w="70" w:type="dxa"/>
              <w:start w:w="105" w:type="dxa"/>
              <w:bottom w:w="70" w:type="dxa"/>
              <w:end w:w="105" w:type="dxa"/>
            </w:tcMar>
          </w:tcPr>
          <w:p>
            <w:pPr>
              <w:spacing w:after="20" w:line="240" w:lineRule="auto"/>
            </w:pPr>
            <w:r>
              <w:rPr>
                <w:rFonts w:ascii="Arial" w:hAnsi="Arial"/>
                <w:color w:val="172033"/>
                <w:sz w:val="15"/>
              </w:rPr>
              <w:t>Role-change gap analysis</w:t>
            </w:r>
          </w:p>
        </w:tc>
        <w:tc>
          <w:tcPr>
            <w:tcW w:type="dxa" w:w="1750"/>
            <w:shd w:fill="F6F7F9"/>
            <w:vAlign w:val="top"/>
            <w:tcMar>
              <w:top w:w="70" w:type="dxa"/>
              <w:start w:w="105" w:type="dxa"/>
              <w:bottom w:w="70" w:type="dxa"/>
              <w:end w:w="105" w:type="dxa"/>
            </w:tcMar>
          </w:tcPr>
          <w:p>
            <w:pPr>
              <w:spacing w:after="20" w:line="240" w:lineRule="auto"/>
            </w:pPr>
            <w:r>
              <w:rPr>
                <w:rFonts w:ascii="Arial" w:hAnsi="Arial"/>
                <w:color w:val="172033"/>
                <w:sz w:val="15"/>
              </w:rPr>
              <w:t>2,4,8</w:t>
            </w:r>
          </w:p>
        </w:tc>
        <w:tc>
          <w:tcPr>
            <w:tcW w:type="dxa" w:w="4610"/>
            <w:shd w:fill="F6F7F9"/>
            <w:vAlign w:val="top"/>
            <w:tcMar>
              <w:top w:w="70" w:type="dxa"/>
              <w:start w:w="105" w:type="dxa"/>
              <w:bottom w:w="70" w:type="dxa"/>
              <w:end w:w="105" w:type="dxa"/>
            </w:tcMar>
          </w:tcPr>
          <w:p>
            <w:pPr>
              <w:spacing w:after="20" w:line="240" w:lineRule="auto"/>
            </w:pPr>
            <w:r>
              <w:rPr>
                <w:rFonts w:ascii="Arial" w:hAnsi="Arial"/>
                <w:color w:val="172033"/>
                <w:sz w:val="15"/>
              </w:rPr>
              <w:t>Reuse equivalence; assign only genuine gaps</w:t>
            </w:r>
          </w:p>
        </w:tc>
      </w:tr>
      <w:tr>
        <w:tc>
          <w:tcPr>
            <w:tcW w:type="dxa" w:w="700"/>
            <w:shd w:fill="FFFFFF"/>
            <w:vAlign w:val="top"/>
            <w:tcMar>
              <w:top w:w="70" w:type="dxa"/>
              <w:start w:w="105" w:type="dxa"/>
              <w:bottom w:w="70" w:type="dxa"/>
              <w:end w:w="105" w:type="dxa"/>
            </w:tcMar>
          </w:tcPr>
          <w:p>
            <w:pPr>
              <w:spacing w:after="20" w:line="240" w:lineRule="auto"/>
            </w:pPr>
            <w:r>
              <w:rPr>
                <w:rFonts w:ascii="Arial" w:hAnsi="Arial"/>
                <w:color w:val="172033"/>
                <w:sz w:val="15"/>
              </w:rPr>
              <w:t>10</w:t>
            </w:r>
          </w:p>
        </w:tc>
        <w:tc>
          <w:tcPr>
            <w:tcW w:type="dxa" w:w="2300"/>
            <w:shd w:fill="FFFFFF"/>
            <w:vAlign w:val="top"/>
            <w:tcMar>
              <w:top w:w="70" w:type="dxa"/>
              <w:start w:w="105" w:type="dxa"/>
              <w:bottom w:w="70" w:type="dxa"/>
              <w:end w:w="105" w:type="dxa"/>
            </w:tcMar>
          </w:tcPr>
          <w:p>
            <w:pPr>
              <w:spacing w:after="20" w:line="240" w:lineRule="auto"/>
            </w:pPr>
            <w:r>
              <w:rPr>
                <w:rFonts w:ascii="Arial" w:hAnsi="Arial"/>
                <w:color w:val="172033"/>
                <w:sz w:val="15"/>
              </w:rPr>
              <w:t>Event Training Package integration</w:t>
            </w:r>
          </w:p>
        </w:tc>
        <w:tc>
          <w:tcPr>
            <w:tcW w:type="dxa" w:w="1750"/>
            <w:shd w:fill="FFFFFF"/>
            <w:vAlign w:val="top"/>
            <w:tcMar>
              <w:top w:w="70" w:type="dxa"/>
              <w:start w:w="105" w:type="dxa"/>
              <w:bottom w:w="70" w:type="dxa"/>
              <w:end w:w="105" w:type="dxa"/>
            </w:tcMar>
          </w:tcPr>
          <w:p>
            <w:pPr>
              <w:spacing w:after="20" w:line="240" w:lineRule="auto"/>
            </w:pPr>
            <w:r>
              <w:rPr>
                <w:rFonts w:ascii="Arial" w:hAnsi="Arial"/>
                <w:color w:val="172033"/>
                <w:sz w:val="15"/>
              </w:rPr>
              <w:t>3,4 + OS sandbox</w:t>
            </w:r>
          </w:p>
        </w:tc>
        <w:tc>
          <w:tcPr>
            <w:tcW w:type="dxa" w:w="4610"/>
            <w:shd w:fill="FFFFFF"/>
            <w:vAlign w:val="top"/>
            <w:tcMar>
              <w:top w:w="70" w:type="dxa"/>
              <w:start w:w="105" w:type="dxa"/>
              <w:bottom w:w="70" w:type="dxa"/>
              <w:end w:w="105" w:type="dxa"/>
            </w:tcMar>
          </w:tcPr>
          <w:p>
            <w:pPr>
              <w:spacing w:after="20" w:line="240" w:lineRule="auto"/>
            </w:pPr>
            <w:r>
              <w:rPr>
                <w:rFonts w:ascii="Arial" w:hAnsi="Arial"/>
                <w:color w:val="172033"/>
                <w:sz w:val="15"/>
              </w:rPr>
              <w:t>Ingest, review, publish and assign event learning</w:t>
            </w:r>
          </w:p>
        </w:tc>
      </w:tr>
      <w:tr>
        <w:tc>
          <w:tcPr>
            <w:tcW w:type="dxa" w:w="700"/>
            <w:shd w:fill="F6F7F9"/>
            <w:vAlign w:val="top"/>
            <w:tcMar>
              <w:top w:w="70" w:type="dxa"/>
              <w:start w:w="105" w:type="dxa"/>
              <w:bottom w:w="70" w:type="dxa"/>
              <w:end w:w="105" w:type="dxa"/>
            </w:tcMar>
          </w:tcPr>
          <w:p>
            <w:pPr>
              <w:spacing w:after="20" w:line="240" w:lineRule="auto"/>
            </w:pPr>
            <w:r>
              <w:rPr>
                <w:rFonts w:ascii="Arial" w:hAnsi="Arial"/>
                <w:color w:val="172033"/>
                <w:sz w:val="15"/>
              </w:rPr>
              <w:t>11</w:t>
            </w:r>
          </w:p>
        </w:tc>
        <w:tc>
          <w:tcPr>
            <w:tcW w:type="dxa" w:w="2300"/>
            <w:shd w:fill="F6F7F9"/>
            <w:vAlign w:val="top"/>
            <w:tcMar>
              <w:top w:w="70" w:type="dxa"/>
              <w:start w:w="105" w:type="dxa"/>
              <w:bottom w:w="70" w:type="dxa"/>
              <w:end w:w="105" w:type="dxa"/>
            </w:tcMar>
          </w:tcPr>
          <w:p>
            <w:pPr>
              <w:spacing w:after="20" w:line="240" w:lineRule="auto"/>
            </w:pPr>
            <w:r>
              <w:rPr>
                <w:rFonts w:ascii="Arial" w:hAnsi="Arial"/>
                <w:color w:val="172033"/>
                <w:sz w:val="15"/>
              </w:rPr>
              <w:t>Event readiness and OS return</w:t>
            </w:r>
          </w:p>
        </w:tc>
        <w:tc>
          <w:tcPr>
            <w:tcW w:type="dxa" w:w="1750"/>
            <w:shd w:fill="F6F7F9"/>
            <w:vAlign w:val="top"/>
            <w:tcMar>
              <w:top w:w="70" w:type="dxa"/>
              <w:start w:w="105" w:type="dxa"/>
              <w:bottom w:w="70" w:type="dxa"/>
              <w:end w:w="105" w:type="dxa"/>
            </w:tcMar>
          </w:tcPr>
          <w:p>
            <w:pPr>
              <w:spacing w:after="20" w:line="240" w:lineRule="auto"/>
            </w:pPr>
            <w:r>
              <w:rPr>
                <w:rFonts w:ascii="Arial" w:hAnsi="Arial"/>
                <w:color w:val="172033"/>
                <w:sz w:val="15"/>
              </w:rPr>
              <w:t>8,10</w:t>
            </w:r>
          </w:p>
        </w:tc>
        <w:tc>
          <w:tcPr>
            <w:tcW w:type="dxa" w:w="4610"/>
            <w:shd w:fill="F6F7F9"/>
            <w:vAlign w:val="top"/>
            <w:tcMar>
              <w:top w:w="70" w:type="dxa"/>
              <w:start w:w="105" w:type="dxa"/>
              <w:bottom w:w="70" w:type="dxa"/>
              <w:end w:w="105" w:type="dxa"/>
            </w:tcMar>
          </w:tcPr>
          <w:p>
            <w:pPr>
              <w:spacing w:after="20" w:line="240" w:lineRule="auto"/>
            </w:pPr>
            <w:r>
              <w:rPr>
                <w:rFonts w:ascii="Arial" w:hAnsi="Arial"/>
                <w:color w:val="172033"/>
                <w:sz w:val="15"/>
              </w:rPr>
              <w:t>Event-scoped readiness with safe status exchange</w:t>
            </w:r>
          </w:p>
        </w:tc>
      </w:tr>
      <w:tr>
        <w:tc>
          <w:tcPr>
            <w:tcW w:type="dxa" w:w="700"/>
            <w:shd w:fill="FFFFFF"/>
            <w:vAlign w:val="top"/>
            <w:tcMar>
              <w:top w:w="70" w:type="dxa"/>
              <w:start w:w="105" w:type="dxa"/>
              <w:bottom w:w="70" w:type="dxa"/>
              <w:end w:w="105" w:type="dxa"/>
            </w:tcMar>
          </w:tcPr>
          <w:p>
            <w:pPr>
              <w:spacing w:after="20" w:line="240" w:lineRule="auto"/>
            </w:pPr>
            <w:r>
              <w:rPr>
                <w:rFonts w:ascii="Arial" w:hAnsi="Arial"/>
                <w:color w:val="172033"/>
                <w:sz w:val="15"/>
              </w:rPr>
              <w:t>12</w:t>
            </w:r>
          </w:p>
        </w:tc>
        <w:tc>
          <w:tcPr>
            <w:tcW w:type="dxa" w:w="2300"/>
            <w:shd w:fill="FFFFFF"/>
            <w:vAlign w:val="top"/>
            <w:tcMar>
              <w:top w:w="70" w:type="dxa"/>
              <w:start w:w="105" w:type="dxa"/>
              <w:bottom w:w="70" w:type="dxa"/>
              <w:end w:w="105" w:type="dxa"/>
            </w:tcMar>
          </w:tcPr>
          <w:p>
            <w:pPr>
              <w:spacing w:after="20" w:line="240" w:lineRule="auto"/>
            </w:pPr>
            <w:r>
              <w:rPr>
                <w:rFonts w:ascii="Arial" w:hAnsi="Arial"/>
                <w:color w:val="172033"/>
                <w:sz w:val="15"/>
              </w:rPr>
              <w:t>Notifications and intervention</w:t>
            </w:r>
          </w:p>
        </w:tc>
        <w:tc>
          <w:tcPr>
            <w:tcW w:type="dxa" w:w="1750"/>
            <w:shd w:fill="FFFFFF"/>
            <w:vAlign w:val="top"/>
            <w:tcMar>
              <w:top w:w="70" w:type="dxa"/>
              <w:start w:w="105" w:type="dxa"/>
              <w:bottom w:w="70" w:type="dxa"/>
              <w:end w:w="105" w:type="dxa"/>
            </w:tcMar>
          </w:tcPr>
          <w:p>
            <w:pPr>
              <w:spacing w:after="20" w:line="240" w:lineRule="auto"/>
            </w:pPr>
            <w:r>
              <w:rPr>
                <w:rFonts w:ascii="Arial" w:hAnsi="Arial"/>
                <w:color w:val="172033"/>
                <w:sz w:val="15"/>
              </w:rPr>
              <w:t>4,6,8,11</w:t>
            </w:r>
          </w:p>
        </w:tc>
        <w:tc>
          <w:tcPr>
            <w:tcW w:type="dxa" w:w="4610"/>
            <w:shd w:fill="FFFFFF"/>
            <w:vAlign w:val="top"/>
            <w:tcMar>
              <w:top w:w="70" w:type="dxa"/>
              <w:start w:w="105" w:type="dxa"/>
              <w:bottom w:w="70" w:type="dxa"/>
              <w:end w:w="105" w:type="dxa"/>
            </w:tcMar>
          </w:tcPr>
          <w:p>
            <w:pPr>
              <w:spacing w:after="20" w:line="240" w:lineRule="auto"/>
            </w:pPr>
            <w:r>
              <w:rPr>
                <w:rFonts w:ascii="Arial" w:hAnsi="Arial"/>
                <w:color w:val="172033"/>
                <w:sz w:val="15"/>
              </w:rPr>
              <w:t>Actionable reminders, escalation and acknowledgement</w:t>
            </w:r>
          </w:p>
        </w:tc>
      </w:tr>
      <w:tr>
        <w:tc>
          <w:tcPr>
            <w:tcW w:type="dxa" w:w="700"/>
            <w:shd w:fill="F6F7F9"/>
            <w:vAlign w:val="top"/>
            <w:tcMar>
              <w:top w:w="70" w:type="dxa"/>
              <w:start w:w="105" w:type="dxa"/>
              <w:bottom w:w="70" w:type="dxa"/>
              <w:end w:w="105" w:type="dxa"/>
            </w:tcMar>
          </w:tcPr>
          <w:p>
            <w:pPr>
              <w:spacing w:after="20" w:line="240" w:lineRule="auto"/>
            </w:pPr>
            <w:r>
              <w:rPr>
                <w:rFonts w:ascii="Arial" w:hAnsi="Arial"/>
                <w:color w:val="172033"/>
                <w:sz w:val="15"/>
              </w:rPr>
              <w:t>13</w:t>
            </w:r>
          </w:p>
        </w:tc>
        <w:tc>
          <w:tcPr>
            <w:tcW w:type="dxa" w:w="2300"/>
            <w:shd w:fill="F6F7F9"/>
            <w:vAlign w:val="top"/>
            <w:tcMar>
              <w:top w:w="70" w:type="dxa"/>
              <w:start w:w="105" w:type="dxa"/>
              <w:bottom w:w="70" w:type="dxa"/>
              <w:end w:w="105" w:type="dxa"/>
            </w:tcMar>
          </w:tcPr>
          <w:p>
            <w:pPr>
              <w:spacing w:after="20" w:line="240" w:lineRule="auto"/>
            </w:pPr>
            <w:r>
              <w:rPr>
                <w:rFonts w:ascii="Arial" w:hAnsi="Arial"/>
                <w:color w:val="172033"/>
                <w:sz w:val="15"/>
              </w:rPr>
              <w:t>Training intelligence and reporting</w:t>
            </w:r>
          </w:p>
        </w:tc>
        <w:tc>
          <w:tcPr>
            <w:tcW w:type="dxa" w:w="1750"/>
            <w:shd w:fill="F6F7F9"/>
            <w:vAlign w:val="top"/>
            <w:tcMar>
              <w:top w:w="70" w:type="dxa"/>
              <w:start w:w="105" w:type="dxa"/>
              <w:bottom w:w="70" w:type="dxa"/>
              <w:end w:w="105" w:type="dxa"/>
            </w:tcMar>
          </w:tcPr>
          <w:p>
            <w:pPr>
              <w:spacing w:after="20" w:line="240" w:lineRule="auto"/>
            </w:pPr>
            <w:r>
              <w:rPr>
                <w:rFonts w:ascii="Arial" w:hAnsi="Arial"/>
                <w:color w:val="172033"/>
                <w:sz w:val="15"/>
              </w:rPr>
              <w:t>6,8,11,12</w:t>
            </w:r>
          </w:p>
        </w:tc>
        <w:tc>
          <w:tcPr>
            <w:tcW w:type="dxa" w:w="4610"/>
            <w:shd w:fill="F6F7F9"/>
            <w:vAlign w:val="top"/>
            <w:tcMar>
              <w:top w:w="70" w:type="dxa"/>
              <w:start w:w="105" w:type="dxa"/>
              <w:bottom w:w="70" w:type="dxa"/>
              <w:end w:w="105" w:type="dxa"/>
            </w:tcMar>
          </w:tcPr>
          <w:p>
            <w:pPr>
              <w:spacing w:after="20" w:line="240" w:lineRule="auto"/>
            </w:pPr>
            <w:r>
              <w:rPr>
                <w:rFonts w:ascii="Arial" w:hAnsi="Arial"/>
                <w:color w:val="172033"/>
                <w:sz w:val="15"/>
              </w:rPr>
              <w:t>Risk, coverage, gaps and governed recommendations</w:t>
            </w:r>
          </w:p>
        </w:tc>
      </w:tr>
      <w:tr>
        <w:tc>
          <w:tcPr>
            <w:tcW w:type="dxa" w:w="700"/>
            <w:shd w:fill="FFFFFF"/>
            <w:vAlign w:val="top"/>
            <w:tcMar>
              <w:top w:w="70" w:type="dxa"/>
              <w:start w:w="105" w:type="dxa"/>
              <w:bottom w:w="70" w:type="dxa"/>
              <w:end w:w="105" w:type="dxa"/>
            </w:tcMar>
          </w:tcPr>
          <w:p>
            <w:pPr>
              <w:spacing w:after="20" w:line="240" w:lineRule="auto"/>
            </w:pPr>
            <w:r>
              <w:rPr>
                <w:rFonts w:ascii="Arial" w:hAnsi="Arial"/>
                <w:color w:val="172033"/>
                <w:sz w:val="15"/>
              </w:rPr>
              <w:t>14</w:t>
            </w:r>
          </w:p>
        </w:tc>
        <w:tc>
          <w:tcPr>
            <w:tcW w:type="dxa" w:w="2300"/>
            <w:shd w:fill="FFFFFF"/>
            <w:vAlign w:val="top"/>
            <w:tcMar>
              <w:top w:w="70" w:type="dxa"/>
              <w:start w:w="105" w:type="dxa"/>
              <w:bottom w:w="70" w:type="dxa"/>
              <w:end w:w="105" w:type="dxa"/>
            </w:tcMar>
          </w:tcPr>
          <w:p>
            <w:pPr>
              <w:spacing w:after="20" w:line="240" w:lineRule="auto"/>
            </w:pPr>
            <w:r>
              <w:rPr>
                <w:rFonts w:ascii="Arial" w:hAnsi="Arial"/>
                <w:color w:val="172033"/>
                <w:sz w:val="15"/>
              </w:rPr>
              <w:t>Privacy, retention and security operations</w:t>
            </w:r>
          </w:p>
        </w:tc>
        <w:tc>
          <w:tcPr>
            <w:tcW w:type="dxa" w:w="1750"/>
            <w:shd w:fill="FFFFFF"/>
            <w:vAlign w:val="top"/>
            <w:tcMar>
              <w:top w:w="70" w:type="dxa"/>
              <w:start w:w="105" w:type="dxa"/>
              <w:bottom w:w="70" w:type="dxa"/>
              <w:end w:w="105" w:type="dxa"/>
            </w:tcMar>
          </w:tcPr>
          <w:p>
            <w:pPr>
              <w:spacing w:after="20" w:line="240" w:lineRule="auto"/>
            </w:pPr>
            <w:r>
              <w:rPr>
                <w:rFonts w:ascii="Arial" w:hAnsi="Arial"/>
                <w:color w:val="172033"/>
                <w:sz w:val="15"/>
              </w:rPr>
              <w:t>1-13</w:t>
            </w:r>
          </w:p>
        </w:tc>
        <w:tc>
          <w:tcPr>
            <w:tcW w:type="dxa" w:w="4610"/>
            <w:shd w:fill="FFFFFF"/>
            <w:vAlign w:val="top"/>
            <w:tcMar>
              <w:top w:w="70" w:type="dxa"/>
              <w:start w:w="105" w:type="dxa"/>
              <w:bottom w:w="70" w:type="dxa"/>
              <w:end w:w="105" w:type="dxa"/>
            </w:tcMar>
          </w:tcPr>
          <w:p>
            <w:pPr>
              <w:spacing w:after="20" w:line="240" w:lineRule="auto"/>
            </w:pPr>
            <w:r>
              <w:rPr>
                <w:rFonts w:ascii="Arial" w:hAnsi="Arial"/>
                <w:color w:val="172033"/>
                <w:sz w:val="15"/>
              </w:rPr>
              <w:t>Rights, holds, purge, access review and incident controls</w:t>
            </w:r>
          </w:p>
        </w:tc>
      </w:tr>
      <w:tr>
        <w:tc>
          <w:tcPr>
            <w:tcW w:type="dxa" w:w="700"/>
            <w:shd w:fill="F6F7F9"/>
            <w:vAlign w:val="top"/>
            <w:tcMar>
              <w:top w:w="70" w:type="dxa"/>
              <w:start w:w="105" w:type="dxa"/>
              <w:bottom w:w="70" w:type="dxa"/>
              <w:end w:w="105" w:type="dxa"/>
            </w:tcMar>
          </w:tcPr>
          <w:p>
            <w:pPr>
              <w:spacing w:after="20" w:line="240" w:lineRule="auto"/>
            </w:pPr>
            <w:r>
              <w:rPr>
                <w:rFonts w:ascii="Arial" w:hAnsi="Arial"/>
                <w:color w:val="172033"/>
                <w:sz w:val="15"/>
              </w:rPr>
              <w:t>15</w:t>
            </w:r>
          </w:p>
        </w:tc>
        <w:tc>
          <w:tcPr>
            <w:tcW w:type="dxa" w:w="2300"/>
            <w:shd w:fill="F6F7F9"/>
            <w:vAlign w:val="top"/>
            <w:tcMar>
              <w:top w:w="70" w:type="dxa"/>
              <w:start w:w="105" w:type="dxa"/>
              <w:bottom w:w="70" w:type="dxa"/>
              <w:end w:w="105" w:type="dxa"/>
            </w:tcMar>
          </w:tcPr>
          <w:p>
            <w:pPr>
              <w:spacing w:after="20" w:line="240" w:lineRule="auto"/>
            </w:pPr>
            <w:r>
              <w:rPr>
                <w:rFonts w:ascii="Arial" w:hAnsi="Arial"/>
                <w:color w:val="172033"/>
                <w:sz w:val="15"/>
              </w:rPr>
              <w:t>Resilience, offline and operational hardening</w:t>
            </w:r>
          </w:p>
        </w:tc>
        <w:tc>
          <w:tcPr>
            <w:tcW w:type="dxa" w:w="1750"/>
            <w:shd w:fill="F6F7F9"/>
            <w:vAlign w:val="top"/>
            <w:tcMar>
              <w:top w:w="70" w:type="dxa"/>
              <w:start w:w="105" w:type="dxa"/>
              <w:bottom w:w="70" w:type="dxa"/>
              <w:end w:w="105" w:type="dxa"/>
            </w:tcMar>
          </w:tcPr>
          <w:p>
            <w:pPr>
              <w:spacing w:after="20" w:line="240" w:lineRule="auto"/>
            </w:pPr>
            <w:r>
              <w:rPr>
                <w:rFonts w:ascii="Arial" w:hAnsi="Arial"/>
                <w:color w:val="172033"/>
                <w:sz w:val="15"/>
              </w:rPr>
              <w:t>1-14</w:t>
            </w:r>
          </w:p>
        </w:tc>
        <w:tc>
          <w:tcPr>
            <w:tcW w:type="dxa" w:w="4610"/>
            <w:shd w:fill="F6F7F9"/>
            <w:vAlign w:val="top"/>
            <w:tcMar>
              <w:top w:w="70" w:type="dxa"/>
              <w:start w:w="105" w:type="dxa"/>
              <w:bottom w:w="70" w:type="dxa"/>
              <w:end w:w="105" w:type="dxa"/>
            </w:tcMar>
          </w:tcPr>
          <w:p>
            <w:pPr>
              <w:spacing w:after="20" w:line="240" w:lineRule="auto"/>
            </w:pPr>
            <w:r>
              <w:rPr>
                <w:rFonts w:ascii="Arial" w:hAnsi="Arial"/>
                <w:color w:val="172033"/>
                <w:sz w:val="15"/>
              </w:rPr>
              <w:t>Low-bandwidth continuity, recovery and production SLO proof</w:t>
            </w:r>
          </w:p>
        </w:tc>
      </w:tr>
      <w:tr>
        <w:tc>
          <w:tcPr>
            <w:tcW w:type="dxa" w:w="700"/>
            <w:shd w:fill="FFFFFF"/>
            <w:vAlign w:val="top"/>
            <w:tcMar>
              <w:top w:w="70" w:type="dxa"/>
              <w:start w:w="105" w:type="dxa"/>
              <w:bottom w:w="70" w:type="dxa"/>
              <w:end w:w="105" w:type="dxa"/>
            </w:tcMar>
          </w:tcPr>
          <w:p>
            <w:pPr>
              <w:spacing w:after="20" w:line="240" w:lineRule="auto"/>
            </w:pPr>
            <w:r>
              <w:rPr>
                <w:rFonts w:ascii="Arial" w:hAnsi="Arial"/>
                <w:color w:val="172033"/>
                <w:sz w:val="15"/>
              </w:rPr>
              <w:t>16</w:t>
            </w:r>
          </w:p>
        </w:tc>
        <w:tc>
          <w:tcPr>
            <w:tcW w:type="dxa" w:w="2300"/>
            <w:shd w:fill="FFFFFF"/>
            <w:vAlign w:val="top"/>
            <w:tcMar>
              <w:top w:w="70" w:type="dxa"/>
              <w:start w:w="105" w:type="dxa"/>
              <w:bottom w:w="70" w:type="dxa"/>
              <w:end w:w="105" w:type="dxa"/>
            </w:tcMar>
          </w:tcPr>
          <w:p>
            <w:pPr>
              <w:spacing w:after="20" w:line="240" w:lineRule="auto"/>
            </w:pPr>
            <w:r>
              <w:rPr>
                <w:rFonts w:ascii="Arial" w:hAnsi="Arial"/>
                <w:color w:val="172033"/>
                <w:sz w:val="15"/>
              </w:rPr>
              <w:t>Thirty-module population and production release</w:t>
            </w:r>
          </w:p>
        </w:tc>
        <w:tc>
          <w:tcPr>
            <w:tcW w:type="dxa" w:w="1750"/>
            <w:shd w:fill="FFFFFF"/>
            <w:vAlign w:val="top"/>
            <w:tcMar>
              <w:top w:w="70" w:type="dxa"/>
              <w:start w:w="105" w:type="dxa"/>
              <w:bottom w:w="70" w:type="dxa"/>
              <w:end w:w="105" w:type="dxa"/>
            </w:tcMar>
          </w:tcPr>
          <w:p>
            <w:pPr>
              <w:spacing w:after="20" w:line="240" w:lineRule="auto"/>
            </w:pPr>
            <w:r>
              <w:rPr>
                <w:rFonts w:ascii="Arial" w:hAnsi="Arial"/>
                <w:color w:val="172033"/>
                <w:sz w:val="15"/>
              </w:rPr>
              <w:t>3-15</w:t>
            </w:r>
          </w:p>
        </w:tc>
        <w:tc>
          <w:tcPr>
            <w:tcW w:type="dxa" w:w="4610"/>
            <w:shd w:fill="FFFFFF"/>
            <w:vAlign w:val="top"/>
            <w:tcMar>
              <w:top w:w="70" w:type="dxa"/>
              <w:start w:w="105" w:type="dxa"/>
              <w:bottom w:w="70" w:type="dxa"/>
              <w:end w:w="105" w:type="dxa"/>
            </w:tcMar>
          </w:tcPr>
          <w:p>
            <w:pPr>
              <w:spacing w:after="20" w:line="240" w:lineRule="auto"/>
            </w:pPr>
            <w:r>
              <w:rPr>
                <w:rFonts w:ascii="Arial" w:hAnsi="Arial"/>
                <w:color w:val="172033"/>
                <w:sz w:val="15"/>
              </w:rPr>
              <w:t>Complete governed corpus, reference event and go-live</w:t>
            </w:r>
          </w:p>
        </w:tc>
      </w:tr>
    </w:tbl>
    <w:p>
      <w:r>
        <w:br w:type="page"/>
      </w:r>
    </w:p>
    <w:p>
      <w:pPr>
        <w:pStyle w:val="Heading1"/>
      </w:pPr>
      <w:r>
        <w:t>5. Dependency model and concurrency</w:t>
      </w:r>
    </w:p>
    <w:p>
      <w:pPr>
        <w:spacing w:after="100"/>
      </w:pPr>
      <w:r>
        <w:rPr>
          <w:rFonts w:ascii="Arial" w:hAnsi="Arial"/>
          <w:b w:val="0"/>
        </w:rPr>
        <w:t>The critical path is identity and scoping → people/enrolment → governed content → learning → assessment → certification → event readiness → production hardening. Work may proceed concurrently only after the dependency contract is stable and the shared gate remains intact.</w:t>
      </w:r>
    </w:p>
    <w:tbl>
      <w:tblPr>
        <w:tblStyle w:val="TableGrid"/>
        <w:tblW w:type="dxa" w:w="9360"/>
        <w:jc w:val="left"/>
        <w:tblLayout w:type="fixed"/>
        <w:tblLook w:firstColumn="1" w:firstRow="1" w:lastColumn="0" w:lastRow="0" w:noHBand="0" w:noVBand="1" w:val="04A0"/>
        <w:tblInd w:w="120" w:type="dxa"/>
      </w:tblPr>
      <w:tblGrid>
        <w:gridCol w:w="1900"/>
        <w:gridCol w:w="3700"/>
        <w:gridCol w:w="3760"/>
      </w:tblGrid>
      <w:tr>
        <w:tc>
          <w:tcPr>
            <w:tcW w:type="dxa" w:w="1900"/>
            <w:shd w:fill="10243E"/>
            <w:tcMar>
              <w:top w:w="70" w:type="dxa"/>
              <w:start w:w="105" w:type="dxa"/>
              <w:bottom w:w="70" w:type="dxa"/>
              <w:end w:w="105" w:type="dxa"/>
            </w:tcMar>
          </w:tcPr>
          <w:p>
            <w:r>
              <w:rPr>
                <w:rFonts w:ascii="Arial" w:hAnsi="Arial"/>
                <w:b/>
                <w:color w:val="FFFFFF"/>
                <w:sz w:val="17"/>
              </w:rPr>
              <w:t>Track</w:t>
            </w:r>
          </w:p>
        </w:tc>
        <w:tc>
          <w:tcPr>
            <w:tcW w:type="dxa" w:w="3700"/>
            <w:shd w:fill="10243E"/>
            <w:tcMar>
              <w:top w:w="70" w:type="dxa"/>
              <w:start w:w="105" w:type="dxa"/>
              <w:bottom w:w="70" w:type="dxa"/>
              <w:end w:w="105" w:type="dxa"/>
            </w:tcMar>
          </w:tcPr>
          <w:p>
            <w:r>
              <w:rPr>
                <w:rFonts w:ascii="Arial" w:hAnsi="Arial"/>
                <w:b/>
                <w:color w:val="FFFFFF"/>
                <w:sz w:val="17"/>
              </w:rPr>
              <w:t>May run in parallel</w:t>
            </w:r>
          </w:p>
        </w:tc>
        <w:tc>
          <w:tcPr>
            <w:tcW w:type="dxa" w:w="3760"/>
            <w:shd w:fill="10243E"/>
            <w:tcMar>
              <w:top w:w="70" w:type="dxa"/>
              <w:start w:w="105" w:type="dxa"/>
              <w:bottom w:w="70" w:type="dxa"/>
              <w:end w:w="105" w:type="dxa"/>
            </w:tcMar>
          </w:tcPr>
          <w:p>
            <w:r>
              <w:rPr>
                <w:rFonts w:ascii="Arial" w:hAnsi="Arial"/>
                <w:b/>
                <w:color w:val="FFFFFF"/>
                <w:sz w:val="17"/>
              </w:rPr>
              <w:t>Must wait for</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Platform</w:t>
            </w:r>
          </w:p>
        </w:tc>
        <w:tc>
          <w:tcPr>
            <w:tcW w:type="dxa" w:w="3700"/>
            <w:shd w:fill="FFFFFF"/>
            <w:vAlign w:val="top"/>
            <w:tcMar>
              <w:top w:w="70" w:type="dxa"/>
              <w:start w:w="105" w:type="dxa"/>
              <w:bottom w:w="70" w:type="dxa"/>
              <w:end w:w="105" w:type="dxa"/>
            </w:tcMar>
          </w:tcPr>
          <w:p>
            <w:pPr>
              <w:spacing w:after="20" w:line="240" w:lineRule="auto"/>
            </w:pPr>
            <w:r>
              <w:rPr>
                <w:rFonts w:ascii="Arial" w:hAnsi="Arial"/>
                <w:color w:val="172033"/>
                <w:sz w:val="16"/>
              </w:rPr>
              <w:t>Slice 1 foundations and test harness</w:t>
            </w:r>
          </w:p>
        </w:tc>
        <w:tc>
          <w:tcPr>
            <w:tcW w:type="dxa" w:w="3760"/>
            <w:shd w:fill="FFFFFF"/>
            <w:vAlign w:val="top"/>
            <w:tcMar>
              <w:top w:w="70" w:type="dxa"/>
              <w:start w:w="105" w:type="dxa"/>
              <w:bottom w:w="70" w:type="dxa"/>
              <w:end w:w="105" w:type="dxa"/>
            </w:tcMar>
          </w:tcPr>
          <w:p>
            <w:pPr>
              <w:spacing w:after="20" w:line="240" w:lineRule="auto"/>
            </w:pPr>
            <w:r>
              <w:rPr>
                <w:rFonts w:ascii="Arial" w:hAnsi="Arial"/>
                <w:color w:val="172033"/>
                <w:sz w:val="16"/>
              </w:rPr>
              <w:t>Gate 0</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Content factory</w:t>
            </w:r>
          </w:p>
        </w:tc>
        <w:tc>
          <w:tcPr>
            <w:tcW w:type="dxa" w:w="3700"/>
            <w:shd w:fill="F6F7F9"/>
            <w:vAlign w:val="top"/>
            <w:tcMar>
              <w:top w:w="70" w:type="dxa"/>
              <w:start w:w="105" w:type="dxa"/>
              <w:bottom w:w="70" w:type="dxa"/>
              <w:end w:w="105" w:type="dxa"/>
            </w:tcMar>
          </w:tcPr>
          <w:p>
            <w:pPr>
              <w:spacing w:after="20" w:line="240" w:lineRule="auto"/>
            </w:pPr>
            <w:r>
              <w:rPr>
                <w:rFonts w:ascii="Arial" w:hAnsi="Arial"/>
                <w:color w:val="172033"/>
                <w:sz w:val="16"/>
              </w:rPr>
              <w:t>Source decomposition, competency mapping and draft preparation</w:t>
            </w:r>
          </w:p>
        </w:tc>
        <w:tc>
          <w:tcPr>
            <w:tcW w:type="dxa" w:w="3760"/>
            <w:shd w:fill="F6F7F9"/>
            <w:vAlign w:val="top"/>
            <w:tcMar>
              <w:top w:w="70" w:type="dxa"/>
              <w:start w:w="105" w:type="dxa"/>
              <w:bottom w:w="70" w:type="dxa"/>
              <w:end w:w="105" w:type="dxa"/>
            </w:tcMar>
          </w:tcPr>
          <w:p>
            <w:pPr>
              <w:spacing w:after="20" w:line="240" w:lineRule="auto"/>
            </w:pPr>
            <w:r>
              <w:rPr>
                <w:rFonts w:ascii="Arial" w:hAnsi="Arial"/>
                <w:color w:val="172033"/>
                <w:sz w:val="16"/>
              </w:rPr>
              <w:t>Gate 0; publication waits for Slice 3</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Frontend system</w:t>
            </w:r>
          </w:p>
        </w:tc>
        <w:tc>
          <w:tcPr>
            <w:tcW w:type="dxa" w:w="3700"/>
            <w:shd w:fill="FFFFFF"/>
            <w:vAlign w:val="top"/>
            <w:tcMar>
              <w:top w:w="70" w:type="dxa"/>
              <w:start w:w="105" w:type="dxa"/>
              <w:bottom w:w="70" w:type="dxa"/>
              <w:end w:w="105" w:type="dxa"/>
            </w:tcMar>
          </w:tcPr>
          <w:p>
            <w:pPr>
              <w:spacing w:after="20" w:line="240" w:lineRule="auto"/>
            </w:pPr>
            <w:r>
              <w:rPr>
                <w:rFonts w:ascii="Arial" w:hAnsi="Arial"/>
                <w:color w:val="172033"/>
                <w:sz w:val="16"/>
              </w:rPr>
              <w:t>Tokens, components, responsive shells and accessibility harness</w:t>
            </w:r>
          </w:p>
        </w:tc>
        <w:tc>
          <w:tcPr>
            <w:tcW w:type="dxa" w:w="3760"/>
            <w:shd w:fill="FFFFFF"/>
            <w:vAlign w:val="top"/>
            <w:tcMar>
              <w:top w:w="70" w:type="dxa"/>
              <w:start w:w="105" w:type="dxa"/>
              <w:bottom w:w="70" w:type="dxa"/>
              <w:end w:w="105" w:type="dxa"/>
            </w:tcMar>
          </w:tcPr>
          <w:p>
            <w:pPr>
              <w:spacing w:after="20" w:line="240" w:lineRule="auto"/>
            </w:pPr>
            <w:r>
              <w:rPr>
                <w:rFonts w:ascii="Arial" w:hAnsi="Arial"/>
                <w:color w:val="172033"/>
                <w:sz w:val="16"/>
              </w:rPr>
              <w:t>Gate 0; privileged views wait for Slice 1 policy</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Curriculum</w:t>
            </w:r>
          </w:p>
        </w:tc>
        <w:tc>
          <w:tcPr>
            <w:tcW w:type="dxa" w:w="3700"/>
            <w:shd w:fill="F6F7F9"/>
            <w:vAlign w:val="top"/>
            <w:tcMar>
              <w:top w:w="70" w:type="dxa"/>
              <w:start w:w="105" w:type="dxa"/>
              <w:bottom w:w="70" w:type="dxa"/>
              <w:end w:w="105" w:type="dxa"/>
            </w:tcMar>
          </w:tcPr>
          <w:p>
            <w:pPr>
              <w:spacing w:after="20" w:line="240" w:lineRule="auto"/>
            </w:pPr>
            <w:r>
              <w:rPr>
                <w:rFonts w:ascii="Arial" w:hAnsi="Arial"/>
                <w:color w:val="172033"/>
                <w:sz w:val="16"/>
              </w:rPr>
              <w:t>Course/path design and lesson production</w:t>
            </w:r>
          </w:p>
        </w:tc>
        <w:tc>
          <w:tcPr>
            <w:tcW w:type="dxa" w:w="3760"/>
            <w:shd w:fill="F6F7F9"/>
            <w:vAlign w:val="top"/>
            <w:tcMar>
              <w:top w:w="70" w:type="dxa"/>
              <w:start w:w="105" w:type="dxa"/>
              <w:bottom w:w="70" w:type="dxa"/>
              <w:end w:w="105" w:type="dxa"/>
            </w:tcMar>
          </w:tcPr>
          <w:p>
            <w:pPr>
              <w:spacing w:after="20" w:line="240" w:lineRule="auto"/>
            </w:pPr>
            <w:r>
              <w:rPr>
                <w:rFonts w:ascii="Arial" w:hAnsi="Arial"/>
                <w:color w:val="172033"/>
                <w:sz w:val="16"/>
              </w:rPr>
              <w:t>Knowledge IDs and role/competency contracts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Assessment</w:t>
            </w:r>
          </w:p>
        </w:tc>
        <w:tc>
          <w:tcPr>
            <w:tcW w:type="dxa" w:w="3700"/>
            <w:shd w:fill="FFFFFF"/>
            <w:vAlign w:val="top"/>
            <w:tcMar>
              <w:top w:w="70" w:type="dxa"/>
              <w:start w:w="105" w:type="dxa"/>
              <w:bottom w:w="70" w:type="dxa"/>
              <w:end w:w="105" w:type="dxa"/>
            </w:tcMar>
          </w:tcPr>
          <w:p>
            <w:pPr>
              <w:spacing w:after="20" w:line="240" w:lineRule="auto"/>
            </w:pPr>
            <w:r>
              <w:rPr>
                <w:rFonts w:ascii="Arial" w:hAnsi="Arial"/>
                <w:color w:val="172033"/>
                <w:sz w:val="16"/>
              </w:rPr>
              <w:t>Draft items/rubrics in protected working process</w:t>
            </w:r>
          </w:p>
        </w:tc>
        <w:tc>
          <w:tcPr>
            <w:tcW w:type="dxa" w:w="3760"/>
            <w:shd w:fill="FFFFFF"/>
            <w:vAlign w:val="top"/>
            <w:tcMar>
              <w:top w:w="70" w:type="dxa"/>
              <w:start w:w="105" w:type="dxa"/>
              <w:bottom w:w="70" w:type="dxa"/>
              <w:end w:w="105" w:type="dxa"/>
            </w:tcMar>
          </w:tcPr>
          <w:p>
            <w:pPr>
              <w:spacing w:after="20" w:line="240" w:lineRule="auto"/>
            </w:pPr>
            <w:r>
              <w:rPr>
                <w:rFonts w:ascii="Arial" w:hAnsi="Arial"/>
                <w:color w:val="172033"/>
                <w:sz w:val="16"/>
              </w:rPr>
              <w:t>Approved knowledge model; system publication waits for Slice 5</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OS integration</w:t>
            </w:r>
          </w:p>
        </w:tc>
        <w:tc>
          <w:tcPr>
            <w:tcW w:type="dxa" w:w="3700"/>
            <w:shd w:fill="F6F7F9"/>
            <w:vAlign w:val="top"/>
            <w:tcMar>
              <w:top w:w="70" w:type="dxa"/>
              <w:start w:w="105" w:type="dxa"/>
              <w:bottom w:w="70" w:type="dxa"/>
              <w:end w:w="105" w:type="dxa"/>
            </w:tcMar>
          </w:tcPr>
          <w:p>
            <w:pPr>
              <w:spacing w:after="20" w:line="240" w:lineRule="auto"/>
            </w:pPr>
            <w:r>
              <w:rPr>
                <w:rFonts w:ascii="Arial" w:hAnsi="Arial"/>
                <w:color w:val="172033"/>
                <w:sz w:val="16"/>
              </w:rPr>
              <w:t>Consumer/provider sandbox and contract fixtures</w:t>
            </w:r>
          </w:p>
        </w:tc>
        <w:tc>
          <w:tcPr>
            <w:tcW w:type="dxa" w:w="3760"/>
            <w:shd w:fill="F6F7F9"/>
            <w:vAlign w:val="top"/>
            <w:tcMar>
              <w:top w:w="70" w:type="dxa"/>
              <w:start w:w="105" w:type="dxa"/>
              <w:bottom w:w="70" w:type="dxa"/>
              <w:end w:w="105" w:type="dxa"/>
            </w:tcMar>
          </w:tcPr>
          <w:p>
            <w:pPr>
              <w:spacing w:after="20" w:line="240" w:lineRule="auto"/>
            </w:pPr>
            <w:r>
              <w:rPr>
                <w:rFonts w:ascii="Arial" w:hAnsi="Arial"/>
                <w:color w:val="172033"/>
                <w:sz w:val="16"/>
              </w:rPr>
              <w:t>Gate 0; event package ingest waits for Slices 3-4</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Operations</w:t>
            </w:r>
          </w:p>
        </w:tc>
        <w:tc>
          <w:tcPr>
            <w:tcW w:type="dxa" w:w="3700"/>
            <w:shd w:fill="FFFFFF"/>
            <w:vAlign w:val="top"/>
            <w:tcMar>
              <w:top w:w="70" w:type="dxa"/>
              <w:start w:w="105" w:type="dxa"/>
              <w:bottom w:w="70" w:type="dxa"/>
              <w:end w:w="105" w:type="dxa"/>
            </w:tcMar>
          </w:tcPr>
          <w:p>
            <w:pPr>
              <w:spacing w:after="20" w:line="240" w:lineRule="auto"/>
            </w:pPr>
            <w:r>
              <w:rPr>
                <w:rFonts w:ascii="Arial" w:hAnsi="Arial"/>
                <w:color w:val="172033"/>
                <w:sz w:val="16"/>
              </w:rPr>
              <w:t>Threat modelling, observability plan, runbook templates</w:t>
            </w:r>
          </w:p>
        </w:tc>
        <w:tc>
          <w:tcPr>
            <w:tcW w:type="dxa" w:w="3760"/>
            <w:shd w:fill="FFFFFF"/>
            <w:vAlign w:val="top"/>
            <w:tcMar>
              <w:top w:w="70" w:type="dxa"/>
              <w:start w:w="105" w:type="dxa"/>
              <w:bottom w:w="70" w:type="dxa"/>
              <w:end w:w="105" w:type="dxa"/>
            </w:tcMar>
          </w:tcPr>
          <w:p>
            <w:pPr>
              <w:spacing w:after="20" w:line="240" w:lineRule="auto"/>
            </w:pPr>
            <w:r>
              <w:rPr>
                <w:rFonts w:ascii="Arial" w:hAnsi="Arial"/>
                <w:color w:val="172033"/>
                <w:sz w:val="16"/>
              </w:rPr>
              <w:t>Gate 0; final proof follows working capabilities</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CONCURRENCY RULE</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Parallel work may shorten elapsed time, but it may not invent duplicate identity, permission, state, version or event contracts. A shared contract change pauses affected branches until impact is reconciled.</w:t>
            </w:r>
          </w:p>
        </w:tc>
      </w:tr>
    </w:tbl>
    <w:p>
      <w:r>
        <w:br w:type="page"/>
      </w:r>
    </w:p>
    <w:p>
      <w:pPr>
        <w:pStyle w:val="Heading1"/>
      </w:pPr>
      <w:r>
        <w:t>6. Slice 1 - Secure platform shell</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USABLE OUTCOME</w:t>
            </w:r>
          </w:p>
        </w:tc>
      </w:tr>
      <w:tr>
        <w:tc>
          <w:tcPr>
            <w:tcW w:type="dxa" w:w="9360"/>
            <w:shd w:fill="EAF4EE"/>
            <w:vAlign w:val="top"/>
            <w:tcMar>
              <w:top w:w="70" w:type="dxa"/>
              <w:start w:w="105" w:type="dxa"/>
              <w:bottom w:w="70" w:type="dxa"/>
              <w:end w:w="105" w:type="dxa"/>
            </w:tcMar>
          </w:tcPr>
          <w:p>
            <w:pPr>
              <w:spacing w:after="20" w:line="240" w:lineRule="auto"/>
            </w:pPr>
            <w:r>
              <w:rPr>
                <w:rFonts w:ascii="Arial" w:hAnsi="Arial"/>
                <w:color w:val="172033"/>
                <w:sz w:val="18"/>
              </w:rPr>
              <w:t>An authenticated user enters the correct role workspace, sees the active organisation/context, and can perform only an authorised harmless action.</w:t>
            </w:r>
          </w:p>
        </w:tc>
      </w:tr>
    </w:tbl>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10243E"/>
            <w:tcMar>
              <w:top w:w="70" w:type="dxa"/>
              <w:start w:w="105" w:type="dxa"/>
              <w:bottom w:w="70" w:type="dxa"/>
              <w:end w:w="105" w:type="dxa"/>
            </w:tcMar>
          </w:tcPr>
          <w:p>
            <w:r>
              <w:rPr>
                <w:rFonts w:ascii="Arial" w:hAnsi="Arial"/>
                <w:b/>
                <w:color w:val="FFFFFF"/>
                <w:sz w:val="17"/>
              </w:rPr>
              <w:t>Dimension</w:t>
            </w:r>
          </w:p>
        </w:tc>
        <w:tc>
          <w:tcPr>
            <w:tcW w:type="dxa" w:w="7310"/>
            <w:shd w:fill="10243E"/>
            <w:tcMar>
              <w:top w:w="70" w:type="dxa"/>
              <w:start w:w="105" w:type="dxa"/>
              <w:bottom w:w="70" w:type="dxa"/>
              <w:end w:w="105" w:type="dxa"/>
            </w:tcMar>
          </w:tcPr>
          <w:p>
            <w:r>
              <w:rPr>
                <w:rFonts w:ascii="Arial" w:hAnsi="Arial"/>
                <w:b/>
                <w:color w:val="FFFFFF"/>
                <w:sz w:val="17"/>
              </w:rPr>
              <w:t>Required delivery</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Dependencies</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Gate 0.</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Frontend journeys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Responsive sign-in/recovery; role-aware home; organisation and active-role switcher; session/device view; denied, expired and unavailable states; keyboard/screen-reader route.</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Domain and data</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Person reference, Organisation, Membership, RoleAssignment, PermissionPolicy/version, Session, AuditEvent, feature flags and configuration registry. Shared stable IDs and time handling.</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Security / audit / operations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MFA for privileged personas; deny-by-default server policy; tenant isolation; rate limits; secret management; structured correlation; allow/deny audit; health/telemetry; deployment and rollback proof.</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Completion gate</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All reference personas receive exactly their authorised workspace; cross-tenant/object probes fail at API/data layer; session recovery works; every material decision reconstructs from audit.</w:t>
            </w:r>
          </w:p>
        </w:tc>
      </w:tr>
    </w:tbl>
    <w:p>
      <w:r>
        <w:br w:type="page"/>
      </w:r>
    </w:p>
    <w:p>
      <w:pPr>
        <w:pStyle w:val="Heading1"/>
      </w:pPr>
      <w:r>
        <w:t>7. Slice 2 - People, roles and enrolment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USABLE OUTCOME</w:t>
            </w:r>
          </w:p>
        </w:tc>
      </w:tr>
      <w:tr>
        <w:tc>
          <w:tcPr>
            <w:tcW w:type="dxa" w:w="9360"/>
            <w:shd w:fill="EAF4EE"/>
            <w:vAlign w:val="top"/>
            <w:tcMar>
              <w:top w:w="70" w:type="dxa"/>
              <w:start w:w="105" w:type="dxa"/>
              <w:bottom w:w="70" w:type="dxa"/>
              <w:end w:w="105" w:type="dxa"/>
            </w:tcMar>
          </w:tcPr>
          <w:p>
            <w:pPr>
              <w:spacing w:after="20" w:line="240" w:lineRule="auto"/>
            </w:pPr>
            <w:r>
              <w:rPr>
                <w:rFonts w:ascii="Arial" w:hAnsi="Arial"/>
                <w:color w:val="172033"/>
                <w:sz w:val="18"/>
              </w:rPr>
              <w:t>An authorised administrator enrols a person into an approved role learning path; the learner and manager see consistent assignments and status.</w:t>
            </w:r>
          </w:p>
        </w:tc>
      </w:tr>
    </w:tbl>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10243E"/>
            <w:tcMar>
              <w:top w:w="70" w:type="dxa"/>
              <w:start w:w="105" w:type="dxa"/>
              <w:bottom w:w="70" w:type="dxa"/>
              <w:end w:w="105" w:type="dxa"/>
            </w:tcMar>
          </w:tcPr>
          <w:p>
            <w:r>
              <w:rPr>
                <w:rFonts w:ascii="Arial" w:hAnsi="Arial"/>
                <w:b/>
                <w:color w:val="FFFFFF"/>
                <w:sz w:val="17"/>
              </w:rPr>
              <w:t>Dimension</w:t>
            </w:r>
          </w:p>
        </w:tc>
        <w:tc>
          <w:tcPr>
            <w:tcW w:type="dxa" w:w="7310"/>
            <w:shd w:fill="10243E"/>
            <w:tcMar>
              <w:top w:w="70" w:type="dxa"/>
              <w:start w:w="105" w:type="dxa"/>
              <w:bottom w:w="70" w:type="dxa"/>
              <w:end w:w="105" w:type="dxa"/>
            </w:tcMar>
          </w:tcPr>
          <w:p>
            <w:r>
              <w:rPr>
                <w:rFonts w:ascii="Arial" w:hAnsi="Arial"/>
                <w:b/>
                <w:color w:val="FFFFFF"/>
                <w:sz w:val="17"/>
              </w:rPr>
              <w:t>Required delivery</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Dependencies</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Slice 1.</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Frontend journeys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Admin people/role/enrolment wizard with preview; learner dashboard and assignment detail; manager team view; invitations; duplicates, inactive users, empty and bulk-error states.</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Domain and data</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AcademyProfile, organisational-role reference, RoleProfile, LearningPath, Enrolment, Assignment, prerequisite/dependency records and idempotent bulk receipt.</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Security / audit / operations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Relationship-scoped views; learner cannot self-promote; manager sees permitted team only; bulk change dual preview; personal-data minimisation; invitation and enrolment audit.</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Completion gate</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Reference enrolment, withdrawal, reinstatement and bulk partial-failure scenarios pass; backend and all three workspaces show the same state; no orphaned assignment exists.</w:t>
            </w:r>
          </w:p>
        </w:tc>
      </w:tr>
    </w:tbl>
    <w:p>
      <w:r>
        <w:br w:type="page"/>
      </w:r>
    </w:p>
    <w:p>
      <w:pPr>
        <w:pStyle w:val="Heading1"/>
      </w:pPr>
      <w:r>
        <w:t>8. Slice 3 - Knowledge and content governance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USABLE OUTCOME</w:t>
            </w:r>
          </w:p>
        </w:tc>
      </w:tr>
      <w:tr>
        <w:tc>
          <w:tcPr>
            <w:tcW w:type="dxa" w:w="9360"/>
            <w:shd w:fill="EAF4EE"/>
            <w:vAlign w:val="top"/>
            <w:tcMar>
              <w:top w:w="70" w:type="dxa"/>
              <w:start w:w="105" w:type="dxa"/>
              <w:bottom w:w="70" w:type="dxa"/>
              <w:end w:w="105" w:type="dxa"/>
            </w:tcMar>
          </w:tcPr>
          <w:p>
            <w:pPr>
              <w:spacing w:after="20" w:line="240" w:lineRule="auto"/>
            </w:pPr>
            <w:r>
              <w:rPr>
                <w:rFonts w:ascii="Arial" w:hAnsi="Arial"/>
                <w:color w:val="172033"/>
                <w:sz w:val="18"/>
              </w:rPr>
              <w:t>An author converts source doctrine into structured knowledge; independent reviewers approve an exact version; a publisher releases it without rewriting history.</w:t>
            </w:r>
          </w:p>
        </w:tc>
      </w:tr>
    </w:tbl>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10243E"/>
            <w:tcMar>
              <w:top w:w="70" w:type="dxa"/>
              <w:start w:w="105" w:type="dxa"/>
              <w:bottom w:w="70" w:type="dxa"/>
              <w:end w:w="105" w:type="dxa"/>
            </w:tcMar>
          </w:tcPr>
          <w:p>
            <w:r>
              <w:rPr>
                <w:rFonts w:ascii="Arial" w:hAnsi="Arial"/>
                <w:b/>
                <w:color w:val="FFFFFF"/>
                <w:sz w:val="17"/>
              </w:rPr>
              <w:t>Dimension</w:t>
            </w:r>
          </w:p>
        </w:tc>
        <w:tc>
          <w:tcPr>
            <w:tcW w:type="dxa" w:w="7310"/>
            <w:shd w:fill="10243E"/>
            <w:tcMar>
              <w:top w:w="70" w:type="dxa"/>
              <w:start w:w="105" w:type="dxa"/>
              <w:bottom w:w="70" w:type="dxa"/>
              <w:end w:w="105" w:type="dxa"/>
            </w:tcMar>
          </w:tcPr>
          <w:p>
            <w:r>
              <w:rPr>
                <w:rFonts w:ascii="Arial" w:hAnsi="Arial"/>
                <w:b/>
                <w:color w:val="FFFFFF"/>
                <w:sz w:val="17"/>
              </w:rPr>
              <w:t>Required delivery</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Dependencies</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Slice 1 and the source register from Gate 0.</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Frontend journeys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Author studio; source/competency/role mapping; exact-version diff; reviewer queues by lens; conflict declaration; approval bundle; publish schedule; version graph; auditor timeline.</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Domain and data</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KnowledgeItem, ContentObject, ContentVersion/hash, SourceReference, relationships, ReviewAssignment, ApprovalDecision, Publication, current pointer and impact placeholder.</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Security / audit / operations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Restricted drafts and keys; maker-checker; approval binds exact hash; immutable published version; atomic current pointer; search/count/export non-leakage; rollback and audit.</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Completion gate</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Editorial, material, critical and emergency-change reference cases pass. Self-approval fails, stale approval fails, rollback preserves history, and only Published versions can be assigned.</w:t>
            </w:r>
          </w:p>
        </w:tc>
      </w:tr>
    </w:tbl>
    <w:p>
      <w:r>
        <w:br w:type="page"/>
      </w:r>
    </w:p>
    <w:p>
      <w:pPr>
        <w:pStyle w:val="Heading1"/>
      </w:pPr>
      <w:r>
        <w:t>9. Slice 4 - Curriculum and learning delivery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USABLE OUTCOME</w:t>
            </w:r>
          </w:p>
        </w:tc>
      </w:tr>
      <w:tr>
        <w:tc>
          <w:tcPr>
            <w:tcW w:type="dxa" w:w="9360"/>
            <w:shd w:fill="EAF4EE"/>
            <w:vAlign w:val="top"/>
            <w:tcMar>
              <w:top w:w="70" w:type="dxa"/>
              <w:start w:w="105" w:type="dxa"/>
              <w:bottom w:w="70" w:type="dxa"/>
              <w:end w:w="105" w:type="dxa"/>
            </w:tcMar>
          </w:tcPr>
          <w:p>
            <w:pPr>
              <w:spacing w:after="20" w:line="240" w:lineRule="auto"/>
            </w:pPr>
            <w:r>
              <w:rPr>
                <w:rFonts w:ascii="Arial" w:hAnsi="Arial"/>
                <w:color w:val="172033"/>
                <w:sz w:val="18"/>
              </w:rPr>
              <w:t>A learner completes assigned, accessible learning on a 360px phone or low-bandwidth connection; progress is trustworthy and managers see safe status.</w:t>
            </w:r>
          </w:p>
        </w:tc>
      </w:tr>
    </w:tbl>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10243E"/>
            <w:tcMar>
              <w:top w:w="70" w:type="dxa"/>
              <w:start w:w="105" w:type="dxa"/>
              <w:bottom w:w="70" w:type="dxa"/>
              <w:end w:w="105" w:type="dxa"/>
            </w:tcMar>
          </w:tcPr>
          <w:p>
            <w:r>
              <w:rPr>
                <w:rFonts w:ascii="Arial" w:hAnsi="Arial"/>
                <w:b/>
                <w:color w:val="FFFFFF"/>
                <w:sz w:val="17"/>
              </w:rPr>
              <w:t>Dimension</w:t>
            </w:r>
          </w:p>
        </w:tc>
        <w:tc>
          <w:tcPr>
            <w:tcW w:type="dxa" w:w="7310"/>
            <w:shd w:fill="10243E"/>
            <w:tcMar>
              <w:top w:w="70" w:type="dxa"/>
              <w:start w:w="105" w:type="dxa"/>
              <w:bottom w:w="70" w:type="dxa"/>
              <w:end w:w="105" w:type="dxa"/>
            </w:tcMar>
          </w:tcPr>
          <w:p>
            <w:r>
              <w:rPr>
                <w:rFonts w:ascii="Arial" w:hAnsi="Arial"/>
                <w:b/>
                <w:color w:val="FFFFFF"/>
                <w:sz w:val="17"/>
              </w:rPr>
              <w:t>Required delivery</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Dependencies</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Slices 2 and 3.</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Frontend journeys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Catalogue and learning-path view; lesson reader/player; activity/check; resume; download/offline eligibility; acknowledgements; changed-version notice; manager progress and intervention view.</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Domain and data</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Programme, Course, Module, Lesson, Activity, LearningObjective, competency mappings, progress events, completion rule, acknowledgement and accessible alternatives.</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Security / audit / operations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Only published exact versions; no “video played = competence”; append-safe progress; offline version expiry; no sensitive event detail in notifications; analytics minimisation.</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Completion gate</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Reference learner completes, pauses, resumes, loses connection, uses keyboard/screen reader and receives a superseded lesson delta. Completion is reproducible and no false certificate/readiness appears.</w:t>
            </w:r>
          </w:p>
        </w:tc>
      </w:tr>
    </w:tbl>
    <w:p>
      <w:r>
        <w:br w:type="page"/>
      </w:r>
    </w:p>
    <w:p>
      <w:pPr>
        <w:pStyle w:val="Heading1"/>
      </w:pPr>
      <w:r>
        <w:t>10. Slice 5 - Assessment authoring and assembly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USABLE OUTCOME</w:t>
            </w:r>
          </w:p>
        </w:tc>
      </w:tr>
      <w:tr>
        <w:tc>
          <w:tcPr>
            <w:tcW w:type="dxa" w:w="9360"/>
            <w:shd w:fill="EAF4EE"/>
            <w:vAlign w:val="top"/>
            <w:tcMar>
              <w:top w:w="70" w:type="dxa"/>
              <w:start w:w="105" w:type="dxa"/>
              <w:bottom w:w="70" w:type="dxa"/>
              <w:end w:w="105" w:type="dxa"/>
            </w:tcMar>
          </w:tcPr>
          <w:p>
            <w:pPr>
              <w:spacing w:after="20" w:line="240" w:lineRule="auto"/>
            </w:pPr>
            <w:r>
              <w:rPr>
                <w:rFonts w:ascii="Arial" w:hAnsi="Arial"/>
                <w:color w:val="172033"/>
                <w:sz w:val="18"/>
              </w:rPr>
              <w:t>Qualified authors build difficult, source-traceable question banks and rubrics; independent approval produces immutable, defensible assessment forms.</w:t>
            </w:r>
          </w:p>
        </w:tc>
      </w:tr>
    </w:tbl>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10243E"/>
            <w:tcMar>
              <w:top w:w="70" w:type="dxa"/>
              <w:start w:w="105" w:type="dxa"/>
              <w:bottom w:w="70" w:type="dxa"/>
              <w:end w:w="105" w:type="dxa"/>
            </w:tcMar>
          </w:tcPr>
          <w:p>
            <w:r>
              <w:rPr>
                <w:rFonts w:ascii="Arial" w:hAnsi="Arial"/>
                <w:b/>
                <w:color w:val="FFFFFF"/>
                <w:sz w:val="17"/>
              </w:rPr>
              <w:t>Dimension</w:t>
            </w:r>
          </w:p>
        </w:tc>
        <w:tc>
          <w:tcPr>
            <w:tcW w:type="dxa" w:w="7310"/>
            <w:shd w:fill="10243E"/>
            <w:tcMar>
              <w:top w:w="70" w:type="dxa"/>
              <w:start w:w="105" w:type="dxa"/>
              <w:bottom w:w="70" w:type="dxa"/>
              <w:end w:w="105" w:type="dxa"/>
            </w:tcMar>
          </w:tcPr>
          <w:p>
            <w:r>
              <w:rPr>
                <w:rFonts w:ascii="Arial" w:hAnsi="Arial"/>
                <w:b/>
                <w:color w:val="FFFFFF"/>
                <w:sz w:val="17"/>
              </w:rPr>
              <w:t>Required delivery</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Dependencies</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Slice 3; competency and learning-objective contracts.</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Frontend journeys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Protected item editor; format-specific previews; blueprint coverage matrix; key/rationale/rubric workspace; reviewer calibration; exposure view; form assembly and approval; safe validation errors.</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Domain and data</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QuestionBank, Item/version, option/key, rationale, similarity/exposure group, AssessmentBlueprint, Rubric/version, Form snapshot, randomisation and criticality rules.</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Security / audit / operations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Restricted vault; item-level access; no broad keys; conflict rules; approval/hash binding; bulk export step-up/dual control; audit of view/preview/export; no live-attempt mutation.</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Completion gate</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All required formats and critical gates assemble deterministically; under-covered forms fail; self-approval and stale-hash actions fail; exact source/competency trace exists for every scored element.</w:t>
            </w:r>
          </w:p>
        </w:tc>
      </w:tr>
    </w:tbl>
    <w:p>
      <w:r>
        <w:br w:type="page"/>
      </w:r>
    </w:p>
    <w:p>
      <w:pPr>
        <w:pStyle w:val="Heading1"/>
      </w:pPr>
      <w:r>
        <w:t>11. Slice 6 - Secure assessment attempts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USABLE OUTCOME</w:t>
            </w:r>
          </w:p>
        </w:tc>
      </w:tr>
      <w:tr>
        <w:tc>
          <w:tcPr>
            <w:tcW w:type="dxa" w:w="9360"/>
            <w:shd w:fill="EAF4EE"/>
            <w:vAlign w:val="top"/>
            <w:tcMar>
              <w:top w:w="70" w:type="dxa"/>
              <w:start w:w="105" w:type="dxa"/>
              <w:bottom w:w="70" w:type="dxa"/>
              <w:end w:w="105" w:type="dxa"/>
            </w:tcMar>
          </w:tcPr>
          <w:p>
            <w:pPr>
              <w:spacing w:after="20" w:line="240" w:lineRule="auto"/>
            </w:pPr>
            <w:r>
              <w:rPr>
                <w:rFonts w:ascii="Arial" w:hAnsi="Arial"/>
                <w:color w:val="172033"/>
                <w:sz w:val="18"/>
              </w:rPr>
              <w:t>A learner starts, saves and submits a frozen assessment; the system marks reproducibly, applies 80/90 and critical-fail rules, and permits governed fresh retakes.</w:t>
            </w:r>
          </w:p>
        </w:tc>
      </w:tr>
    </w:tbl>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10243E"/>
            <w:tcMar>
              <w:top w:w="70" w:type="dxa"/>
              <w:start w:w="105" w:type="dxa"/>
              <w:bottom w:w="70" w:type="dxa"/>
              <w:end w:w="105" w:type="dxa"/>
            </w:tcMar>
          </w:tcPr>
          <w:p>
            <w:r>
              <w:rPr>
                <w:rFonts w:ascii="Arial" w:hAnsi="Arial"/>
                <w:b/>
                <w:color w:val="FFFFFF"/>
                <w:sz w:val="17"/>
              </w:rPr>
              <w:t>Dimension</w:t>
            </w:r>
          </w:p>
        </w:tc>
        <w:tc>
          <w:tcPr>
            <w:tcW w:type="dxa" w:w="7310"/>
            <w:shd w:fill="10243E"/>
            <w:tcMar>
              <w:top w:w="70" w:type="dxa"/>
              <w:start w:w="105" w:type="dxa"/>
              <w:bottom w:w="70" w:type="dxa"/>
              <w:end w:w="105" w:type="dxa"/>
            </w:tcMar>
          </w:tcPr>
          <w:p>
            <w:r>
              <w:rPr>
                <w:rFonts w:ascii="Arial" w:hAnsi="Arial"/>
                <w:b/>
                <w:color w:val="FFFFFF"/>
                <w:sz w:val="17"/>
              </w:rPr>
              <w:t>Required delivery</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Dependencies</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Slices 4 and 5.</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Frontend journeys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Preflight/accommodation/time notice; secure attempt player; autosave and reconnect; navigation/status; submit confirmation/receipt; result and feedback; remediation and retake readiness; manager safe outcome.</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Domain and data</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Attempt, frozen Form/Policy snapshot, AttemptItem, Response versions, Submission receipt, objective MarkingResult, Result, remediation and RetakePlan.</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Security / audit / operations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Trusted server time; idempotent submit; no answer leakage; append-only responses after submission; fresh forms/recent-item avoidance; manager receives no raw answers; anomaly and leakage alerts.</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Completion gate</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Pass 80-89, distinction 90-100, below-80 retake and critical-fail scenarios reproduce from snapshot. Refresh/retry never duplicates submission; no user can rewrite frozen evidence.</w:t>
            </w:r>
          </w:p>
        </w:tc>
      </w:tr>
    </w:tbl>
    <w:p>
      <w:r>
        <w:br w:type="page"/>
      </w:r>
    </w:p>
    <w:p>
      <w:pPr>
        <w:pStyle w:val="Heading1"/>
      </w:pPr>
      <w:r>
        <w:t>12. Slice 7 - Practical assessment, moderation and appeals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USABLE OUTCOME</w:t>
            </w:r>
          </w:p>
        </w:tc>
      </w:tr>
      <w:tr>
        <w:tc>
          <w:tcPr>
            <w:tcW w:type="dxa" w:w="9360"/>
            <w:shd w:fill="EAF4EE"/>
            <w:vAlign w:val="top"/>
            <w:tcMar>
              <w:top w:w="70" w:type="dxa"/>
              <w:start w:w="105" w:type="dxa"/>
              <w:bottom w:w="70" w:type="dxa"/>
              <w:end w:w="105" w:type="dxa"/>
            </w:tcMar>
          </w:tcPr>
          <w:p>
            <w:pPr>
              <w:spacing w:after="20" w:line="240" w:lineRule="auto"/>
            </w:pPr>
            <w:r>
              <w:rPr>
                <w:rFonts w:ascii="Arial" w:hAnsi="Arial"/>
                <w:color w:val="172033"/>
                <w:sz w:val="18"/>
              </w:rPr>
              <w:t>An assigned assessor records observed performance against an anchored rubric; independent moderation and appeal workflows produce a defensible result.</w:t>
            </w:r>
          </w:p>
        </w:tc>
      </w:tr>
    </w:tbl>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10243E"/>
            <w:tcMar>
              <w:top w:w="70" w:type="dxa"/>
              <w:start w:w="105" w:type="dxa"/>
              <w:bottom w:w="70" w:type="dxa"/>
              <w:end w:w="105" w:type="dxa"/>
            </w:tcMar>
          </w:tcPr>
          <w:p>
            <w:r>
              <w:rPr>
                <w:rFonts w:ascii="Arial" w:hAnsi="Arial"/>
                <w:b/>
                <w:color w:val="FFFFFF"/>
                <w:sz w:val="17"/>
              </w:rPr>
              <w:t>Dimension</w:t>
            </w:r>
          </w:p>
        </w:tc>
        <w:tc>
          <w:tcPr>
            <w:tcW w:type="dxa" w:w="7310"/>
            <w:shd w:fill="10243E"/>
            <w:tcMar>
              <w:top w:w="70" w:type="dxa"/>
              <w:start w:w="105" w:type="dxa"/>
              <w:bottom w:w="70" w:type="dxa"/>
              <w:end w:w="105" w:type="dxa"/>
            </w:tcMar>
          </w:tcPr>
          <w:p>
            <w:r>
              <w:rPr>
                <w:rFonts w:ascii="Arial" w:hAnsi="Arial"/>
                <w:b/>
                <w:color w:val="FFFFFF"/>
                <w:sz w:val="17"/>
              </w:rPr>
              <w:t>Required delivery</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Dependencies</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Slices 2, 5 and 6.</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Frontend journeys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Assessor case queue; conflict declaration; secure evidence capture/view; rubric scoring; save/submit; moderation comparison; learner result/appeal; reviewer decision; chain-of-custody timeline.</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Domain and data</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PracticalCase, assessor assignment, EvidenceAsset/version, observation, rubric score, assessor decision, moderation, AppealCase, decision and certificate dependency.</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Security / audit / operations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Assigned-case access only; malware-safe uploads; provenance; no self-assessment; reasoned overrides; immutable submission; evidence retention/hold; assessor activity and access audit.</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Completion gate</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Observed task, disagreement, reassignment, conflict, evidence failure, moderation and appeal cases pass; final decision traces to exact rubric/evidence and cannot be directly edited.</w:t>
            </w:r>
          </w:p>
        </w:tc>
      </w:tr>
    </w:tbl>
    <w:p>
      <w:r>
        <w:br w:type="page"/>
      </w:r>
    </w:p>
    <w:p>
      <w:pPr>
        <w:pStyle w:val="Heading1"/>
      </w:pPr>
      <w:r>
        <w:t>13. Slice 8 - Certification lifecycle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USABLE OUTCOME</w:t>
            </w:r>
          </w:p>
        </w:tc>
      </w:tr>
      <w:tr>
        <w:tc>
          <w:tcPr>
            <w:tcW w:type="dxa" w:w="9360"/>
            <w:shd w:fill="EAF4EE"/>
            <w:vAlign w:val="top"/>
            <w:tcMar>
              <w:top w:w="70" w:type="dxa"/>
              <w:start w:w="105" w:type="dxa"/>
              <w:bottom w:w="70" w:type="dxa"/>
              <w:end w:w="105" w:type="dxa"/>
            </w:tcMar>
          </w:tcPr>
          <w:p>
            <w:pPr>
              <w:spacing w:after="20" w:line="240" w:lineRule="auto"/>
            </w:pPr>
            <w:r>
              <w:rPr>
                <w:rFonts w:ascii="Arial" w:hAnsi="Arial"/>
                <w:color w:val="172033"/>
                <w:sz w:val="18"/>
              </w:rPr>
              <w:t>The certification authority issues only an eligible certificate, and authorised users can verify its current scope, distinction, dependencies and status.</w:t>
            </w:r>
          </w:p>
        </w:tc>
      </w:tr>
    </w:tbl>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10243E"/>
            <w:tcMar>
              <w:top w:w="70" w:type="dxa"/>
              <w:start w:w="105" w:type="dxa"/>
              <w:bottom w:w="70" w:type="dxa"/>
              <w:end w:w="105" w:type="dxa"/>
            </w:tcMar>
          </w:tcPr>
          <w:p>
            <w:r>
              <w:rPr>
                <w:rFonts w:ascii="Arial" w:hAnsi="Arial"/>
                <w:b/>
                <w:color w:val="FFFFFF"/>
                <w:sz w:val="17"/>
              </w:rPr>
              <w:t>Dimension</w:t>
            </w:r>
          </w:p>
        </w:tc>
        <w:tc>
          <w:tcPr>
            <w:tcW w:type="dxa" w:w="7310"/>
            <w:shd w:fill="10243E"/>
            <w:tcMar>
              <w:top w:w="70" w:type="dxa"/>
              <w:start w:w="105" w:type="dxa"/>
              <w:bottom w:w="70" w:type="dxa"/>
              <w:end w:w="105" w:type="dxa"/>
            </w:tcMar>
          </w:tcPr>
          <w:p>
            <w:r>
              <w:rPr>
                <w:rFonts w:ascii="Arial" w:hAnsi="Arial"/>
                <w:b/>
                <w:color w:val="FFFFFF"/>
                <w:sz w:val="17"/>
              </w:rPr>
              <w:t>Required delivery</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Dependencies</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Slices 6 and 7.</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Frontend journeys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Eligibility view; controlled issue queue; certificate wallet; verification page; renewal timeline; suspension/revocation/reinstatement case; manager coverage; learner reasons and next actions.</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Domain and data</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CertificationScheme/version, EligibilitySnapshot, Certificate, dependency evidence, verification token, lifecycle action, renewal requirement and status history.</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Security / audit / operations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No bypass of critical competence; maker-checker for reserved cases; immutable award; signed verification; safe public fields; expiry jobs; revocation propagation; no certificate from attendance.</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Completion gate</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Issue/pass/distinction/deny/expiry/renew/suspend/revoke/reinstate scenarios pass. Recalculation is deterministic; certificate history and current status remain unambiguous.</w:t>
            </w:r>
          </w:p>
        </w:tc>
      </w:tr>
    </w:tbl>
    <w:p>
      <w:r>
        <w:br w:type="page"/>
      </w:r>
    </w:p>
    <w:p>
      <w:pPr>
        <w:pStyle w:val="Heading1"/>
      </w:pPr>
      <w:r>
        <w:t>14. Slice 9 - Role-change gap analysis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USABLE OUTCOME</w:t>
            </w:r>
          </w:p>
        </w:tc>
      </w:tr>
      <w:tr>
        <w:tc>
          <w:tcPr>
            <w:tcW w:type="dxa" w:w="9360"/>
            <w:shd w:fill="EAF4EE"/>
            <w:vAlign w:val="top"/>
            <w:tcMar>
              <w:top w:w="70" w:type="dxa"/>
              <w:start w:w="105" w:type="dxa"/>
              <w:bottom w:w="70" w:type="dxa"/>
              <w:end w:w="105" w:type="dxa"/>
            </w:tcMar>
          </w:tcPr>
          <w:p>
            <w:pPr>
              <w:spacing w:after="20" w:line="240" w:lineRule="auto"/>
            </w:pPr>
            <w:r>
              <w:rPr>
                <w:rFonts w:ascii="Arial" w:hAnsi="Arial"/>
                <w:color w:val="172033"/>
                <w:sz w:val="18"/>
              </w:rPr>
              <w:t>A vertical or horizontal role change reuses genuinely equivalent current competence and assigns only missing or superseded requirements; the target role remains provisional meanwhile.</w:t>
            </w:r>
          </w:p>
        </w:tc>
      </w:tr>
    </w:tbl>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10243E"/>
            <w:tcMar>
              <w:top w:w="70" w:type="dxa"/>
              <w:start w:w="105" w:type="dxa"/>
              <w:bottom w:w="70" w:type="dxa"/>
              <w:end w:w="105" w:type="dxa"/>
            </w:tcMar>
          </w:tcPr>
          <w:p>
            <w:r>
              <w:rPr>
                <w:rFonts w:ascii="Arial" w:hAnsi="Arial"/>
                <w:b/>
                <w:color w:val="FFFFFF"/>
                <w:sz w:val="17"/>
              </w:rPr>
              <w:t>Dimension</w:t>
            </w:r>
          </w:p>
        </w:tc>
        <w:tc>
          <w:tcPr>
            <w:tcW w:type="dxa" w:w="7310"/>
            <w:shd w:fill="10243E"/>
            <w:tcMar>
              <w:top w:w="70" w:type="dxa"/>
              <w:start w:w="105" w:type="dxa"/>
              <w:bottom w:w="70" w:type="dxa"/>
              <w:end w:w="105" w:type="dxa"/>
            </w:tcMar>
          </w:tcPr>
          <w:p>
            <w:r>
              <w:rPr>
                <w:rFonts w:ascii="Arial" w:hAnsi="Arial"/>
                <w:b/>
                <w:color w:val="FFFFFF"/>
                <w:sz w:val="17"/>
              </w:rPr>
              <w:t>Required delivery</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Dependencies</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Slices 2, 4 and 8.</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Frontend journeys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Role-change preview; retained/equivalent/gap explanation; approval; learner delta plan; manager provisional-status view; exception and reassessment route.</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Domain and data</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TargetRoleChange, CompetencyEquivalence/version, GapAnalysis snapshot, retained EvidenceReference, DeltaPlan, generated enrolments and reconciliation receipt.</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Security / audit / operations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Source role authority only; no self-promotion; version/currentness checks; idempotent assignment; explainability without private assessment detail; audit of equivalence and exceptions.</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Completion gate</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Upward, lateral, mixed-validity and changed-standard scenarios pass. No duplicated learning, no unearned credit, and no target-role authorisation before every mandatory gap closes.</w:t>
            </w:r>
          </w:p>
        </w:tc>
      </w:tr>
    </w:tbl>
    <w:p>
      <w:r>
        <w:br w:type="page"/>
      </w:r>
    </w:p>
    <w:p>
      <w:pPr>
        <w:pStyle w:val="Heading1"/>
      </w:pPr>
      <w:r>
        <w:t>15. Slice 10 - Event Training Package integration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USABLE OUTCOME</w:t>
            </w:r>
          </w:p>
        </w:tc>
      </w:tr>
      <w:tr>
        <w:tc>
          <w:tcPr>
            <w:tcW w:type="dxa" w:w="9360"/>
            <w:shd w:fill="EAF4EE"/>
            <w:vAlign w:val="top"/>
            <w:tcMar>
              <w:top w:w="70" w:type="dxa"/>
              <w:start w:w="105" w:type="dxa"/>
              <w:bottom w:w="70" w:type="dxa"/>
              <w:end w:w="105" w:type="dxa"/>
            </w:tcMar>
          </w:tcPr>
          <w:p>
            <w:pPr>
              <w:spacing w:after="20" w:line="240" w:lineRule="auto"/>
            </w:pPr>
            <w:r>
              <w:rPr>
                <w:rFonts w:ascii="Arial" w:hAnsi="Arial"/>
                <w:color w:val="172033"/>
                <w:sz w:val="18"/>
              </w:rPr>
              <w:t>MD-EOS sends an approved minimum-data event package; Academy jointly reviews, publishes and assigns role-filtered event learning without becoming the event system of record.</w:t>
            </w:r>
          </w:p>
        </w:tc>
      </w:tr>
    </w:tbl>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10243E"/>
            <w:tcMar>
              <w:top w:w="70" w:type="dxa"/>
              <w:start w:w="105" w:type="dxa"/>
              <w:bottom w:w="70" w:type="dxa"/>
              <w:end w:w="105" w:type="dxa"/>
            </w:tcMar>
          </w:tcPr>
          <w:p>
            <w:r>
              <w:rPr>
                <w:rFonts w:ascii="Arial" w:hAnsi="Arial"/>
                <w:b/>
                <w:color w:val="FFFFFF"/>
                <w:sz w:val="17"/>
              </w:rPr>
              <w:t>Dimension</w:t>
            </w:r>
          </w:p>
        </w:tc>
        <w:tc>
          <w:tcPr>
            <w:tcW w:type="dxa" w:w="7310"/>
            <w:shd w:fill="10243E"/>
            <w:tcMar>
              <w:top w:w="70" w:type="dxa"/>
              <w:start w:w="105" w:type="dxa"/>
              <w:bottom w:w="70" w:type="dxa"/>
              <w:end w:w="105" w:type="dxa"/>
            </w:tcMar>
          </w:tcPr>
          <w:p>
            <w:r>
              <w:rPr>
                <w:rFonts w:ascii="Arial" w:hAnsi="Arial"/>
                <w:b/>
                <w:color w:val="FFFFFF"/>
                <w:sz w:val="17"/>
              </w:rPr>
              <w:t>Required delivery</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Dependencies</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Slices 3 and 4; signed OS sandbox contract and reference event.</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Frontend journeys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Integration operations view; package diff/materiality; joint review; role-filtered learner briefing; acknowledgement/assessment; expiry/stale view; reconciliation and row-level exception receipts.</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Domain and data</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ExternalIdentityMap, EventReference, AssignmentReference, EventTrainingPackage/version, package-role mapping, ingest receipt, event enrolment and acknowledgement.</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Security / audit / operations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Authenticated/signed, idempotent, correlated, replayable events; organisation_id/event_id/version validation; least event data; generic notifications; expiring offline cache; Event OS truth read-only.</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Completion gate</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Duplicate, reordered, stale, unknown, partial, corrected and closed-event messages pass. No guest list/biometric/credential data enters Academy; event facts never silently become doctrine.</w:t>
            </w:r>
          </w:p>
        </w:tc>
      </w:tr>
    </w:tbl>
    <w:p>
      <w:r>
        <w:br w:type="page"/>
      </w:r>
    </w:p>
    <w:p>
      <w:pPr>
        <w:pStyle w:val="Heading1"/>
      </w:pPr>
      <w:r>
        <w:t>16. Slice 11 - Event readiness and OS return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USABLE OUTCOME</w:t>
            </w:r>
          </w:p>
        </w:tc>
      </w:tr>
      <w:tr>
        <w:tc>
          <w:tcPr>
            <w:tcW w:type="dxa" w:w="9360"/>
            <w:shd w:fill="EAF4EE"/>
            <w:vAlign w:val="top"/>
            <w:tcMar>
              <w:top w:w="70" w:type="dxa"/>
              <w:start w:w="105" w:type="dxa"/>
              <w:bottom w:w="70" w:type="dxa"/>
              <w:end w:w="105" w:type="dxa"/>
            </w:tcMar>
          </w:tcPr>
          <w:p>
            <w:pPr>
              <w:spacing w:after="20" w:line="240" w:lineRule="auto"/>
            </w:pPr>
            <w:r>
              <w:rPr>
                <w:rFonts w:ascii="Arial" w:hAnsi="Arial"/>
                <w:color w:val="172033"/>
                <w:sz w:val="18"/>
              </w:rPr>
              <w:t>The Academy calculates event-scoped training readiness and returns a minimum, fresh status to MD-EOS; MD-EOS alone decides deployment authority.</w:t>
            </w:r>
          </w:p>
        </w:tc>
      </w:tr>
    </w:tbl>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10243E"/>
            <w:tcMar>
              <w:top w:w="70" w:type="dxa"/>
              <w:start w:w="105" w:type="dxa"/>
              <w:bottom w:w="70" w:type="dxa"/>
              <w:end w:w="105" w:type="dxa"/>
            </w:tcMar>
          </w:tcPr>
          <w:p>
            <w:r>
              <w:rPr>
                <w:rFonts w:ascii="Arial" w:hAnsi="Arial"/>
                <w:b/>
                <w:color w:val="FFFFFF"/>
                <w:sz w:val="17"/>
              </w:rPr>
              <w:t>Dimension</w:t>
            </w:r>
          </w:p>
        </w:tc>
        <w:tc>
          <w:tcPr>
            <w:tcW w:type="dxa" w:w="7310"/>
            <w:shd w:fill="10243E"/>
            <w:tcMar>
              <w:top w:w="70" w:type="dxa"/>
              <w:start w:w="105" w:type="dxa"/>
              <w:bottom w:w="70" w:type="dxa"/>
              <w:end w:w="105" w:type="dxa"/>
            </w:tcMar>
          </w:tcPr>
          <w:p>
            <w:r>
              <w:rPr>
                <w:rFonts w:ascii="Arial" w:hAnsi="Arial"/>
                <w:b/>
                <w:color w:val="FFFFFF"/>
                <w:sz w:val="17"/>
              </w:rPr>
              <w:t>Required delivery</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Dependencies</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Slices 8 and 10.</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Frontend journeys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Learner event-readiness card; manager/event-director roster with blockers and corrective actions; freshness/stale/conflict views; OS status/reconciliation console; explicit authority wording.</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Domain and data</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ReadinessRequirement/version, ReadinessEvaluation snapshot, blocker codes, effective/expiry, status event, receipt, delivery/retry and reconciliation state.</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Security / audit / operations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Deterministic rules; event/assignment/role/package scope; no raw answers/evidence/accommodation data; signed/idempotent outbound status; stale/unknown fails closed; full decision audit.</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Completion gate</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Ready, Not Ready, Conditional/Review, Stale and Revoked scenarios pass. OS receives only permitted fields and can reconstruct freshness; Academy UI never represents readiness as final deployment authority.</w:t>
            </w:r>
          </w:p>
        </w:tc>
      </w:tr>
    </w:tbl>
    <w:p>
      <w:r>
        <w:br w:type="page"/>
      </w:r>
    </w:p>
    <w:p>
      <w:pPr>
        <w:pStyle w:val="Heading1"/>
      </w:pPr>
      <w:r>
        <w:t>17. Slice 12 - Notifications, acknowledgements and intervention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USABLE OUTCOME</w:t>
            </w:r>
          </w:p>
        </w:tc>
      </w:tr>
      <w:tr>
        <w:tc>
          <w:tcPr>
            <w:tcW w:type="dxa" w:w="9360"/>
            <w:shd w:fill="EAF4EE"/>
            <w:vAlign w:val="top"/>
            <w:tcMar>
              <w:top w:w="70" w:type="dxa"/>
              <w:start w:w="105" w:type="dxa"/>
              <w:bottom w:w="70" w:type="dxa"/>
              <w:end w:w="105" w:type="dxa"/>
            </w:tcMar>
          </w:tcPr>
          <w:p>
            <w:pPr>
              <w:spacing w:after="20" w:line="240" w:lineRule="auto"/>
            </w:pPr>
            <w:r>
              <w:rPr>
                <w:rFonts w:ascii="Arial" w:hAnsi="Arial"/>
                <w:color w:val="172033"/>
                <w:sz w:val="18"/>
              </w:rPr>
              <w:t>Users receive timely, privacy-safe actions and escalations; managers can intervene without acquiring assessment keys or unnecessary personal data.</w:t>
            </w:r>
          </w:p>
        </w:tc>
      </w:tr>
    </w:tbl>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10243E"/>
            <w:tcMar>
              <w:top w:w="70" w:type="dxa"/>
              <w:start w:w="105" w:type="dxa"/>
              <w:bottom w:w="70" w:type="dxa"/>
              <w:end w:w="105" w:type="dxa"/>
            </w:tcMar>
          </w:tcPr>
          <w:p>
            <w:r>
              <w:rPr>
                <w:rFonts w:ascii="Arial" w:hAnsi="Arial"/>
                <w:b/>
                <w:color w:val="FFFFFF"/>
                <w:sz w:val="17"/>
              </w:rPr>
              <w:t>Dimension</w:t>
            </w:r>
          </w:p>
        </w:tc>
        <w:tc>
          <w:tcPr>
            <w:tcW w:type="dxa" w:w="7310"/>
            <w:shd w:fill="10243E"/>
            <w:tcMar>
              <w:top w:w="70" w:type="dxa"/>
              <w:start w:w="105" w:type="dxa"/>
              <w:bottom w:w="70" w:type="dxa"/>
              <w:end w:w="105" w:type="dxa"/>
            </w:tcMar>
          </w:tcPr>
          <w:p>
            <w:r>
              <w:rPr>
                <w:rFonts w:ascii="Arial" w:hAnsi="Arial"/>
                <w:b/>
                <w:color w:val="FFFFFF"/>
                <w:sz w:val="17"/>
              </w:rPr>
              <w:t>Required delivery</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Dependencies</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Slices 4, 6, 8 and 11.</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Frontend journeys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Notification centre; channel preferences; due/expiry/event reminders; persistent critical notice; acknowledge action; manager intervention queue; escalation and delivery-failure recovery.</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Domain and data</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NotificationTemplate/version, Communication, DeliveryAttempt, Preference, Acknowledgement, InterventionCase, escalation rule and suppression/deduplication keys.</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Security / audit / operations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Minimum information in external channels; secure deep links; purpose and consent/basis; quiet-time/local-time policy; no delivery=acknowledgement; retries and audit.</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Completion gate</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60/30/14/7-day certification reminders, overdue learning, critical change, event deadline and delivery-failure scenarios pass without duplication or sensitive leakage.</w:t>
            </w:r>
          </w:p>
        </w:tc>
      </w:tr>
    </w:tbl>
    <w:p>
      <w:r>
        <w:br w:type="page"/>
      </w:r>
    </w:p>
    <w:p>
      <w:pPr>
        <w:pStyle w:val="Heading1"/>
      </w:pPr>
      <w:r>
        <w:t>18. Slice 13 - Training intelligence and reporting</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USABLE OUTCOME</w:t>
            </w:r>
          </w:p>
        </w:tc>
      </w:tr>
      <w:tr>
        <w:tc>
          <w:tcPr>
            <w:tcW w:type="dxa" w:w="9360"/>
            <w:shd w:fill="EAF4EE"/>
            <w:vAlign w:val="top"/>
            <w:tcMar>
              <w:top w:w="70" w:type="dxa"/>
              <w:start w:w="105" w:type="dxa"/>
              <w:bottom w:w="70" w:type="dxa"/>
              <w:end w:w="105" w:type="dxa"/>
            </w:tcMar>
          </w:tcPr>
          <w:p>
            <w:pPr>
              <w:spacing w:after="20" w:line="240" w:lineRule="auto"/>
            </w:pPr>
            <w:r>
              <w:rPr>
                <w:rFonts w:ascii="Arial" w:hAnsi="Arial"/>
                <w:color w:val="172033"/>
                <w:sz w:val="18"/>
              </w:rPr>
              <w:t>CEO and authorised operators see current competence gaps, recurring failures, certification coverage and event staffing risk with traceable recommended actions.</w:t>
            </w:r>
          </w:p>
        </w:tc>
      </w:tr>
    </w:tbl>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10243E"/>
            <w:tcMar>
              <w:top w:w="70" w:type="dxa"/>
              <w:start w:w="105" w:type="dxa"/>
              <w:bottom w:w="70" w:type="dxa"/>
              <w:end w:w="105" w:type="dxa"/>
            </w:tcMar>
          </w:tcPr>
          <w:p>
            <w:r>
              <w:rPr>
                <w:rFonts w:ascii="Arial" w:hAnsi="Arial"/>
                <w:b/>
                <w:color w:val="FFFFFF"/>
                <w:sz w:val="17"/>
              </w:rPr>
              <w:t>Dimension</w:t>
            </w:r>
          </w:p>
        </w:tc>
        <w:tc>
          <w:tcPr>
            <w:tcW w:type="dxa" w:w="7310"/>
            <w:shd w:fill="10243E"/>
            <w:tcMar>
              <w:top w:w="70" w:type="dxa"/>
              <w:start w:w="105" w:type="dxa"/>
              <w:bottom w:w="70" w:type="dxa"/>
              <w:end w:w="105" w:type="dxa"/>
            </w:tcMar>
          </w:tcPr>
          <w:p>
            <w:r>
              <w:rPr>
                <w:rFonts w:ascii="Arial" w:hAnsi="Arial"/>
                <w:b/>
                <w:color w:val="FFFFFF"/>
                <w:sz w:val="17"/>
              </w:rPr>
              <w:t>Required delivery</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Dependencies</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Slices 6, 8, 11 and 12.</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Frontend journeys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Role dashboards for CEO, manager, assessor, curriculum and admin; drilldown; safe cohorts; alert inbox; recommendation rationale/action; export preview; freshness and data-quality states.</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Domain and data</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MetricDefinition/version, MetricSnapshot, Alert, Recommendation, evidence links, suppression, owner/due/action state, Report/Export and quality/freshness metadata.</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Security / audit / operations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Deterministic metrics; human authority; no hidden punitive rank; small-cohort suppression; purpose-bound drilldown; export approval/watermark; no raw response/key exposure; query audit.</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Completion gate</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Reference data reproduces all published metrics; stale/low-quality data is visible; alerts identify owner/due/affected event; CEO sees risk without unrestricted protected-data access.</w:t>
            </w:r>
          </w:p>
        </w:tc>
      </w:tr>
    </w:tbl>
    <w:p>
      <w:r>
        <w:br w:type="page"/>
      </w:r>
    </w:p>
    <w:p>
      <w:pPr>
        <w:pStyle w:val="Heading1"/>
      </w:pPr>
      <w:r>
        <w:t>19. Slice 14 - Privacy, retention and security operations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USABLE OUTCOME</w:t>
            </w:r>
          </w:p>
        </w:tc>
      </w:tr>
      <w:tr>
        <w:tc>
          <w:tcPr>
            <w:tcW w:type="dxa" w:w="9360"/>
            <w:shd w:fill="EAF4EE"/>
            <w:vAlign w:val="top"/>
            <w:tcMar>
              <w:top w:w="70" w:type="dxa"/>
              <w:start w:w="105" w:type="dxa"/>
              <w:bottom w:w="70" w:type="dxa"/>
              <w:end w:w="105" w:type="dxa"/>
            </w:tcMar>
          </w:tcPr>
          <w:p>
            <w:pPr>
              <w:spacing w:after="20" w:line="240" w:lineRule="auto"/>
            </w:pPr>
            <w:r>
              <w:rPr>
                <w:rFonts w:ascii="Arial" w:hAnsi="Arial"/>
                <w:color w:val="172033"/>
                <w:sz w:val="18"/>
              </w:rPr>
              <w:t>Authorised operators fulfil data rights, access reviews, holds, purge and incident workflows without destroying assessment or audit truth.</w:t>
            </w:r>
          </w:p>
        </w:tc>
      </w:tr>
    </w:tbl>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10243E"/>
            <w:tcMar>
              <w:top w:w="70" w:type="dxa"/>
              <w:start w:w="105" w:type="dxa"/>
              <w:bottom w:w="70" w:type="dxa"/>
              <w:end w:w="105" w:type="dxa"/>
            </w:tcMar>
          </w:tcPr>
          <w:p>
            <w:r>
              <w:rPr>
                <w:rFonts w:ascii="Arial" w:hAnsi="Arial"/>
                <w:b/>
                <w:color w:val="FFFFFF"/>
                <w:sz w:val="17"/>
              </w:rPr>
              <w:t>Dimension</w:t>
            </w:r>
          </w:p>
        </w:tc>
        <w:tc>
          <w:tcPr>
            <w:tcW w:type="dxa" w:w="7310"/>
            <w:shd w:fill="10243E"/>
            <w:tcMar>
              <w:top w:w="70" w:type="dxa"/>
              <w:start w:w="105" w:type="dxa"/>
              <w:bottom w:w="70" w:type="dxa"/>
              <w:end w:w="105" w:type="dxa"/>
            </w:tcMar>
          </w:tcPr>
          <w:p>
            <w:r>
              <w:rPr>
                <w:rFonts w:ascii="Arial" w:hAnsi="Arial"/>
                <w:b/>
                <w:color w:val="FFFFFF"/>
                <w:sz w:val="17"/>
              </w:rPr>
              <w:t>Required delivery</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Dependencies</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Slices 1-13; jurisdictionally ratified retention schedule before production activation.</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Frontend journeys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Privacy case workspace; subject search/redaction preview; correction/restriction; hold and purge preview/approval/receipt; privileged-access review; security incident and vendor-exit queues.</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Domain and data</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Purpose/basis/classification registry, RightsCase, Correction, Hold, RetentionRule, PurgeJob/item/receipt, AccessReview, IncidentCase and VendorProcessing records.</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Security / audit / operations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Dual control for bulk/restricted purge; immutable decision stubs; deletion propagation to cache/index/export/vendor/backup ledger; audited audit access; MFA/reauthentication; strict case scoping.</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Completion gate</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Rights, correction, hold/release, purge failure, anonymisation, restored-backup deletion, quarterly access review and reference incident tests pass. No proposed retention duration activates without ratification.</w:t>
            </w:r>
          </w:p>
        </w:tc>
      </w:tr>
    </w:tbl>
    <w:p>
      <w:r>
        <w:br w:type="page"/>
      </w:r>
    </w:p>
    <w:p>
      <w:pPr>
        <w:pStyle w:val="Heading1"/>
      </w:pPr>
      <w:r>
        <w:t>20. Slice 15 - Resilience, offline and operational hardening</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USABLE OUTCOME</w:t>
            </w:r>
          </w:p>
        </w:tc>
      </w:tr>
      <w:tr>
        <w:tc>
          <w:tcPr>
            <w:tcW w:type="dxa" w:w="9360"/>
            <w:shd w:fill="EAF4EE"/>
            <w:vAlign w:val="top"/>
            <w:tcMar>
              <w:top w:w="70" w:type="dxa"/>
              <w:start w:w="105" w:type="dxa"/>
              <w:bottom w:w="70" w:type="dxa"/>
              <w:end w:w="105" w:type="dxa"/>
            </w:tcMar>
          </w:tcPr>
          <w:p>
            <w:pPr>
              <w:spacing w:after="20" w:line="240" w:lineRule="auto"/>
            </w:pPr>
            <w:r>
              <w:rPr>
                <w:rFonts w:ascii="Arial" w:hAnsi="Arial"/>
                <w:color w:val="172033"/>
                <w:sz w:val="18"/>
              </w:rPr>
              <w:t>Critical Academy journeys remain safe and understandable on Lagos mobile networks and recover correctly from service, queue, integration and deployment failures.</w:t>
            </w:r>
          </w:p>
        </w:tc>
      </w:tr>
    </w:tbl>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10243E"/>
            <w:tcMar>
              <w:top w:w="70" w:type="dxa"/>
              <w:start w:w="105" w:type="dxa"/>
              <w:bottom w:w="70" w:type="dxa"/>
              <w:end w:w="105" w:type="dxa"/>
            </w:tcMar>
          </w:tcPr>
          <w:p>
            <w:r>
              <w:rPr>
                <w:rFonts w:ascii="Arial" w:hAnsi="Arial"/>
                <w:b/>
                <w:color w:val="FFFFFF"/>
                <w:sz w:val="17"/>
              </w:rPr>
              <w:t>Dimension</w:t>
            </w:r>
          </w:p>
        </w:tc>
        <w:tc>
          <w:tcPr>
            <w:tcW w:type="dxa" w:w="7310"/>
            <w:shd w:fill="10243E"/>
            <w:tcMar>
              <w:top w:w="70" w:type="dxa"/>
              <w:start w:w="105" w:type="dxa"/>
              <w:bottom w:w="70" w:type="dxa"/>
              <w:end w:w="105" w:type="dxa"/>
            </w:tcMar>
          </w:tcPr>
          <w:p>
            <w:r>
              <w:rPr>
                <w:rFonts w:ascii="Arial" w:hAnsi="Arial"/>
                <w:b/>
                <w:color w:val="FFFFFF"/>
                <w:sz w:val="17"/>
              </w:rPr>
              <w:t>Required delivery</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Dependencies</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Slices 1-14.</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Frontend journeys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360px full-role regression; offline/poor-network learner and event briefing; conflict/retry; maintenance and recovery states; accessibility fixes; performance-budget evidence; operator status pages.</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Domain and data</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Cache/version/expiry policy, synchronisation queue, outbox/inbox, reconciliation checkpoints, backup/deletion ledger, operational SLO/error-budget records and release metadata.</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Security / audit / operations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Encrypted expiring offline data; no keys/raw responses offline unless specifically designed; chaos/recovery tests; RPO/RTO; rollback; monitoring failure alerts; tenant/event isolation under stress.</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Completion gate</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WCAG 2.2 AA, target-browser/device, load, degraded network, backup/restore, failover, rollback, queue replay and OS outage scenarios pass with no duplicate or false readiness/certification.</w:t>
            </w:r>
          </w:p>
        </w:tc>
      </w:tr>
    </w:tbl>
    <w:p>
      <w:r>
        <w:br w:type="page"/>
      </w:r>
    </w:p>
    <w:p>
      <w:pPr>
        <w:pStyle w:val="Heading1"/>
      </w:pPr>
      <w:r>
        <w:t>21. Slice 16 - Thirty-module population and production release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USABLE OUTCOME</w:t>
            </w:r>
          </w:p>
        </w:tc>
      </w:tr>
      <w:tr>
        <w:tc>
          <w:tcPr>
            <w:tcW w:type="dxa" w:w="9360"/>
            <w:shd w:fill="EAF4EE"/>
            <w:vAlign w:val="top"/>
            <w:tcMar>
              <w:top w:w="70" w:type="dxa"/>
              <w:start w:w="105" w:type="dxa"/>
              <w:bottom w:w="70" w:type="dxa"/>
              <w:end w:w="105" w:type="dxa"/>
            </w:tcMar>
          </w:tcPr>
          <w:p>
            <w:pPr>
              <w:spacing w:after="20" w:line="240" w:lineRule="auto"/>
            </w:pPr>
            <w:r>
              <w:rPr>
                <w:rFonts w:ascii="Arial" w:hAnsi="Arial"/>
                <w:color w:val="172033"/>
                <w:sz w:val="18"/>
              </w:rPr>
              <w:t>All 30 approved modules, role paths, difficult assessments and certification dependencies operate through the production workflow; the reference event proves end-to-end readiness.</w:t>
            </w:r>
          </w:p>
        </w:tc>
      </w:tr>
    </w:tbl>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10243E"/>
            <w:tcMar>
              <w:top w:w="70" w:type="dxa"/>
              <w:start w:w="105" w:type="dxa"/>
              <w:bottom w:w="70" w:type="dxa"/>
              <w:end w:w="105" w:type="dxa"/>
            </w:tcMar>
          </w:tcPr>
          <w:p>
            <w:r>
              <w:rPr>
                <w:rFonts w:ascii="Arial" w:hAnsi="Arial"/>
                <w:b/>
                <w:color w:val="FFFFFF"/>
                <w:sz w:val="17"/>
              </w:rPr>
              <w:t>Dimension</w:t>
            </w:r>
          </w:p>
        </w:tc>
        <w:tc>
          <w:tcPr>
            <w:tcW w:type="dxa" w:w="7310"/>
            <w:shd w:fill="10243E"/>
            <w:tcMar>
              <w:top w:w="70" w:type="dxa"/>
              <w:start w:w="105" w:type="dxa"/>
              <w:bottom w:w="70" w:type="dxa"/>
              <w:end w:w="105" w:type="dxa"/>
            </w:tcMar>
          </w:tcPr>
          <w:p>
            <w:r>
              <w:rPr>
                <w:rFonts w:ascii="Arial" w:hAnsi="Arial"/>
                <w:b/>
                <w:color w:val="FFFFFF"/>
                <w:sz w:val="17"/>
              </w:rPr>
              <w:t>Required delivery</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Dependencies</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Slices 3-15. Content drafting may run earlier, but publication and use must pass production governance.</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Frontend journeys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Complete learner paths by role; CEO full path; author/reviewer completion views; content coverage dashboard; production support/help; reference-event rehearsal; launch and post-launch review views.</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Domain and data</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All Knowledge Items, courses, lessons, activities, banks, rubrics, schemes, equivalences, local overlays, event package fixtures and traceability links loaded by governed migration.</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Security / audit / operations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No direct database content load; exact provenance and approvals; source review dates; restricted assessment handling; data-quality reconciliation; signed migration; production release approval and rollback plan.</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Completion gate</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100% mandatory source-to-knowledge-to-learning-to-assessment traceability; all role paths and critical competencies covered; independent acceptance pack passes; reference event and failure drills pass; CEO signs production release.</w:t>
            </w:r>
          </w:p>
        </w:tc>
      </w:tr>
    </w:tbl>
    <w:p>
      <w:r>
        <w:br w:type="page"/>
      </w:r>
    </w:p>
    <w:p>
      <w:pPr>
        <w:pStyle w:val="Heading1"/>
      </w:pPr>
      <w:r>
        <w:t>22. Cross-slice frontend completion standard</w:t>
      </w:r>
    </w:p>
    <w:tbl>
      <w:tblPr>
        <w:tblStyle w:val="TableGrid"/>
        <w:tblW w:type="dxa" w:w="9360"/>
        <w:jc w:val="left"/>
        <w:tblLayout w:type="fixed"/>
        <w:tblLook w:firstColumn="1" w:firstRow="1" w:lastColumn="0" w:lastRow="0" w:noHBand="0" w:noVBand="1" w:val="04A0"/>
        <w:tblInd w:w="120" w:type="dxa"/>
      </w:tblPr>
      <w:tblGrid>
        <w:gridCol w:w="1950"/>
        <w:gridCol w:w="7410"/>
      </w:tblGrid>
      <w:tr>
        <w:tc>
          <w:tcPr>
            <w:tcW w:type="dxa" w:w="1950"/>
            <w:shd w:fill="10243E"/>
            <w:tcMar>
              <w:top w:w="70" w:type="dxa"/>
              <w:start w:w="105" w:type="dxa"/>
              <w:bottom w:w="70" w:type="dxa"/>
              <w:end w:w="105" w:type="dxa"/>
            </w:tcMar>
          </w:tcPr>
          <w:p>
            <w:r>
              <w:rPr>
                <w:rFonts w:ascii="Arial" w:hAnsi="Arial"/>
                <w:b/>
                <w:color w:val="FFFFFF"/>
                <w:sz w:val="17"/>
              </w:rPr>
              <w:t>Area</w:t>
            </w:r>
          </w:p>
        </w:tc>
        <w:tc>
          <w:tcPr>
            <w:tcW w:type="dxa" w:w="7410"/>
            <w:shd w:fill="10243E"/>
            <w:tcMar>
              <w:top w:w="70" w:type="dxa"/>
              <w:start w:w="105" w:type="dxa"/>
              <w:bottom w:w="70" w:type="dxa"/>
              <w:end w:w="105" w:type="dxa"/>
            </w:tcMar>
          </w:tcPr>
          <w:p>
            <w:r>
              <w:rPr>
                <w:rFonts w:ascii="Arial" w:hAnsi="Arial"/>
                <w:b/>
                <w:color w:val="FFFFFF"/>
                <w:sz w:val="17"/>
              </w:rPr>
              <w:t>Non-negotiable evidence</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Journey completeness</w:t>
            </w:r>
          </w:p>
        </w:tc>
        <w:tc>
          <w:tcPr>
            <w:tcW w:type="dxa" w:w="7410"/>
            <w:shd w:fill="FFFFFF"/>
            <w:vAlign w:val="top"/>
            <w:tcMar>
              <w:top w:w="70" w:type="dxa"/>
              <w:start w:w="105" w:type="dxa"/>
              <w:bottom w:w="70" w:type="dxa"/>
              <w:end w:w="105" w:type="dxa"/>
            </w:tcMar>
          </w:tcPr>
          <w:p>
            <w:pPr>
              <w:spacing w:after="20" w:line="240" w:lineRule="auto"/>
            </w:pPr>
            <w:r>
              <w:rPr>
                <w:rFonts w:ascii="Arial" w:hAnsi="Arial"/>
                <w:color w:val="172033"/>
                <w:sz w:val="16"/>
              </w:rPr>
              <w:t>Entry, orientation, action, confirmation, recovery and next step for every authorised persona.</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Responsive design</w:t>
            </w:r>
          </w:p>
        </w:tc>
        <w:tc>
          <w:tcPr>
            <w:tcW w:type="dxa" w:w="7410"/>
            <w:shd w:fill="F6F7F9"/>
            <w:vAlign w:val="top"/>
            <w:tcMar>
              <w:top w:w="70" w:type="dxa"/>
              <w:start w:w="105" w:type="dxa"/>
              <w:bottom w:w="70" w:type="dxa"/>
              <w:end w:w="105" w:type="dxa"/>
            </w:tcMar>
          </w:tcPr>
          <w:p>
            <w:pPr>
              <w:spacing w:after="20" w:line="240" w:lineRule="auto"/>
            </w:pPr>
            <w:r>
              <w:rPr>
                <w:rFonts w:ascii="Arial" w:hAnsi="Arial"/>
                <w:color w:val="172033"/>
                <w:sz w:val="16"/>
              </w:rPr>
              <w:t>Primary journeys proven at 360px, tablet and desktop; dense authoring may be desktop-optimised but urgent decisions remain safely mobile.</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State coverage</w:t>
            </w:r>
          </w:p>
        </w:tc>
        <w:tc>
          <w:tcPr>
            <w:tcW w:type="dxa" w:w="7410"/>
            <w:shd w:fill="FFFFFF"/>
            <w:vAlign w:val="top"/>
            <w:tcMar>
              <w:top w:w="70" w:type="dxa"/>
              <w:start w:w="105" w:type="dxa"/>
              <w:bottom w:w="70" w:type="dxa"/>
              <w:end w:w="105" w:type="dxa"/>
            </w:tcMar>
          </w:tcPr>
          <w:p>
            <w:pPr>
              <w:spacing w:after="20" w:line="240" w:lineRule="auto"/>
            </w:pPr>
            <w:r>
              <w:rPr>
                <w:rFonts w:ascii="Arial" w:hAnsi="Arial"/>
                <w:color w:val="172033"/>
                <w:sz w:val="16"/>
              </w:rPr>
              <w:t>Loading, empty, partial, validation, offline, stale, conflict, denied, expired, error, retry and success states use plain language.</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Authority clarity</w:t>
            </w:r>
          </w:p>
        </w:tc>
        <w:tc>
          <w:tcPr>
            <w:tcW w:type="dxa" w:w="7410"/>
            <w:shd w:fill="F6F7F9"/>
            <w:vAlign w:val="top"/>
            <w:tcMar>
              <w:top w:w="70" w:type="dxa"/>
              <w:start w:w="105" w:type="dxa"/>
              <w:bottom w:w="70" w:type="dxa"/>
              <w:end w:w="105" w:type="dxa"/>
            </w:tcMar>
          </w:tcPr>
          <w:p>
            <w:pPr>
              <w:spacing w:after="20" w:line="240" w:lineRule="auto"/>
            </w:pPr>
            <w:r>
              <w:rPr>
                <w:rFonts w:ascii="Arial" w:hAnsi="Arial"/>
                <w:color w:val="172033"/>
                <w:sz w:val="16"/>
              </w:rPr>
              <w:t>Active role/organisation/event is visible; recommendation, approval, certification, readiness and Event OS authority are never conflated.</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Accessibility</w:t>
            </w:r>
          </w:p>
        </w:tc>
        <w:tc>
          <w:tcPr>
            <w:tcW w:type="dxa" w:w="7410"/>
            <w:shd w:fill="FFFFFF"/>
            <w:vAlign w:val="top"/>
            <w:tcMar>
              <w:top w:w="70" w:type="dxa"/>
              <w:start w:w="105" w:type="dxa"/>
              <w:bottom w:w="70" w:type="dxa"/>
              <w:end w:w="105" w:type="dxa"/>
            </w:tcMar>
          </w:tcPr>
          <w:p>
            <w:pPr>
              <w:spacing w:after="20" w:line="240" w:lineRule="auto"/>
            </w:pPr>
            <w:r>
              <w:rPr>
                <w:rFonts w:ascii="Arial" w:hAnsi="Arial"/>
                <w:color w:val="172033"/>
                <w:sz w:val="16"/>
              </w:rPr>
              <w:t>WCAG 2.2 AA automated and manual checks; keyboard, focus, screen reader, contrast, zoom, motion and accessible media alternatives.</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Low bandwidth</w:t>
            </w:r>
          </w:p>
        </w:tc>
        <w:tc>
          <w:tcPr>
            <w:tcW w:type="dxa" w:w="7410"/>
            <w:shd w:fill="F6F7F9"/>
            <w:vAlign w:val="top"/>
            <w:tcMar>
              <w:top w:w="70" w:type="dxa"/>
              <w:start w:w="105" w:type="dxa"/>
              <w:bottom w:w="70" w:type="dxa"/>
              <w:end w:w="105" w:type="dxa"/>
            </w:tcMar>
          </w:tcPr>
          <w:p>
            <w:pPr>
              <w:spacing w:after="20" w:line="240" w:lineRule="auto"/>
            </w:pPr>
            <w:r>
              <w:rPr>
                <w:rFonts w:ascii="Arial" w:hAnsi="Arial"/>
                <w:color w:val="172033"/>
                <w:sz w:val="16"/>
              </w:rPr>
              <w:t>Progressive content, resumable actions, safe idempotent retries, data-saving media choices and explicit offline expiry.</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Privacy</w:t>
            </w:r>
          </w:p>
        </w:tc>
        <w:tc>
          <w:tcPr>
            <w:tcW w:type="dxa" w:w="7410"/>
            <w:shd w:fill="FFFFFF"/>
            <w:vAlign w:val="top"/>
            <w:tcMar>
              <w:top w:w="70" w:type="dxa"/>
              <w:start w:w="105" w:type="dxa"/>
              <w:bottom w:w="70" w:type="dxa"/>
              <w:end w:w="105" w:type="dxa"/>
            </w:tcMar>
          </w:tcPr>
          <w:p>
            <w:pPr>
              <w:spacing w:after="20" w:line="240" w:lineRule="auto"/>
            </w:pPr>
            <w:r>
              <w:rPr>
                <w:rFonts w:ascii="Arial" w:hAnsi="Arial"/>
                <w:color w:val="172033"/>
                <w:sz w:val="16"/>
              </w:rPr>
              <w:t>No restricted detail in URLs, notifications, browser history, analytics, autocomplete or unauthorised counts/search.</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Consistency</w:t>
            </w:r>
          </w:p>
        </w:tc>
        <w:tc>
          <w:tcPr>
            <w:tcW w:type="dxa" w:w="7410"/>
            <w:shd w:fill="F6F7F9"/>
            <w:vAlign w:val="top"/>
            <w:tcMar>
              <w:top w:w="70" w:type="dxa"/>
              <w:start w:w="105" w:type="dxa"/>
              <w:bottom w:w="70" w:type="dxa"/>
              <w:end w:w="105" w:type="dxa"/>
            </w:tcMar>
          </w:tcPr>
          <w:p>
            <w:pPr>
              <w:spacing w:after="20" w:line="240" w:lineRule="auto"/>
            </w:pPr>
            <w:r>
              <w:rPr>
                <w:rFonts w:ascii="Arial" w:hAnsi="Arial"/>
                <w:color w:val="172033"/>
                <w:sz w:val="16"/>
              </w:rPr>
              <w:t>Shared design tokens and components; consistent status vocabulary, dates/times, forms, tables, alerts and confirmation patterns.</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Performance</w:t>
            </w:r>
          </w:p>
        </w:tc>
        <w:tc>
          <w:tcPr>
            <w:tcW w:type="dxa" w:w="7410"/>
            <w:shd w:fill="FFFFFF"/>
            <w:vAlign w:val="top"/>
            <w:tcMar>
              <w:top w:w="70" w:type="dxa"/>
              <w:start w:w="105" w:type="dxa"/>
              <w:bottom w:w="70" w:type="dxa"/>
              <w:end w:w="105" w:type="dxa"/>
            </w:tcMar>
          </w:tcPr>
          <w:p>
            <w:pPr>
              <w:spacing w:after="20" w:line="240" w:lineRule="auto"/>
            </w:pPr>
            <w:r>
              <w:rPr>
                <w:rFonts w:ascii="Arial" w:hAnsi="Arial"/>
                <w:color w:val="172033"/>
                <w:sz w:val="16"/>
              </w:rPr>
              <w:t>Per-route budgets and real-device/network measurements; no blocked critical action from ornamental assets.</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Evidence</w:t>
            </w:r>
          </w:p>
        </w:tc>
        <w:tc>
          <w:tcPr>
            <w:tcW w:type="dxa" w:w="7410"/>
            <w:shd w:fill="F6F7F9"/>
            <w:vAlign w:val="top"/>
            <w:tcMar>
              <w:top w:w="70" w:type="dxa"/>
              <w:start w:w="105" w:type="dxa"/>
              <w:bottom w:w="70" w:type="dxa"/>
              <w:end w:w="105" w:type="dxa"/>
            </w:tcMar>
          </w:tcPr>
          <w:p>
            <w:pPr>
              <w:spacing w:after="20" w:line="240" w:lineRule="auto"/>
            </w:pPr>
            <w:r>
              <w:rPr>
                <w:rFonts w:ascii="Arial" w:hAnsi="Arial"/>
                <w:color w:val="172033"/>
                <w:sz w:val="16"/>
              </w:rPr>
              <w:t>Versioned screenshots/video where helpful, automated E2E results, accessibility report and acceptance mapping.</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FRONTEND GATE</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A working API with a placeholder page is incomplete. A polished screen that cannot enforce permissions, explain state or recover safely is equally incomplete.</w:t>
            </w:r>
          </w:p>
        </w:tc>
      </w:tr>
    </w:tbl>
    <w:p>
      <w:r>
        <w:br w:type="page"/>
      </w:r>
    </w:p>
    <w:p>
      <w:pPr>
        <w:pStyle w:val="Heading1"/>
      </w:pPr>
      <w:r>
        <w:t>23. Universal completion gate for every slice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05" w:type="dxa"/>
              <w:bottom w:w="70" w:type="dxa"/>
              <w:end w:w="105" w:type="dxa"/>
            </w:tcMar>
          </w:tcPr>
          <w:p>
            <w:r>
              <w:rPr>
                <w:rFonts w:ascii="Arial" w:hAnsi="Arial"/>
                <w:b/>
                <w:color w:val="FFFFFF"/>
                <w:sz w:val="17"/>
              </w:rPr>
              <w:t>Gate</w:t>
            </w:r>
          </w:p>
        </w:tc>
        <w:tc>
          <w:tcPr>
            <w:tcW w:type="dxa" w:w="7460"/>
            <w:shd w:fill="10243E"/>
            <w:tcMar>
              <w:top w:w="70" w:type="dxa"/>
              <w:start w:w="105" w:type="dxa"/>
              <w:bottom w:w="70" w:type="dxa"/>
              <w:end w:w="105" w:type="dxa"/>
            </w:tcMar>
          </w:tcPr>
          <w:p>
            <w:r>
              <w:rPr>
                <w:rFonts w:ascii="Arial" w:hAnsi="Arial"/>
                <w:b/>
                <w:color w:val="FFFFFF"/>
                <w:sz w:val="17"/>
              </w:rPr>
              <w:t>Pass condition</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Scope</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Slice outcome and exclusions match the controlling specifications; no hidden expansion or essential deferral.</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Contracts</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Schemas, APIs, events, states and errors are versioned, documented and contract-tested.</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Data</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Migrations apply/rollback safely; constraints, indexes, ownership, classification and retention fields exist.</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Permissions</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Role/organisation/relationship/event/purpose/time/state decisions pass positive and negative tests at UI, API and data layers.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Frontend</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All named role journeys and states pass responsive, accessibility and usability acceptance.</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Integrity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Versioning, immutability, idempotency, critical rules and separation of duties pass adversarial tests.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Audit</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An independent reviewer reconstructs material actions, decisions, versions, actors, scopes and receipts.</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Security/privacy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Threat cases, data minimisation, safe logs/analytics/exports and sensitive-field handling pass.</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Operations</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Dashboards, alerts, support procedure, runbook, feature flag, rollback and recovery evidence are approved.</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Quality</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Unit, integration, contract, E2E, policy, accessibility, performance and regression suites are green.</w:t>
            </w:r>
          </w:p>
        </w:tc>
      </w:tr>
      <w:tr>
        <w:tc>
          <w:tcPr>
            <w:tcW w:type="dxa" w:w="1900"/>
            <w:shd w:fill="FFFFFF"/>
            <w:vAlign w:val="top"/>
            <w:tcMar>
              <w:top w:w="70" w:type="dxa"/>
              <w:start w:w="105" w:type="dxa"/>
              <w:bottom w:w="70" w:type="dxa"/>
              <w:end w:w="105" w:type="dxa"/>
            </w:tcMar>
          </w:tcPr>
          <w:p>
            <w:pPr>
              <w:spacing w:after="20" w:line="240" w:lineRule="auto"/>
            </w:pPr>
            <w:r>
              <w:rPr>
                <w:rFonts w:ascii="Arial" w:hAnsi="Arial"/>
                <w:color w:val="172033"/>
                <w:sz w:val="16"/>
              </w:rPr>
              <w:t>Documentation</w:t>
            </w:r>
          </w:p>
        </w:tc>
        <w:tc>
          <w:tcPr>
            <w:tcW w:type="dxa" w:w="7460"/>
            <w:shd w:fill="FFFFFF"/>
            <w:vAlign w:val="top"/>
            <w:tcMar>
              <w:top w:w="70" w:type="dxa"/>
              <w:start w:w="105" w:type="dxa"/>
              <w:bottom w:w="70" w:type="dxa"/>
              <w:end w:w="105" w:type="dxa"/>
            </w:tcMar>
          </w:tcPr>
          <w:p>
            <w:pPr>
              <w:spacing w:after="20" w:line="240" w:lineRule="auto"/>
            </w:pPr>
            <w:r>
              <w:rPr>
                <w:rFonts w:ascii="Arial" w:hAnsi="Arial"/>
                <w:color w:val="172033"/>
                <w:sz w:val="16"/>
              </w:rPr>
              <w:t>User help, operator procedure, data dictionary and architecture/build ledger are current.</w:t>
            </w:r>
          </w:p>
        </w:tc>
      </w:tr>
      <w:tr>
        <w:tc>
          <w:tcPr>
            <w:tcW w:type="dxa" w:w="1900"/>
            <w:shd w:fill="F6F7F9"/>
            <w:vAlign w:val="top"/>
            <w:tcMar>
              <w:top w:w="70" w:type="dxa"/>
              <w:start w:w="105" w:type="dxa"/>
              <w:bottom w:w="70" w:type="dxa"/>
              <w:end w:w="105" w:type="dxa"/>
            </w:tcMar>
          </w:tcPr>
          <w:p>
            <w:pPr>
              <w:spacing w:after="20" w:line="240" w:lineRule="auto"/>
            </w:pPr>
            <w:r>
              <w:rPr>
                <w:rFonts w:ascii="Arial" w:hAnsi="Arial"/>
                <w:color w:val="172033"/>
                <w:sz w:val="16"/>
              </w:rPr>
              <w:t>Acceptance</w:t>
            </w:r>
          </w:p>
        </w:tc>
        <w:tc>
          <w:tcPr>
            <w:tcW w:type="dxa" w:w="7460"/>
            <w:shd w:fill="F6F7F9"/>
            <w:vAlign w:val="top"/>
            <w:tcMar>
              <w:top w:w="70" w:type="dxa"/>
              <w:start w:w="105" w:type="dxa"/>
              <w:bottom w:w="70" w:type="dxa"/>
              <w:end w:w="105" w:type="dxa"/>
            </w:tcMar>
          </w:tcPr>
          <w:p>
            <w:pPr>
              <w:spacing w:after="20" w:line="240" w:lineRule="auto"/>
            </w:pPr>
            <w:r>
              <w:rPr>
                <w:rFonts w:ascii="Arial" w:hAnsi="Arial"/>
                <w:color w:val="172033"/>
                <w:sz w:val="16"/>
              </w:rPr>
              <w:t>Product, engineering, security/privacy and designated business owner sign the evidence manifest; reserved risks reach CEO.</w:t>
            </w:r>
          </w:p>
        </w:tc>
      </w:tr>
    </w:tbl>
    <w:p>
      <w:r>
        <w:br w:type="page"/>
      </w:r>
    </w:p>
    <w:p>
      <w:pPr>
        <w:pStyle w:val="Heading1"/>
      </w:pPr>
      <w:r>
        <w:t>24. Stop conditions and anti-drift controls</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10243E"/>
            <w:tcMar>
              <w:top w:w="70" w:type="dxa"/>
              <w:start w:w="105" w:type="dxa"/>
              <w:bottom w:w="70" w:type="dxa"/>
              <w:end w:w="105" w:type="dxa"/>
            </w:tcMar>
          </w:tcPr>
          <w:p>
            <w:r>
              <w:rPr>
                <w:rFonts w:ascii="Arial" w:hAnsi="Arial"/>
                <w:b/>
                <w:color w:val="FFFFFF"/>
                <w:sz w:val="17"/>
              </w:rPr>
              <w:t>Condition</w:t>
            </w:r>
          </w:p>
        </w:tc>
        <w:tc>
          <w:tcPr>
            <w:tcW w:type="dxa" w:w="7310"/>
            <w:shd w:fill="10243E"/>
            <w:tcMar>
              <w:top w:w="70" w:type="dxa"/>
              <w:start w:w="105" w:type="dxa"/>
              <w:bottom w:w="70" w:type="dxa"/>
              <w:end w:w="105" w:type="dxa"/>
            </w:tcMar>
          </w:tcPr>
          <w:p>
            <w:r>
              <w:rPr>
                <w:rFonts w:ascii="Arial" w:hAnsi="Arial"/>
                <w:b/>
                <w:color w:val="FFFFFF"/>
                <w:sz w:val="17"/>
              </w:rPr>
              <w:t>Required response</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Specification contradiction</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Stop affected work; raise decision record; resume only after ratified resolution.</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Permission ambiguity</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Fail closed; do not encode a convenient default.</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Event/Academy ownership collision</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Return truth/authority to the owning system and correct the contract.</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Frontend lag</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Do not close the slice or start a dependent journey.</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Unapproved schema/API change</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Update contract, assess downstream impact and rerun compatibility tests.</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Missing immutable reference</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Block publication/result/certificate/readiness action.</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Assessment leakage or invalid key</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Hold affected starts/results; investigate and govern void/replacement.</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Unratified retention/legal rule</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Keep configurable/inactive; escalate for jurisdictional approval.</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Failed migration/reconciliation</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Pause rollout; preserve receipts and row-level exceptions; never conceal partial state.</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Critical test or evidence gap</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No waiver by informal agreement; record reserved exception with owner, expiry and compensating control.</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NO ACCEPTANCE BY DEMONSTRATION ALONE</w:t>
            </w:r>
          </w:p>
        </w:tc>
      </w:tr>
      <w:tr>
        <w:tc>
          <w:tcPr>
            <w:tcW w:type="dxa" w:w="9360"/>
            <w:shd w:fill="FBEDED"/>
            <w:vAlign w:val="top"/>
            <w:tcMar>
              <w:top w:w="70" w:type="dxa"/>
              <w:start w:w="105" w:type="dxa"/>
              <w:bottom w:w="70" w:type="dxa"/>
              <w:end w:w="105" w:type="dxa"/>
            </w:tcMar>
          </w:tcPr>
          <w:p>
            <w:pPr>
              <w:spacing w:after="20" w:line="240" w:lineRule="auto"/>
            </w:pPr>
            <w:r>
              <w:rPr>
                <w:rFonts w:ascii="Arial" w:hAnsi="Arial"/>
                <w:color w:val="172033"/>
                <w:sz w:val="18"/>
              </w:rPr>
              <w:t>A happy-path demo cannot replace negative permission tests, immutable evidence, migration proof, failure recovery, accessibility review and audit reconstruction.</w:t>
            </w:r>
          </w:p>
        </w:tc>
      </w:tr>
    </w:tbl>
    <w:p>
      <w:r>
        <w:br w:type="page"/>
      </w:r>
    </w:p>
    <w:p>
      <w:pPr>
        <w:pStyle w:val="Heading1"/>
      </w:pPr>
      <w:r>
        <w:t>25. Release trains and environment promotion</w:t>
      </w:r>
    </w:p>
    <w:tbl>
      <w:tblPr>
        <w:tblStyle w:val="TableGrid"/>
        <w:tblW w:type="dxa" w:w="9360"/>
        <w:jc w:val="left"/>
        <w:tblLayout w:type="fixed"/>
        <w:tblLook w:firstColumn="1" w:firstRow="1" w:lastColumn="0" w:lastRow="0" w:noHBand="0" w:noVBand="1" w:val="04A0"/>
        <w:tblInd w:w="120" w:type="dxa"/>
      </w:tblPr>
      <w:tblGrid>
        <w:gridCol w:w="1600"/>
        <w:gridCol w:w="3350"/>
        <w:gridCol w:w="4410"/>
      </w:tblGrid>
      <w:tr>
        <w:tc>
          <w:tcPr>
            <w:tcW w:type="dxa" w:w="1600"/>
            <w:shd w:fill="10243E"/>
            <w:tcMar>
              <w:top w:w="70" w:type="dxa"/>
              <w:start w:w="105" w:type="dxa"/>
              <w:bottom w:w="70" w:type="dxa"/>
              <w:end w:w="105" w:type="dxa"/>
            </w:tcMar>
          </w:tcPr>
          <w:p>
            <w:r>
              <w:rPr>
                <w:rFonts w:ascii="Arial" w:hAnsi="Arial"/>
                <w:b/>
                <w:color w:val="FFFFFF"/>
                <w:sz w:val="17"/>
              </w:rPr>
              <w:t>Stage</w:t>
            </w:r>
          </w:p>
        </w:tc>
        <w:tc>
          <w:tcPr>
            <w:tcW w:type="dxa" w:w="3350"/>
            <w:shd w:fill="10243E"/>
            <w:tcMar>
              <w:top w:w="70" w:type="dxa"/>
              <w:start w:w="105" w:type="dxa"/>
              <w:bottom w:w="70" w:type="dxa"/>
              <w:end w:w="105" w:type="dxa"/>
            </w:tcMar>
          </w:tcPr>
          <w:p>
            <w:r>
              <w:rPr>
                <w:rFonts w:ascii="Arial" w:hAnsi="Arial"/>
                <w:b/>
                <w:color w:val="FFFFFF"/>
                <w:sz w:val="17"/>
              </w:rPr>
              <w:t>Purpose</w:t>
            </w:r>
          </w:p>
        </w:tc>
        <w:tc>
          <w:tcPr>
            <w:tcW w:type="dxa" w:w="4410"/>
            <w:shd w:fill="10243E"/>
            <w:tcMar>
              <w:top w:w="70" w:type="dxa"/>
              <w:start w:w="105" w:type="dxa"/>
              <w:bottom w:w="70" w:type="dxa"/>
              <w:end w:w="105" w:type="dxa"/>
            </w:tcMar>
          </w:tcPr>
          <w:p>
            <w:r>
              <w:rPr>
                <w:rFonts w:ascii="Arial" w:hAnsi="Arial"/>
                <w:b/>
                <w:color w:val="FFFFFF"/>
                <w:sz w:val="17"/>
              </w:rPr>
              <w:t>Promotion gate</w:t>
            </w:r>
          </w:p>
        </w:tc>
      </w:tr>
      <w:tr>
        <w:tc>
          <w:tcPr>
            <w:tcW w:type="dxa" w:w="1600"/>
            <w:shd w:fill="FFFFFF"/>
            <w:vAlign w:val="top"/>
            <w:tcMar>
              <w:top w:w="70" w:type="dxa"/>
              <w:start w:w="105" w:type="dxa"/>
              <w:bottom w:w="70" w:type="dxa"/>
              <w:end w:w="105" w:type="dxa"/>
            </w:tcMar>
          </w:tcPr>
          <w:p>
            <w:pPr>
              <w:spacing w:after="20" w:line="240" w:lineRule="auto"/>
            </w:pPr>
            <w:r>
              <w:rPr>
                <w:rFonts w:ascii="Arial" w:hAnsi="Arial"/>
                <w:color w:val="172033"/>
                <w:sz w:val="16"/>
              </w:rPr>
              <w:t>Local/ephemeral</w:t>
            </w:r>
          </w:p>
        </w:tc>
        <w:tc>
          <w:tcPr>
            <w:tcW w:type="dxa" w:w="3350"/>
            <w:shd w:fill="FFFFFF"/>
            <w:vAlign w:val="top"/>
            <w:tcMar>
              <w:top w:w="70" w:type="dxa"/>
              <w:start w:w="105" w:type="dxa"/>
              <w:bottom w:w="70" w:type="dxa"/>
              <w:end w:w="105" w:type="dxa"/>
            </w:tcMar>
          </w:tcPr>
          <w:p>
            <w:pPr>
              <w:spacing w:after="20" w:line="240" w:lineRule="auto"/>
            </w:pPr>
            <w:r>
              <w:rPr>
                <w:rFonts w:ascii="Arial" w:hAnsi="Arial"/>
                <w:color w:val="172033"/>
                <w:sz w:val="16"/>
              </w:rPr>
              <w:t>Fast development with synthetic fixtures</w:t>
            </w:r>
          </w:p>
        </w:tc>
        <w:tc>
          <w:tcPr>
            <w:tcW w:type="dxa" w:w="4410"/>
            <w:shd w:fill="FFFFFF"/>
            <w:vAlign w:val="top"/>
            <w:tcMar>
              <w:top w:w="70" w:type="dxa"/>
              <w:start w:w="105" w:type="dxa"/>
              <w:bottom w:w="70" w:type="dxa"/>
              <w:end w:w="105" w:type="dxa"/>
            </w:tcMar>
          </w:tcPr>
          <w:p>
            <w:pPr>
              <w:spacing w:after="20" w:line="240" w:lineRule="auto"/>
            </w:pPr>
            <w:r>
              <w:rPr>
                <w:rFonts w:ascii="Arial" w:hAnsi="Arial"/>
                <w:color w:val="172033"/>
                <w:sz w:val="16"/>
              </w:rPr>
              <w:t>Lint, unit, type, schema and component checks</w:t>
            </w:r>
          </w:p>
        </w:tc>
      </w:tr>
      <w:tr>
        <w:tc>
          <w:tcPr>
            <w:tcW w:type="dxa" w:w="1600"/>
            <w:shd w:fill="F6F7F9"/>
            <w:vAlign w:val="top"/>
            <w:tcMar>
              <w:top w:w="70" w:type="dxa"/>
              <w:start w:w="105" w:type="dxa"/>
              <w:bottom w:w="70" w:type="dxa"/>
              <w:end w:w="105" w:type="dxa"/>
            </w:tcMar>
          </w:tcPr>
          <w:p>
            <w:pPr>
              <w:spacing w:after="20" w:line="240" w:lineRule="auto"/>
            </w:pPr>
            <w:r>
              <w:rPr>
                <w:rFonts w:ascii="Arial" w:hAnsi="Arial"/>
                <w:color w:val="172033"/>
                <w:sz w:val="16"/>
              </w:rPr>
              <w:t>Integration</w:t>
            </w:r>
          </w:p>
        </w:tc>
        <w:tc>
          <w:tcPr>
            <w:tcW w:type="dxa" w:w="3350"/>
            <w:shd w:fill="F6F7F9"/>
            <w:vAlign w:val="top"/>
            <w:tcMar>
              <w:top w:w="70" w:type="dxa"/>
              <w:start w:w="105" w:type="dxa"/>
              <w:bottom w:w="70" w:type="dxa"/>
              <w:end w:w="105" w:type="dxa"/>
            </w:tcMar>
          </w:tcPr>
          <w:p>
            <w:pPr>
              <w:spacing w:after="20" w:line="240" w:lineRule="auto"/>
            </w:pPr>
            <w:r>
              <w:rPr>
                <w:rFonts w:ascii="Arial" w:hAnsi="Arial"/>
                <w:color w:val="172033"/>
                <w:sz w:val="16"/>
              </w:rPr>
              <w:t>Shared contracts, jobs, database and OS sandbox</w:t>
            </w:r>
          </w:p>
        </w:tc>
        <w:tc>
          <w:tcPr>
            <w:tcW w:type="dxa" w:w="4410"/>
            <w:shd w:fill="F6F7F9"/>
            <w:vAlign w:val="top"/>
            <w:tcMar>
              <w:top w:w="70" w:type="dxa"/>
              <w:start w:w="105" w:type="dxa"/>
              <w:bottom w:w="70" w:type="dxa"/>
              <w:end w:w="105" w:type="dxa"/>
            </w:tcMar>
          </w:tcPr>
          <w:p>
            <w:pPr>
              <w:spacing w:after="20" w:line="240" w:lineRule="auto"/>
            </w:pPr>
            <w:r>
              <w:rPr>
                <w:rFonts w:ascii="Arial" w:hAnsi="Arial"/>
                <w:color w:val="172033"/>
                <w:sz w:val="16"/>
              </w:rPr>
              <w:t>Integration, policy, migration and contract suites</w:t>
            </w:r>
          </w:p>
        </w:tc>
      </w:tr>
      <w:tr>
        <w:tc>
          <w:tcPr>
            <w:tcW w:type="dxa" w:w="1600"/>
            <w:shd w:fill="FFFFFF"/>
            <w:vAlign w:val="top"/>
            <w:tcMar>
              <w:top w:w="70" w:type="dxa"/>
              <w:start w:w="105" w:type="dxa"/>
              <w:bottom w:w="70" w:type="dxa"/>
              <w:end w:w="105" w:type="dxa"/>
            </w:tcMar>
          </w:tcPr>
          <w:p>
            <w:pPr>
              <w:spacing w:after="20" w:line="240" w:lineRule="auto"/>
            </w:pPr>
            <w:r>
              <w:rPr>
                <w:rFonts w:ascii="Arial" w:hAnsi="Arial"/>
                <w:color w:val="172033"/>
                <w:sz w:val="16"/>
              </w:rPr>
              <w:t>Acceptance</w:t>
            </w:r>
          </w:p>
        </w:tc>
        <w:tc>
          <w:tcPr>
            <w:tcW w:type="dxa" w:w="3350"/>
            <w:shd w:fill="FFFFFF"/>
            <w:vAlign w:val="top"/>
            <w:tcMar>
              <w:top w:w="70" w:type="dxa"/>
              <w:start w:w="105" w:type="dxa"/>
              <w:bottom w:w="70" w:type="dxa"/>
              <w:end w:w="105" w:type="dxa"/>
            </w:tcMar>
          </w:tcPr>
          <w:p>
            <w:pPr>
              <w:spacing w:after="20" w:line="240" w:lineRule="auto"/>
            </w:pPr>
            <w:r>
              <w:rPr>
                <w:rFonts w:ascii="Arial" w:hAnsi="Arial"/>
                <w:color w:val="172033"/>
                <w:sz w:val="16"/>
              </w:rPr>
              <w:t>Stable candidate for role walkthroughs and independent evidence</w:t>
            </w:r>
          </w:p>
        </w:tc>
        <w:tc>
          <w:tcPr>
            <w:tcW w:type="dxa" w:w="4410"/>
            <w:shd w:fill="FFFFFF"/>
            <w:vAlign w:val="top"/>
            <w:tcMar>
              <w:top w:w="70" w:type="dxa"/>
              <w:start w:w="105" w:type="dxa"/>
              <w:bottom w:w="70" w:type="dxa"/>
              <w:end w:w="105" w:type="dxa"/>
            </w:tcMar>
          </w:tcPr>
          <w:p>
            <w:pPr>
              <w:spacing w:after="20" w:line="240" w:lineRule="auto"/>
            </w:pPr>
            <w:r>
              <w:rPr>
                <w:rFonts w:ascii="Arial" w:hAnsi="Arial"/>
                <w:color w:val="172033"/>
                <w:sz w:val="16"/>
              </w:rPr>
              <w:t>Complete slice gate and signed manifest</w:t>
            </w:r>
          </w:p>
        </w:tc>
      </w:tr>
      <w:tr>
        <w:tc>
          <w:tcPr>
            <w:tcW w:type="dxa" w:w="1600"/>
            <w:shd w:fill="F6F7F9"/>
            <w:vAlign w:val="top"/>
            <w:tcMar>
              <w:top w:w="70" w:type="dxa"/>
              <w:start w:w="105" w:type="dxa"/>
              <w:bottom w:w="70" w:type="dxa"/>
              <w:end w:w="105" w:type="dxa"/>
            </w:tcMar>
          </w:tcPr>
          <w:p>
            <w:pPr>
              <w:spacing w:after="20" w:line="240" w:lineRule="auto"/>
            </w:pPr>
            <w:r>
              <w:rPr>
                <w:rFonts w:ascii="Arial" w:hAnsi="Arial"/>
                <w:color w:val="172033"/>
                <w:sz w:val="16"/>
              </w:rPr>
              <w:t>Staging</w:t>
            </w:r>
          </w:p>
        </w:tc>
        <w:tc>
          <w:tcPr>
            <w:tcW w:type="dxa" w:w="3350"/>
            <w:shd w:fill="F6F7F9"/>
            <w:vAlign w:val="top"/>
            <w:tcMar>
              <w:top w:w="70" w:type="dxa"/>
              <w:start w:w="105" w:type="dxa"/>
              <w:bottom w:w="70" w:type="dxa"/>
              <w:end w:w="105" w:type="dxa"/>
            </w:tcMar>
          </w:tcPr>
          <w:p>
            <w:pPr>
              <w:spacing w:after="20" w:line="240" w:lineRule="auto"/>
            </w:pPr>
            <w:r>
              <w:rPr>
                <w:rFonts w:ascii="Arial" w:hAnsi="Arial"/>
                <w:color w:val="172033"/>
                <w:sz w:val="16"/>
              </w:rPr>
              <w:t>Production-equivalent configuration and rehearsal</w:t>
            </w:r>
          </w:p>
        </w:tc>
        <w:tc>
          <w:tcPr>
            <w:tcW w:type="dxa" w:w="4410"/>
            <w:shd w:fill="F6F7F9"/>
            <w:vAlign w:val="top"/>
            <w:tcMar>
              <w:top w:w="70" w:type="dxa"/>
              <w:start w:w="105" w:type="dxa"/>
              <w:bottom w:w="70" w:type="dxa"/>
              <w:end w:w="105" w:type="dxa"/>
            </w:tcMar>
          </w:tcPr>
          <w:p>
            <w:pPr>
              <w:spacing w:after="20" w:line="240" w:lineRule="auto"/>
            </w:pPr>
            <w:r>
              <w:rPr>
                <w:rFonts w:ascii="Arial" w:hAnsi="Arial"/>
                <w:color w:val="172033"/>
                <w:sz w:val="16"/>
              </w:rPr>
              <w:t>Security, performance, recovery, monitoring and rollback proof</w:t>
            </w:r>
          </w:p>
        </w:tc>
      </w:tr>
      <w:tr>
        <w:tc>
          <w:tcPr>
            <w:tcW w:type="dxa" w:w="1600"/>
            <w:shd w:fill="FFFFFF"/>
            <w:vAlign w:val="top"/>
            <w:tcMar>
              <w:top w:w="70" w:type="dxa"/>
              <w:start w:w="105" w:type="dxa"/>
              <w:bottom w:w="70" w:type="dxa"/>
              <w:end w:w="105" w:type="dxa"/>
            </w:tcMar>
          </w:tcPr>
          <w:p>
            <w:pPr>
              <w:spacing w:after="20" w:line="240" w:lineRule="auto"/>
            </w:pPr>
            <w:r>
              <w:rPr>
                <w:rFonts w:ascii="Arial" w:hAnsi="Arial"/>
                <w:color w:val="172033"/>
                <w:sz w:val="16"/>
              </w:rPr>
              <w:t>Production</w:t>
            </w:r>
          </w:p>
        </w:tc>
        <w:tc>
          <w:tcPr>
            <w:tcW w:type="dxa" w:w="3350"/>
            <w:shd w:fill="FFFFFF"/>
            <w:vAlign w:val="top"/>
            <w:tcMar>
              <w:top w:w="70" w:type="dxa"/>
              <w:start w:w="105" w:type="dxa"/>
              <w:bottom w:w="70" w:type="dxa"/>
              <w:end w:w="105" w:type="dxa"/>
            </w:tcMar>
          </w:tcPr>
          <w:p>
            <w:pPr>
              <w:spacing w:after="20" w:line="240" w:lineRule="auto"/>
            </w:pPr>
            <w:r>
              <w:rPr>
                <w:rFonts w:ascii="Arial" w:hAnsi="Arial"/>
                <w:color w:val="172033"/>
                <w:sz w:val="16"/>
              </w:rPr>
              <w:t>Controlled exposure through feature flag/cohort</w:t>
            </w:r>
          </w:p>
        </w:tc>
        <w:tc>
          <w:tcPr>
            <w:tcW w:type="dxa" w:w="4410"/>
            <w:shd w:fill="FFFFFF"/>
            <w:vAlign w:val="top"/>
            <w:tcMar>
              <w:top w:w="70" w:type="dxa"/>
              <w:start w:w="105" w:type="dxa"/>
              <w:bottom w:w="70" w:type="dxa"/>
              <w:end w:w="105" w:type="dxa"/>
            </w:tcMar>
          </w:tcPr>
          <w:p>
            <w:pPr>
              <w:spacing w:after="20" w:line="240" w:lineRule="auto"/>
            </w:pPr>
            <w:r>
              <w:rPr>
                <w:rFonts w:ascii="Arial" w:hAnsi="Arial"/>
                <w:color w:val="172033"/>
                <w:sz w:val="16"/>
              </w:rPr>
              <w:t>Approval, deployment receipt, live smoke tests and no unresolved critical risk</w:t>
            </w:r>
          </w:p>
        </w:tc>
      </w:tr>
    </w:tbl>
    <w:p>
      <w:pPr>
        <w:pStyle w:val="ListBullet"/>
        <w:spacing w:after="60"/>
        <w:ind w:left="547" w:hanging="274"/>
      </w:pPr>
      <w:r>
        <w:t>Production data is not copied into lower environments unless explicitly approved and masked.</w:t>
      </w:r>
    </w:p>
    <w:p>
      <w:pPr>
        <w:pStyle w:val="ListBullet"/>
        <w:spacing w:after="60"/>
        <w:ind w:left="547" w:hanging="274"/>
      </w:pPr>
      <w:r>
        <w:t>Database changes use expand-migrate-contract or an equally safe compatible pattern.</w:t>
      </w:r>
    </w:p>
    <w:p>
      <w:pPr>
        <w:pStyle w:val="ListBullet"/>
        <w:spacing w:after="60"/>
        <w:ind w:left="547" w:hanging="274"/>
      </w:pPr>
      <w:r>
        <w:t>Feature activation and code deployment are separate decisions where risk warrants.</w:t>
      </w:r>
    </w:p>
    <w:p>
      <w:pPr>
        <w:pStyle w:val="ListBullet"/>
        <w:spacing w:after="60"/>
        <w:ind w:left="547" w:hanging="274"/>
      </w:pPr>
      <w:r>
        <w:t>A failed production smoke test triggers the documented rollback or containment decision, not ad-hoc repair.</w:t>
      </w:r>
    </w:p>
    <w:p>
      <w:r>
        <w:br w:type="page"/>
      </w:r>
    </w:p>
    <w:p>
      <w:pPr>
        <w:pStyle w:val="Heading1"/>
      </w:pPr>
      <w:r>
        <w:t>26. Content-production lane across the build</w:t>
      </w:r>
    </w:p>
    <w:tbl>
      <w:tblPr>
        <w:tblStyle w:val="TableGrid"/>
        <w:tblW w:type="dxa" w:w="9360"/>
        <w:jc w:val="left"/>
        <w:tblLayout w:type="fixed"/>
        <w:tblLook w:firstColumn="1" w:firstRow="1" w:lastColumn="0" w:lastRow="0" w:noHBand="0" w:noVBand="1" w:val="04A0"/>
        <w:tblInd w:w="120" w:type="dxa"/>
      </w:tblPr>
      <w:tblGrid>
        <w:gridCol w:w="1950"/>
        <w:gridCol w:w="7410"/>
      </w:tblGrid>
      <w:tr>
        <w:tc>
          <w:tcPr>
            <w:tcW w:type="dxa" w:w="1950"/>
            <w:shd w:fill="10243E"/>
            <w:tcMar>
              <w:top w:w="70" w:type="dxa"/>
              <w:start w:w="105" w:type="dxa"/>
              <w:bottom w:w="70" w:type="dxa"/>
              <w:end w:w="105" w:type="dxa"/>
            </w:tcMar>
          </w:tcPr>
          <w:p>
            <w:r>
              <w:rPr>
                <w:rFonts w:ascii="Arial" w:hAnsi="Arial"/>
                <w:b/>
                <w:color w:val="FFFFFF"/>
                <w:sz w:val="17"/>
              </w:rPr>
              <w:t>Checkpoint</w:t>
            </w:r>
          </w:p>
        </w:tc>
        <w:tc>
          <w:tcPr>
            <w:tcW w:type="dxa" w:w="7410"/>
            <w:shd w:fill="10243E"/>
            <w:tcMar>
              <w:top w:w="70" w:type="dxa"/>
              <w:start w:w="105" w:type="dxa"/>
              <w:bottom w:w="70" w:type="dxa"/>
              <w:end w:w="105" w:type="dxa"/>
            </w:tcMar>
          </w:tcPr>
          <w:p>
            <w:r>
              <w:rPr>
                <w:rFonts w:ascii="Arial" w:hAnsi="Arial"/>
                <w:b/>
                <w:color w:val="FFFFFF"/>
                <w:sz w:val="17"/>
              </w:rPr>
              <w:t>Required content outcome</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Gate 0</w:t>
            </w:r>
          </w:p>
        </w:tc>
        <w:tc>
          <w:tcPr>
            <w:tcW w:type="dxa" w:w="7410"/>
            <w:shd w:fill="FFFFFF"/>
            <w:vAlign w:val="top"/>
            <w:tcMar>
              <w:top w:w="70" w:type="dxa"/>
              <w:start w:w="105" w:type="dxa"/>
              <w:bottom w:w="70" w:type="dxa"/>
              <w:end w:w="105" w:type="dxa"/>
            </w:tcMar>
          </w:tcPr>
          <w:p>
            <w:pPr>
              <w:spacing w:after="20" w:line="240" w:lineRule="auto"/>
            </w:pPr>
            <w:r>
              <w:rPr>
                <w:rFonts w:ascii="Arial" w:hAnsi="Arial"/>
                <w:color w:val="172033"/>
                <w:sz w:val="16"/>
              </w:rPr>
              <w:t>Thirty source modules, source locators, owners, role map and unresolved editorial decisions registered.</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After Slice 3</w:t>
            </w:r>
          </w:p>
        </w:tc>
        <w:tc>
          <w:tcPr>
            <w:tcW w:type="dxa" w:w="7410"/>
            <w:shd w:fill="F6F7F9"/>
            <w:vAlign w:val="top"/>
            <w:tcMar>
              <w:top w:w="70" w:type="dxa"/>
              <w:start w:w="105" w:type="dxa"/>
              <w:bottom w:w="70" w:type="dxa"/>
              <w:end w:w="105" w:type="dxa"/>
            </w:tcMar>
          </w:tcPr>
          <w:p>
            <w:pPr>
              <w:spacing w:after="20" w:line="240" w:lineRule="auto"/>
            </w:pPr>
            <w:r>
              <w:rPr>
                <w:rFonts w:ascii="Arial" w:hAnsi="Arial"/>
                <w:color w:val="172033"/>
                <w:sz w:val="16"/>
              </w:rPr>
              <w:t>Representative module publishes through the real governance workflow; version/diff/impact proven.</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After Slice 4</w:t>
            </w:r>
          </w:p>
        </w:tc>
        <w:tc>
          <w:tcPr>
            <w:tcW w:type="dxa" w:w="7410"/>
            <w:shd w:fill="FFFFFF"/>
            <w:vAlign w:val="top"/>
            <w:tcMar>
              <w:top w:w="70" w:type="dxa"/>
              <w:start w:w="105" w:type="dxa"/>
              <w:bottom w:w="70" w:type="dxa"/>
              <w:end w:w="105" w:type="dxa"/>
            </w:tcMar>
          </w:tcPr>
          <w:p>
            <w:pPr>
              <w:spacing w:after="20" w:line="240" w:lineRule="auto"/>
            </w:pPr>
            <w:r>
              <w:rPr>
                <w:rFonts w:ascii="Arial" w:hAnsi="Arial"/>
                <w:color w:val="172033"/>
                <w:sz w:val="16"/>
              </w:rPr>
              <w:t>Representative role path and accessible lesson set completes end to end.</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After Slice 5</w:t>
            </w:r>
          </w:p>
        </w:tc>
        <w:tc>
          <w:tcPr>
            <w:tcW w:type="dxa" w:w="7410"/>
            <w:shd w:fill="F6F7F9"/>
            <w:vAlign w:val="top"/>
            <w:tcMar>
              <w:top w:w="70" w:type="dxa"/>
              <w:start w:w="105" w:type="dxa"/>
              <w:bottom w:w="70" w:type="dxa"/>
              <w:end w:w="105" w:type="dxa"/>
            </w:tcMar>
          </w:tcPr>
          <w:p>
            <w:pPr>
              <w:spacing w:after="20" w:line="240" w:lineRule="auto"/>
            </w:pPr>
            <w:r>
              <w:rPr>
                <w:rFonts w:ascii="Arial" w:hAnsi="Arial"/>
                <w:color w:val="172033"/>
                <w:sz w:val="16"/>
              </w:rPr>
              <w:t>Representative high-difficulty bank, blueprint, rubric and form approved.</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After Slices 6-8</w:t>
            </w:r>
          </w:p>
        </w:tc>
        <w:tc>
          <w:tcPr>
            <w:tcW w:type="dxa" w:w="7410"/>
            <w:shd w:fill="FFFFFF"/>
            <w:vAlign w:val="top"/>
            <w:tcMar>
              <w:top w:w="70" w:type="dxa"/>
              <w:start w:w="105" w:type="dxa"/>
              <w:bottom w:w="70" w:type="dxa"/>
              <w:end w:w="105" w:type="dxa"/>
            </w:tcMar>
          </w:tcPr>
          <w:p>
            <w:pPr>
              <w:spacing w:after="20" w:line="240" w:lineRule="auto"/>
            </w:pPr>
            <w:r>
              <w:rPr>
                <w:rFonts w:ascii="Arial" w:hAnsi="Arial"/>
                <w:color w:val="172033"/>
                <w:sz w:val="16"/>
              </w:rPr>
              <w:t>Representative knowledge, practical and certification chain produces defensible evidence.</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After Slice 10</w:t>
            </w:r>
          </w:p>
        </w:tc>
        <w:tc>
          <w:tcPr>
            <w:tcW w:type="dxa" w:w="7410"/>
            <w:shd w:fill="F6F7F9"/>
            <w:vAlign w:val="top"/>
            <w:tcMar>
              <w:top w:w="70" w:type="dxa"/>
              <w:start w:w="105" w:type="dxa"/>
              <w:bottom w:w="70" w:type="dxa"/>
              <w:end w:w="105" w:type="dxa"/>
            </w:tcMar>
          </w:tcPr>
          <w:p>
            <w:pPr>
              <w:spacing w:after="20" w:line="240" w:lineRule="auto"/>
            </w:pPr>
            <w:r>
              <w:rPr>
                <w:rFonts w:ascii="Arial" w:hAnsi="Arial"/>
                <w:color w:val="172033"/>
                <w:sz w:val="16"/>
              </w:rPr>
              <w:t>Representative event-specific package uses approved role-filtered event facts.</w:t>
            </w:r>
          </w:p>
        </w:tc>
      </w:tr>
      <w:tr>
        <w:tc>
          <w:tcPr>
            <w:tcW w:type="dxa" w:w="1950"/>
            <w:shd w:fill="FFFFFF"/>
            <w:vAlign w:val="top"/>
            <w:tcMar>
              <w:top w:w="70" w:type="dxa"/>
              <w:start w:w="105" w:type="dxa"/>
              <w:bottom w:w="70" w:type="dxa"/>
              <w:end w:w="105" w:type="dxa"/>
            </w:tcMar>
          </w:tcPr>
          <w:p>
            <w:pPr>
              <w:spacing w:after="20" w:line="240" w:lineRule="auto"/>
            </w:pPr>
            <w:r>
              <w:rPr>
                <w:rFonts w:ascii="Arial" w:hAnsi="Arial"/>
                <w:color w:val="172033"/>
                <w:sz w:val="16"/>
              </w:rPr>
              <w:t>Before Slice 16</w:t>
            </w:r>
          </w:p>
        </w:tc>
        <w:tc>
          <w:tcPr>
            <w:tcW w:type="dxa" w:w="7410"/>
            <w:shd w:fill="FFFFFF"/>
            <w:vAlign w:val="top"/>
            <w:tcMar>
              <w:top w:w="70" w:type="dxa"/>
              <w:start w:w="105" w:type="dxa"/>
              <w:bottom w:w="70" w:type="dxa"/>
              <w:end w:w="105" w:type="dxa"/>
            </w:tcMar>
          </w:tcPr>
          <w:p>
            <w:pPr>
              <w:spacing w:after="20" w:line="240" w:lineRule="auto"/>
            </w:pPr>
            <w:r>
              <w:rPr>
                <w:rFonts w:ascii="Arial" w:hAnsi="Arial"/>
                <w:color w:val="172033"/>
                <w:sz w:val="16"/>
              </w:rPr>
              <w:t>All 30 modules, role variants, Lagos/global labels, assessments and critical mappings reach reviewed release-candidate state.</w:t>
            </w:r>
          </w:p>
        </w:tc>
      </w:tr>
      <w:tr>
        <w:tc>
          <w:tcPr>
            <w:tcW w:type="dxa" w:w="1950"/>
            <w:shd w:fill="F6F7F9"/>
            <w:vAlign w:val="top"/>
            <w:tcMar>
              <w:top w:w="70" w:type="dxa"/>
              <w:start w:w="105" w:type="dxa"/>
              <w:bottom w:w="70" w:type="dxa"/>
              <w:end w:w="105" w:type="dxa"/>
            </w:tcMar>
          </w:tcPr>
          <w:p>
            <w:pPr>
              <w:spacing w:after="20" w:line="240" w:lineRule="auto"/>
            </w:pPr>
            <w:r>
              <w:rPr>
                <w:rFonts w:ascii="Arial" w:hAnsi="Arial"/>
                <w:color w:val="172033"/>
                <w:sz w:val="16"/>
              </w:rPr>
              <w:t>Slice 16</w:t>
            </w:r>
          </w:p>
        </w:tc>
        <w:tc>
          <w:tcPr>
            <w:tcW w:type="dxa" w:w="7410"/>
            <w:shd w:fill="F6F7F9"/>
            <w:vAlign w:val="top"/>
            <w:tcMar>
              <w:top w:w="70" w:type="dxa"/>
              <w:start w:w="105" w:type="dxa"/>
              <w:bottom w:w="70" w:type="dxa"/>
              <w:end w:w="105" w:type="dxa"/>
            </w:tcMar>
          </w:tcPr>
          <w:p>
            <w:pPr>
              <w:spacing w:after="20" w:line="240" w:lineRule="auto"/>
            </w:pPr>
            <w:r>
              <w:rPr>
                <w:rFonts w:ascii="Arial" w:hAnsi="Arial"/>
                <w:color w:val="172033"/>
                <w:sz w:val="16"/>
              </w:rPr>
              <w:t>Governed migration/publishing, coverage reconciliation and independent acceptance complete.</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CONTENT IS PRODUCT</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Course writing is not a final data-entry task. Representative content must exercise every authoring, delivery, assessment and change-control capability while those capabilities are built.</w:t>
            </w:r>
          </w:p>
        </w:tc>
      </w:tr>
    </w:tbl>
    <w:p>
      <w:r>
        <w:br w:type="page"/>
      </w:r>
    </w:p>
    <w:p>
      <w:pPr>
        <w:pStyle w:val="Heading1"/>
      </w:pPr>
      <w:r>
        <w:t>27. Evidence manifest and build ledger</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10243E"/>
            <w:tcMar>
              <w:top w:w="70" w:type="dxa"/>
              <w:start w:w="105" w:type="dxa"/>
              <w:bottom w:w="70" w:type="dxa"/>
              <w:end w:w="105" w:type="dxa"/>
            </w:tcMar>
          </w:tcPr>
          <w:p>
            <w:r>
              <w:rPr>
                <w:rFonts w:ascii="Arial" w:hAnsi="Arial"/>
                <w:b/>
                <w:color w:val="FFFFFF"/>
                <w:sz w:val="17"/>
              </w:rPr>
              <w:t>Manifest field</w:t>
            </w:r>
          </w:p>
        </w:tc>
        <w:tc>
          <w:tcPr>
            <w:tcW w:type="dxa" w:w="7310"/>
            <w:shd w:fill="10243E"/>
            <w:tcMar>
              <w:top w:w="70" w:type="dxa"/>
              <w:start w:w="105" w:type="dxa"/>
              <w:bottom w:w="70" w:type="dxa"/>
              <w:end w:w="105" w:type="dxa"/>
            </w:tcMar>
          </w:tcPr>
          <w:p>
            <w:r>
              <w:rPr>
                <w:rFonts w:ascii="Arial" w:hAnsi="Arial"/>
                <w:b/>
                <w:color w:val="FFFFFF"/>
                <w:sz w:val="17"/>
              </w:rPr>
              <w:t>Requirement</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Slice/version</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Unique slice release identifier and commit/deployment references</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Controlling requirements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Specification clauses and acceptance-test IDs satisfied</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Changed contracts</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Schemas, APIs, events, permissions, states and migrations</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Frontend proof</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Routes/personas/viewports/states, accessibility and usability evidence</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Test proof</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Automated/manual suite names, results and environment</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Security/privacy</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Threat cases, data classes, scope tests, logs/exports and retention treatment</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Audit proof</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Representative correlation/audit IDs and independent reconstruction result</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Operations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Dashboards, alerts, runbook, rollback and recovery evidence</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Known items</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Only non-essential accepted items, with owner/due date and impact</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Approvals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Product, engineering, business, security/privacy and reserved CEO decision where applicable</w:t>
            </w:r>
          </w:p>
        </w:tc>
      </w:tr>
    </w:tbl>
    <w:p>
      <w:pPr>
        <w:pStyle w:val="ListBullet"/>
        <w:spacing w:after="60"/>
        <w:ind w:left="547" w:hanging="274"/>
      </w:pPr>
      <w:r>
        <w:t>The ledger is append-only for accepted releases; corrections reference the prior entry.</w:t>
      </w:r>
    </w:p>
    <w:p>
      <w:pPr>
        <w:pStyle w:val="ListBullet"/>
        <w:spacing w:after="60"/>
        <w:ind w:left="547" w:hanging="274"/>
      </w:pPr>
      <w:r>
        <w:t>A dependent slice records the exact predecessor contract versions it consumes.</w:t>
      </w:r>
    </w:p>
    <w:p>
      <w:pPr>
        <w:pStyle w:val="ListBullet"/>
        <w:spacing w:after="60"/>
        <w:ind w:left="547" w:hanging="274"/>
      </w:pPr>
      <w:r>
        <w:t>Screenshots support evidence but do not substitute for executable tests or audited state.</w:t>
      </w:r>
    </w:p>
    <w:p>
      <w:pPr>
        <w:pStyle w:val="ListBullet"/>
        <w:spacing w:after="60"/>
        <w:ind w:left="547" w:hanging="274"/>
      </w:pPr>
      <w:r>
        <w:t>No “done except frontend”, “done except permissions” or “done except content” status is permitted.</w:t>
      </w:r>
    </w:p>
    <w:p>
      <w:r>
        <w:br w:type="page"/>
      </w:r>
    </w:p>
    <w:p>
      <w:pPr>
        <w:pStyle w:val="Heading1"/>
      </w:pPr>
      <w:r>
        <w:t>28. Programme-level acceptance scenarios</w:t>
      </w:r>
    </w:p>
    <w:tbl>
      <w:tblPr>
        <w:tblStyle w:val="TableGrid"/>
        <w:tblW w:type="dxa" w:w="9360"/>
        <w:jc w:val="left"/>
        <w:tblLayout w:type="fixed"/>
        <w:tblLook w:firstColumn="1" w:firstRow="1" w:lastColumn="0" w:lastRow="0" w:noHBand="0" w:noVBand="1" w:val="04A0"/>
        <w:tblInd w:w="120" w:type="dxa"/>
      </w:tblPr>
      <w:tblGrid>
        <w:gridCol w:w="1100"/>
        <w:gridCol w:w="8260"/>
      </w:tblGrid>
      <w:tr>
        <w:tc>
          <w:tcPr>
            <w:tcW w:type="dxa" w:w="1100"/>
            <w:shd w:fill="10243E"/>
            <w:tcMar>
              <w:top w:w="70" w:type="dxa"/>
              <w:start w:w="105" w:type="dxa"/>
              <w:bottom w:w="70" w:type="dxa"/>
              <w:end w:w="105" w:type="dxa"/>
            </w:tcMar>
          </w:tcPr>
          <w:p>
            <w:r>
              <w:rPr>
                <w:rFonts w:ascii="Arial" w:hAnsi="Arial"/>
                <w:b/>
                <w:color w:val="FFFFFF"/>
                <w:sz w:val="17"/>
              </w:rPr>
              <w:t>ID</w:t>
            </w:r>
          </w:p>
        </w:tc>
        <w:tc>
          <w:tcPr>
            <w:tcW w:type="dxa" w:w="8260"/>
            <w:shd w:fill="10243E"/>
            <w:tcMar>
              <w:top w:w="70" w:type="dxa"/>
              <w:start w:w="105" w:type="dxa"/>
              <w:bottom w:w="70" w:type="dxa"/>
              <w:end w:w="105" w:type="dxa"/>
            </w:tcMar>
          </w:tcPr>
          <w:p>
            <w:r>
              <w:rPr>
                <w:rFonts w:ascii="Arial" w:hAnsi="Arial"/>
                <w:b/>
                <w:color w:val="FFFFFF"/>
                <w:sz w:val="17"/>
              </w:rPr>
              <w:t>Programme acceptance scenario</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5"/>
              </w:rPr>
              <w:t>PB-01</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5"/>
              </w:rPr>
              <w:t>New usher is invited, enrolled, learns on mobile, passes, is certified and becomes ready for one event only.</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5"/>
              </w:rPr>
              <w:t>PB-02</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5"/>
              </w:rPr>
              <w:t>CEO completes the full 30-module path and high-difficulty assessment without gaining self-approval authority.</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5"/>
              </w:rPr>
              <w:t>PB-03</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5"/>
              </w:rPr>
              <w:t>Department lead moves laterally; valid equivalence is reused and only missing competence is assigned.</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5"/>
              </w:rPr>
              <w:t>PB-04</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5"/>
              </w:rPr>
              <w:t>Learner scores 92% but fails a critical condition; certification is blocked and remediation/retake is clear.</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5"/>
              </w:rPr>
              <w:t>PB-05</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5"/>
              </w:rPr>
              <w:t>Assessment submission retries under network loss without duplicated responses or results.</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5"/>
              </w:rPr>
              <w:t>PB-06</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5"/>
              </w:rPr>
              <w:t>Practical evidence is moderated and appealed without rewriting the original assessor record.</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5"/>
              </w:rPr>
              <w:t>PB-07</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5"/>
              </w:rPr>
              <w:t>Published doctrine changes materially; affected learning, assessment, certificate dependencies and events are identified.</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5"/>
              </w:rPr>
              <w:t>PB-08</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5"/>
              </w:rPr>
              <w:t>Question leakage holds new attempts and produces governed void/replacement decisions.</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5"/>
              </w:rPr>
              <w:t>PB-09</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5"/>
              </w:rPr>
              <w:t>OS sends duplicate, reordered and stale event packages; Academy reconciles safely and fails closed.</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5"/>
              </w:rPr>
              <w:t>PB-10</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5"/>
              </w:rPr>
              <w:t>Event package changes; only affected role/package readiness becomes Stale.</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5"/>
              </w:rPr>
              <w:t>PB-11</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5"/>
              </w:rPr>
              <w:t>Academy returns minimum readiness status; OS remains the sole deployment authority.</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5"/>
              </w:rPr>
              <w:t>PB-12</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5"/>
              </w:rPr>
              <w:t>Manager sees blockers/actions but no keys, raw answers or private evidence.</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5"/>
              </w:rPr>
              <w:t>PB-13</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5"/>
              </w:rPr>
              <w:t>Cross-tenant and cross-event probes fail through URL, search, count, export, API and database policy.</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5"/>
              </w:rPr>
              <w:t>PB-14</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5"/>
              </w:rPr>
              <w:t>Offline event briefing expires and cannot be used after revocation/event close.</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5"/>
              </w:rPr>
              <w:t>PB-15</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5"/>
              </w:rPr>
              <w:t>Data-rights correction updates current truth without altering historical decision evidence.</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5"/>
              </w:rPr>
              <w:t>PB-16</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5"/>
              </w:rPr>
              <w:t>Approved purge propagates to derivatives/vendors and a restored backup reapplies the deletion ledger.</w:t>
            </w:r>
          </w:p>
        </w:tc>
      </w:tr>
      <w:tr>
        <w:tc>
          <w:tcPr>
            <w:tcW w:type="dxa" w:w="1100"/>
            <w:shd w:fill="FFFFFF"/>
            <w:vAlign w:val="top"/>
            <w:tcMar>
              <w:top w:w="70" w:type="dxa"/>
              <w:start w:w="105" w:type="dxa"/>
              <w:bottom w:w="70" w:type="dxa"/>
              <w:end w:w="105" w:type="dxa"/>
            </w:tcMar>
          </w:tcPr>
          <w:p>
            <w:pPr>
              <w:spacing w:after="20" w:line="240" w:lineRule="auto"/>
            </w:pPr>
            <w:r>
              <w:rPr>
                <w:rFonts w:ascii="Arial" w:hAnsi="Arial"/>
                <w:color w:val="172033"/>
                <w:sz w:val="15"/>
              </w:rPr>
              <w:t>PB-17</w:t>
            </w:r>
          </w:p>
        </w:tc>
        <w:tc>
          <w:tcPr>
            <w:tcW w:type="dxa" w:w="8260"/>
            <w:shd w:fill="FFFFFF"/>
            <w:vAlign w:val="top"/>
            <w:tcMar>
              <w:top w:w="70" w:type="dxa"/>
              <w:start w:w="105" w:type="dxa"/>
              <w:bottom w:w="70" w:type="dxa"/>
              <w:end w:w="105" w:type="dxa"/>
            </w:tcMar>
          </w:tcPr>
          <w:p>
            <w:pPr>
              <w:spacing w:after="20" w:line="240" w:lineRule="auto"/>
            </w:pPr>
            <w:r>
              <w:rPr>
                <w:rFonts w:ascii="Arial" w:hAnsi="Arial"/>
                <w:color w:val="172033"/>
                <w:sz w:val="15"/>
              </w:rPr>
              <w:t>Production rollback preserves audit, release, migration and user-impact evidence.</w:t>
            </w:r>
          </w:p>
        </w:tc>
      </w:tr>
      <w:tr>
        <w:tc>
          <w:tcPr>
            <w:tcW w:type="dxa" w:w="1100"/>
            <w:shd w:fill="F6F7F9"/>
            <w:vAlign w:val="top"/>
            <w:tcMar>
              <w:top w:w="70" w:type="dxa"/>
              <w:start w:w="105" w:type="dxa"/>
              <w:bottom w:w="70" w:type="dxa"/>
              <w:end w:w="105" w:type="dxa"/>
            </w:tcMar>
          </w:tcPr>
          <w:p>
            <w:pPr>
              <w:spacing w:after="20" w:line="240" w:lineRule="auto"/>
            </w:pPr>
            <w:r>
              <w:rPr>
                <w:rFonts w:ascii="Arial" w:hAnsi="Arial"/>
                <w:color w:val="172033"/>
                <w:sz w:val="15"/>
              </w:rPr>
              <w:t>PB-18</w:t>
            </w:r>
          </w:p>
        </w:tc>
        <w:tc>
          <w:tcPr>
            <w:tcW w:type="dxa" w:w="8260"/>
            <w:shd w:fill="F6F7F9"/>
            <w:vAlign w:val="top"/>
            <w:tcMar>
              <w:top w:w="70" w:type="dxa"/>
              <w:start w:w="105" w:type="dxa"/>
              <w:bottom w:w="70" w:type="dxa"/>
              <w:end w:w="105" w:type="dxa"/>
            </w:tcMar>
          </w:tcPr>
          <w:p>
            <w:pPr>
              <w:spacing w:after="20" w:line="240" w:lineRule="auto"/>
            </w:pPr>
            <w:r>
              <w:rPr>
                <w:rFonts w:ascii="Arial" w:hAnsi="Arial"/>
                <w:color w:val="172033"/>
                <w:sz w:val="15"/>
              </w:rPr>
              <w:t>Reference Lagos event operates through degraded connectivity with accessible recovery states.</w:t>
            </w:r>
          </w:p>
        </w:tc>
      </w:tr>
    </w:tbl>
    <w:p>
      <w:r>
        <w:br w:type="page"/>
      </w:r>
    </w:p>
    <w:p>
      <w:pPr>
        <w:pStyle w:val="Heading1"/>
      </w:pPr>
      <w:r>
        <w:t>29. Production release and post-launch gates</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10243E"/>
            <w:tcMar>
              <w:top w:w="70" w:type="dxa"/>
              <w:start w:w="105" w:type="dxa"/>
              <w:bottom w:w="70" w:type="dxa"/>
              <w:end w:w="105" w:type="dxa"/>
            </w:tcMar>
          </w:tcPr>
          <w:p>
            <w:r>
              <w:rPr>
                <w:rFonts w:ascii="Arial" w:hAnsi="Arial"/>
                <w:b/>
                <w:color w:val="FFFFFF"/>
                <w:sz w:val="17"/>
              </w:rPr>
              <w:t>Gate</w:t>
            </w:r>
          </w:p>
        </w:tc>
        <w:tc>
          <w:tcPr>
            <w:tcW w:type="dxa" w:w="7310"/>
            <w:shd w:fill="10243E"/>
            <w:tcMar>
              <w:top w:w="70" w:type="dxa"/>
              <w:start w:w="105" w:type="dxa"/>
              <w:bottom w:w="70" w:type="dxa"/>
              <w:end w:w="105" w:type="dxa"/>
            </w:tcMar>
          </w:tcPr>
          <w:p>
            <w:r>
              <w:rPr>
                <w:rFonts w:ascii="Arial" w:hAnsi="Arial"/>
                <w:b/>
                <w:color w:val="FFFFFF"/>
                <w:sz w:val="17"/>
              </w:rPr>
              <w:t>Evidence required</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Specification conformity</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All Academy specifications mapped; contradictions resolved or formally amended.</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Coverage</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All 30 modules and every mandatory role/critical competency have governed content and assessment coverage.</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Reference event</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End-to-end assignment, training, certification, package change, readiness and reconciliation pass.</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Independent acceptance</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Independent Acceptance Pack passes, including negative permissions and failure scenarios.</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Security/privacy</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Threat review, penetration findings, privileged review, incident exercise and ratified retention controls close.</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Operational readiness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Monitoring, support, on-call/escalation, backup/restore, rollback, vendor and continuity runbooks approved.</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Frontend readiness</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Role walkthroughs on target devices/networks; WCAG 2.2 AA and performance budgets pass.</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Data readiness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Production migrations, seed/governed content, reconciliation and rollback proven with receipts.</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Authority</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CEO ratifies reserved policy/risk decisions and production activation; technical/academic evidence remains independently verified.</w:t>
            </w:r>
          </w:p>
        </w:tc>
      </w:tr>
    </w:tbl>
    <w:p>
      <w:pPr>
        <w:pStyle w:val="Heading2"/>
      </w:pPr>
      <w:r>
        <w:t>29.1 Stabilisation period</w:t>
      </w:r>
    </w:p>
    <w:p>
      <w:pPr>
        <w:pStyle w:val="ListBullet"/>
        <w:spacing w:after="60"/>
        <w:ind w:left="547" w:hanging="274"/>
      </w:pPr>
      <w:r>
        <w:t>Use controlled cohorts and feature flags; do not weaken rules for launch convenience.</w:t>
      </w:r>
    </w:p>
    <w:p>
      <w:pPr>
        <w:pStyle w:val="ListBullet"/>
        <w:spacing w:after="60"/>
        <w:ind w:left="547" w:hanging="274"/>
      </w:pPr>
      <w:r>
        <w:t>Review security, assessment, certification, readiness, integration and support alerts daily during the initial operating period.</w:t>
      </w:r>
    </w:p>
    <w:p>
      <w:pPr>
        <w:pStyle w:val="ListBullet"/>
        <w:spacing w:after="60"/>
        <w:ind w:left="547" w:hanging="274"/>
      </w:pPr>
      <w:r>
        <w:t>Hold formal 7-day and 30-day reviews; assign root-cause actions and govern any content changes.</w:t>
      </w:r>
    </w:p>
    <w:p>
      <w:pPr>
        <w:pStyle w:val="ListBullet"/>
        <w:spacing w:after="60"/>
        <w:ind w:left="547" w:hanging="274"/>
      </w:pPr>
      <w:r>
        <w:t>Exit stabilisation only when error budgets, queues, reconciliation, user support and critical risks are within approved limits.</w:t>
      </w:r>
    </w:p>
    <w:p>
      <w:r>
        <w:br w:type="page"/>
      </w:r>
    </w:p>
    <w:p>
      <w:pPr>
        <w:pStyle w:val="Heading1"/>
      </w:pPr>
      <w:r>
        <w:t>30. Definition of build complete</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10243E"/>
            <w:tcMar>
              <w:top w:w="70" w:type="dxa"/>
              <w:start w:w="105" w:type="dxa"/>
              <w:bottom w:w="70" w:type="dxa"/>
              <w:end w:w="105" w:type="dxa"/>
            </w:tcMar>
          </w:tcPr>
          <w:p>
            <w:r>
              <w:rPr>
                <w:rFonts w:ascii="Arial" w:hAnsi="Arial"/>
                <w:b/>
                <w:color w:val="FFFFFF"/>
                <w:sz w:val="17"/>
              </w:rPr>
              <w:t>Release gate</w:t>
            </w:r>
          </w:p>
        </w:tc>
        <w:tc>
          <w:tcPr>
            <w:tcW w:type="dxa" w:w="7310"/>
            <w:shd w:fill="10243E"/>
            <w:tcMar>
              <w:top w:w="70" w:type="dxa"/>
              <w:start w:w="105" w:type="dxa"/>
              <w:bottom w:w="70" w:type="dxa"/>
              <w:end w:w="105" w:type="dxa"/>
            </w:tcMar>
          </w:tcPr>
          <w:p>
            <w:r>
              <w:rPr>
                <w:rFonts w:ascii="Arial" w:hAnsi="Arial"/>
                <w:b/>
                <w:color w:val="FFFFFF"/>
                <w:sz w:val="17"/>
              </w:rPr>
              <w:t>Completion evidence</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Platform</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Independent deployment, identity, tenant/event scoping and environment controls proven</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People and paths</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Correct enrolment, role change, equivalence and provisional-state behaviour proven</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Knowledge/content</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Thirty modules governed, versioned, traceable and safely changeable</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Learning</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Accessible, mobile, low-bandwidth delivery and trustworthy progress proven</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Assessment</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Difficult banks, immutable attempts, objective/manual marking, retakes and integrity controls proven</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Certification</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80/90/critical rules and full lifecycle proven</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Event readiness</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Approved package, event-scoped evaluation and minimum OS return proven</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Intelligence</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Actionable, fresh, privacy-safe gaps, coverage and event risk proven</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Security/privacy</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Least privilege, audit, rights, retention, incident and recovery controls proven</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Frontend</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All role workspaces and states usable—not merely visually complete</w:t>
            </w:r>
          </w:p>
        </w:tc>
      </w:tr>
      <w:tr>
        <w:tc>
          <w:tcPr>
            <w:tcW w:type="dxa" w:w="2050"/>
            <w:shd w:fill="FFFFFF"/>
            <w:vAlign w:val="top"/>
            <w:tcMar>
              <w:top w:w="70" w:type="dxa"/>
              <w:start w:w="105" w:type="dxa"/>
              <w:bottom w:w="70" w:type="dxa"/>
              <w:end w:w="105" w:type="dxa"/>
            </w:tcMar>
          </w:tcPr>
          <w:p>
            <w:pPr>
              <w:spacing w:after="20" w:line="240" w:lineRule="auto"/>
            </w:pPr>
            <w:r>
              <w:rPr>
                <w:rFonts w:ascii="Arial" w:hAnsi="Arial"/>
                <w:color w:val="172033"/>
                <w:sz w:val="16"/>
              </w:rPr>
              <w:t>Operations</w:t>
            </w:r>
          </w:p>
        </w:tc>
        <w:tc>
          <w:tcPr>
            <w:tcW w:type="dxa" w:w="7310"/>
            <w:shd w:fill="FFFFFF"/>
            <w:vAlign w:val="top"/>
            <w:tcMar>
              <w:top w:w="70" w:type="dxa"/>
              <w:start w:w="105" w:type="dxa"/>
              <w:bottom w:w="70" w:type="dxa"/>
              <w:end w:w="105" w:type="dxa"/>
            </w:tcMar>
          </w:tcPr>
          <w:p>
            <w:pPr>
              <w:spacing w:after="20" w:line="240" w:lineRule="auto"/>
            </w:pPr>
            <w:r>
              <w:rPr>
                <w:rFonts w:ascii="Arial" w:hAnsi="Arial"/>
                <w:color w:val="172033"/>
                <w:sz w:val="16"/>
              </w:rPr>
              <w:t>Monitoring, support, migration, rollback, backup and reconciliation proven</w:t>
            </w:r>
          </w:p>
        </w:tc>
      </w:tr>
      <w:tr>
        <w:tc>
          <w:tcPr>
            <w:tcW w:type="dxa" w:w="2050"/>
            <w:shd w:fill="F6F7F9"/>
            <w:vAlign w:val="top"/>
            <w:tcMar>
              <w:top w:w="70" w:type="dxa"/>
              <w:start w:w="105" w:type="dxa"/>
              <w:bottom w:w="70" w:type="dxa"/>
              <w:end w:w="105" w:type="dxa"/>
            </w:tcMar>
          </w:tcPr>
          <w:p>
            <w:pPr>
              <w:spacing w:after="20" w:line="240" w:lineRule="auto"/>
            </w:pPr>
            <w:r>
              <w:rPr>
                <w:rFonts w:ascii="Arial" w:hAnsi="Arial"/>
                <w:color w:val="172033"/>
                <w:sz w:val="16"/>
              </w:rPr>
              <w:t>Acceptance</w:t>
            </w:r>
          </w:p>
        </w:tc>
        <w:tc>
          <w:tcPr>
            <w:tcW w:type="dxa" w:w="7310"/>
            <w:shd w:fill="F6F7F9"/>
            <w:vAlign w:val="top"/>
            <w:tcMar>
              <w:top w:w="70" w:type="dxa"/>
              <w:start w:w="105" w:type="dxa"/>
              <w:bottom w:w="70" w:type="dxa"/>
              <w:end w:w="105" w:type="dxa"/>
            </w:tcMar>
          </w:tcPr>
          <w:p>
            <w:pPr>
              <w:spacing w:after="20" w:line="240" w:lineRule="auto"/>
            </w:pPr>
            <w:r>
              <w:rPr>
                <w:rFonts w:ascii="Arial" w:hAnsi="Arial"/>
                <w:color w:val="172033"/>
                <w:sz w:val="16"/>
              </w:rPr>
              <w:t>Programme scenarios and independent pack pass; CEO production decision recorded</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05" w:type="dxa"/>
              <w:bottom w:w="70" w:type="dxa"/>
              <w:end w:w="105" w:type="dxa"/>
            </w:tcMar>
          </w:tcPr>
          <w:p>
            <w:r>
              <w:rPr>
                <w:rFonts w:ascii="Arial" w:hAnsi="Arial"/>
                <w:b/>
                <w:color w:val="FFFFFF"/>
                <w:sz w:val="17"/>
              </w:rPr>
              <w:t>DONE MEANS OPERABLE COMPETENCE</w:t>
            </w:r>
          </w:p>
        </w:tc>
      </w:tr>
      <w:tr>
        <w:tc>
          <w:tcPr>
            <w:tcW w:type="dxa" w:w="9360"/>
            <w:shd w:fill="F7F2EC"/>
            <w:vAlign w:val="top"/>
            <w:tcMar>
              <w:top w:w="70" w:type="dxa"/>
              <w:start w:w="105" w:type="dxa"/>
              <w:bottom w:w="70" w:type="dxa"/>
              <w:end w:w="105" w:type="dxa"/>
            </w:tcMar>
          </w:tcPr>
          <w:p>
            <w:pPr>
              <w:spacing w:after="20" w:line="240" w:lineRule="auto"/>
            </w:pPr>
            <w:r>
              <w:rPr>
                <w:rFonts w:ascii="Arial" w:hAnsi="Arial"/>
                <w:color w:val="172033"/>
                <w:sz w:val="18"/>
              </w:rPr>
              <w:t>The Academy is complete only when Maison Doclar can teach the approved standard, test difficult judgment, certify defensibly, prepare a person for a specific event, identify risk early and prove every material decision—through a frontend people can actually use.</w:t>
            </w:r>
          </w:p>
        </w:tc>
      </w:tr>
    </w:tbl>
    <w:p>
      <w:pPr>
        <w:pStyle w:val="Heading2"/>
      </w:pPr>
      <w:r>
        <w:t>30.1 Ratification record</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10243E"/>
            <w:tcMar>
              <w:top w:w="70" w:type="dxa"/>
              <w:start w:w="105" w:type="dxa"/>
              <w:bottom w:w="70" w:type="dxa"/>
              <w:end w:w="105" w:type="dxa"/>
            </w:tcMar>
          </w:tcPr>
          <w:p>
            <w:r>
              <w:rPr>
                <w:rFonts w:ascii="Arial" w:hAnsi="Arial"/>
                <w:b/>
                <w:color w:val="FFFFFF"/>
                <w:sz w:val="17"/>
              </w:rPr>
              <w:t>Field</w:t>
            </w:r>
          </w:p>
        </w:tc>
        <w:tc>
          <w:tcPr>
            <w:tcW w:type="dxa" w:w="7160"/>
            <w:shd w:fill="10243E"/>
            <w:tcMar>
              <w:top w:w="70" w:type="dxa"/>
              <w:start w:w="105" w:type="dxa"/>
              <w:bottom w:w="70" w:type="dxa"/>
              <w:end w:w="105" w:type="dxa"/>
            </w:tcMar>
          </w:tcPr>
          <w:p>
            <w:r>
              <w:rPr>
                <w:rFonts w:ascii="Arial" w:hAnsi="Arial"/>
                <w:b/>
                <w:color w:val="FFFFFF"/>
                <w:sz w:val="17"/>
              </w:rPr>
              <w:t>Value</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8"/>
              </w:rPr>
              <w:t>Document / version</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8"/>
              </w:rPr>
              <w:t>Maison Doclar Academy Production Build Sequence / v1.0</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8"/>
              </w:rPr>
              <w:t>Decision</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8"/>
              </w:rPr>
              <w:t>Approve / Approve with amendments / Return for revision</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8"/>
              </w:rPr>
              <w:t>Product and engineering review</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8"/>
              </w:rPr>
              <w:t>____________________________________________</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8"/>
              </w:rPr>
              <w:t>Security/privacy review</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8"/>
              </w:rPr>
              <w:t>____________________________________________</w:t>
            </w:r>
          </w:p>
        </w:tc>
      </w:tr>
      <w:tr>
        <w:tc>
          <w:tcPr>
            <w:tcW w:type="dxa" w:w="2200"/>
            <w:shd w:fill="FFFFFF"/>
            <w:vAlign w:val="top"/>
            <w:tcMar>
              <w:top w:w="70" w:type="dxa"/>
              <w:start w:w="105" w:type="dxa"/>
              <w:bottom w:w="70" w:type="dxa"/>
              <w:end w:w="105" w:type="dxa"/>
            </w:tcMar>
          </w:tcPr>
          <w:p>
            <w:pPr>
              <w:spacing w:after="20" w:line="240" w:lineRule="auto"/>
            </w:pPr>
            <w:r>
              <w:rPr>
                <w:rFonts w:ascii="Arial" w:hAnsi="Arial"/>
                <w:color w:val="172033"/>
                <w:sz w:val="18"/>
              </w:rPr>
              <w:t>CEO signature / date</w:t>
            </w:r>
          </w:p>
        </w:tc>
        <w:tc>
          <w:tcPr>
            <w:tcW w:type="dxa" w:w="7160"/>
            <w:shd w:fill="FFFFFF"/>
            <w:vAlign w:val="top"/>
            <w:tcMar>
              <w:top w:w="70" w:type="dxa"/>
              <w:start w:w="105" w:type="dxa"/>
              <w:bottom w:w="70" w:type="dxa"/>
              <w:end w:w="105" w:type="dxa"/>
            </w:tcMar>
          </w:tcPr>
          <w:p>
            <w:pPr>
              <w:spacing w:after="20" w:line="240" w:lineRule="auto"/>
            </w:pPr>
            <w:r>
              <w:rPr>
                <w:rFonts w:ascii="Arial" w:hAnsi="Arial"/>
                <w:color w:val="172033"/>
                <w:sz w:val="18"/>
              </w:rPr>
              <w:t>____________________________________________</w:t>
            </w:r>
          </w:p>
        </w:tc>
      </w:tr>
      <w:tr>
        <w:tc>
          <w:tcPr>
            <w:tcW w:type="dxa" w:w="2200"/>
            <w:shd w:fill="F6F7F9"/>
            <w:vAlign w:val="top"/>
            <w:tcMar>
              <w:top w:w="70" w:type="dxa"/>
              <w:start w:w="105" w:type="dxa"/>
              <w:bottom w:w="70" w:type="dxa"/>
              <w:end w:w="105" w:type="dxa"/>
            </w:tcMar>
          </w:tcPr>
          <w:p>
            <w:pPr>
              <w:spacing w:after="20" w:line="240" w:lineRule="auto"/>
            </w:pPr>
            <w:r>
              <w:rPr>
                <w:rFonts w:ascii="Arial" w:hAnsi="Arial"/>
                <w:color w:val="172033"/>
                <w:sz w:val="18"/>
              </w:rPr>
              <w:t>Effective from</w:t>
            </w:r>
          </w:p>
        </w:tc>
        <w:tc>
          <w:tcPr>
            <w:tcW w:type="dxa" w:w="7160"/>
            <w:shd w:fill="F6F7F9"/>
            <w:vAlign w:val="top"/>
            <w:tcMar>
              <w:top w:w="70" w:type="dxa"/>
              <w:start w:w="105" w:type="dxa"/>
              <w:bottom w:w="70" w:type="dxa"/>
              <w:end w:w="105" w:type="dxa"/>
            </w:tcMar>
          </w:tcPr>
          <w:p>
            <w:pPr>
              <w:spacing w:after="20" w:line="240" w:lineRule="auto"/>
            </w:pPr>
            <w:r>
              <w:rPr>
                <w:rFonts w:ascii="Arial" w:hAnsi="Arial"/>
                <w:color w:val="172033"/>
                <w:sz w:val="18"/>
              </w:rPr>
              <w:t>____________________________________________</w:t>
            </w:r>
          </w:p>
        </w:tc>
      </w:tr>
    </w:tbl>
    <w:p>
      <w:pPr>
        <w:spacing w:after="0"/>
        <w:jc w:val="center"/>
      </w:pPr>
      <w:r>
        <w:rPr>
          <w:rFonts w:ascii="Arial" w:hAnsi="Arial"/>
          <w:b/>
          <w:color w:val="667085"/>
          <w:sz w:val="17"/>
        </w:rPr>
        <w:t>End of controlled document.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6"/>
      </w:rPr>
      <w:t xml:space="preserve">Controlled document  |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667085"/>
        <w:sz w:val="17"/>
      </w:rPr>
      <w:t>MAISON DOCLAR  /  ACADEMY PRODUCTION BUILD SEQUENCE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rPr>
      <w:rFonts w:ascii="Arial" w:hAnsi="Arial"/>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0243E"/>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E4B7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B79F8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rPr>
      <w:rFonts w:ascii="Arial" w:hAnsi="Arial"/>
    </w:rPr>
  </w:style>
  <w:style w:type="table" w:default="1" w:styleId="TableNormal">
    <w:name w:val="Normal Table"/>
    <w:uiPriority w:val="99"/>
    <w:semiHidden/>
    <w:unhideWhenUsed/>
    <w:rPr>
      <w:rFonts w:ascii="Arial" w:hAnsi="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0243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Academy Production Build Sequence</dc:title>
  <dc:subject>Efficient vertical slices, dependencies, evidence and completion gates</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