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pPr>
      <w:r>
        <w:rPr>
          <w:rFonts w:ascii="Arial" w:hAnsi="Arial"/>
          <w:b/>
          <w:color w:val="B79F85"/>
          <w:sz w:val="18"/>
        </w:rPr>
        <w:t>INDEPENDENT ACCEPTANCE</w:t>
      </w:r>
    </w:p>
    <w:p>
      <w:pPr>
        <w:pStyle w:val="Title"/>
        <w:widowControl/>
      </w:pPr>
      <w:r>
        <w:rPr>
          <w:rFonts w:ascii="Arial" w:hAnsi="Arial"/>
          <w:b w:val="0"/>
        </w:rPr>
        <w:t>Academy Independent Acceptance Pack</w:t>
      </w:r>
    </w:p>
    <w:p>
      <w:pPr>
        <w:pStyle w:val="Subtitle"/>
        <w:widowControl/>
      </w:pPr>
      <w:r>
        <w:rPr>
          <w:rFonts w:ascii="Arial" w:hAnsi="Arial"/>
          <w:b w:val="0"/>
        </w:rPr>
        <w:t>Independent proof that the Academy is correct, usable, secure and production-ready</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Owner</w:t>
            </w:r>
          </w:p>
        </w:tc>
        <w:tc>
          <w:tcPr>
            <w:tcW w:type="dxa" w:w="7310"/>
            <w:vAlign w:val="top"/>
            <w:shd w:fill="FFFFFF"/>
          </w:tcPr>
          <w:p>
            <w:pPr>
              <w:spacing w:after="40"/>
            </w:pPr>
            <w:r>
              <w:rPr>
                <w:rFonts w:ascii="Arial" w:hAnsi="Arial"/>
                <w:b w:val="0"/>
                <w:color w:val="17212B"/>
                <w:sz w:val="16"/>
              </w:rPr>
              <w:t>CEO / Academy Governance</w:t>
            </w:r>
          </w:p>
        </w:tc>
      </w:tr>
      <w:tr>
        <w:tc>
          <w:tcPr>
            <w:tcW w:type="dxa" w:w="2050"/>
            <w:vAlign w:val="top"/>
            <w:shd w:fill="F8FAFC"/>
          </w:tcPr>
          <w:p>
            <w:pPr>
              <w:spacing w:after="40"/>
            </w:pPr>
            <w:r>
              <w:rPr>
                <w:rFonts w:ascii="Arial" w:hAnsi="Arial"/>
                <w:b w:val="0"/>
                <w:color w:val="17212B"/>
                <w:sz w:val="16"/>
              </w:rPr>
              <w:t>Version</w:t>
            </w:r>
          </w:p>
        </w:tc>
        <w:tc>
          <w:tcPr>
            <w:tcW w:type="dxa" w:w="7310"/>
            <w:vAlign w:val="top"/>
            <w:shd w:fill="F8FAFC"/>
          </w:tcPr>
          <w:p>
            <w:pPr>
              <w:spacing w:after="40"/>
            </w:pPr>
            <w:r>
              <w:rPr>
                <w:rFonts w:ascii="Arial" w:hAnsi="Arial"/>
                <w:b w:val="0"/>
                <w:color w:val="17212B"/>
                <w:sz w:val="16"/>
              </w:rPr>
              <w:t>1.0</w:t>
            </w:r>
          </w:p>
        </w:tc>
      </w:tr>
      <w:tr>
        <w:tc>
          <w:tcPr>
            <w:tcW w:type="dxa" w:w="2050"/>
            <w:vAlign w:val="top"/>
            <w:shd w:fill="FFFFFF"/>
          </w:tcPr>
          <w:p>
            <w:pPr>
              <w:spacing w:after="40"/>
            </w:pPr>
            <w:r>
              <w:rPr>
                <w:rFonts w:ascii="Arial" w:hAnsi="Arial"/>
                <w:b w:val="0"/>
                <w:color w:val="17212B"/>
                <w:sz w:val="16"/>
              </w:rPr>
              <w:t>Status</w:t>
            </w:r>
          </w:p>
        </w:tc>
        <w:tc>
          <w:tcPr>
            <w:tcW w:type="dxa" w:w="7310"/>
            <w:vAlign w:val="top"/>
            <w:shd w:fill="FFFFFF"/>
          </w:tcPr>
          <w:p>
            <w:pPr>
              <w:spacing w:after="40"/>
            </w:pPr>
            <w:r>
              <w:rPr>
                <w:rFonts w:ascii="Arial" w:hAnsi="Arial"/>
                <w:b w:val="0"/>
                <w:color w:val="17212B"/>
                <w:sz w:val="16"/>
              </w:rPr>
              <w:t>Final controlled draft for ratification</w:t>
            </w:r>
          </w:p>
        </w:tc>
      </w:tr>
      <w:tr>
        <w:tc>
          <w:tcPr>
            <w:tcW w:type="dxa" w:w="2050"/>
            <w:vAlign w:val="top"/>
            <w:shd w:fill="F8FAFC"/>
          </w:tcPr>
          <w:p>
            <w:pPr>
              <w:spacing w:after="40"/>
            </w:pPr>
            <w:r>
              <w:rPr>
                <w:rFonts w:ascii="Arial" w:hAnsi="Arial"/>
                <w:b w:val="0"/>
                <w:color w:val="17212B"/>
                <w:sz w:val="16"/>
              </w:rPr>
              <w:t>Date</w:t>
            </w:r>
          </w:p>
        </w:tc>
        <w:tc>
          <w:tcPr>
            <w:tcW w:type="dxa" w:w="7310"/>
            <w:vAlign w:val="top"/>
            <w:shd w:fill="F8FAFC"/>
          </w:tcPr>
          <w:p>
            <w:pPr>
              <w:spacing w:after="40"/>
            </w:pPr>
            <w:r>
              <w:rPr>
                <w:rFonts w:ascii="Arial" w:hAnsi="Arial"/>
                <w:b w:val="0"/>
                <w:color w:val="17212B"/>
                <w:sz w:val="16"/>
              </w:rPr>
              <w:t>3 September 2026</w:t>
            </w:r>
          </w:p>
        </w:tc>
      </w:tr>
      <w:tr>
        <w:tc>
          <w:tcPr>
            <w:tcW w:type="dxa" w:w="2050"/>
            <w:vAlign w:val="top"/>
            <w:shd w:fill="FFFFFF"/>
          </w:tcPr>
          <w:p>
            <w:pPr>
              <w:spacing w:after="40"/>
            </w:pPr>
            <w:r>
              <w:rPr>
                <w:rFonts w:ascii="Arial" w:hAnsi="Arial"/>
                <w:b w:val="0"/>
                <w:color w:val="17212B"/>
                <w:sz w:val="16"/>
              </w:rPr>
              <w:t>Authority</w:t>
            </w:r>
          </w:p>
        </w:tc>
        <w:tc>
          <w:tcPr>
            <w:tcW w:type="dxa" w:w="7310"/>
            <w:vAlign w:val="top"/>
            <w:shd w:fill="FFFFFF"/>
          </w:tcPr>
          <w:p>
            <w:pPr>
              <w:spacing w:after="40"/>
            </w:pPr>
            <w:r>
              <w:rPr>
                <w:rFonts w:ascii="Arial" w:hAnsi="Arial"/>
                <w:b w:val="0"/>
                <w:color w:val="17212B"/>
                <w:sz w:val="16"/>
              </w:rPr>
              <w:t>Academy Canonical Blueprint and ratified Academy specifications</w:t>
            </w:r>
          </w:p>
        </w:tc>
      </w:tr>
    </w:tbl>
    <w:p>
      <w:pPr>
        <w:pStyle w:val="Heading1"/>
        <w:widowControl/>
      </w:pPr>
      <w:r>
        <w:rPr>
          <w:rFonts w:ascii="Arial" w:hAnsi="Arial"/>
          <w:b w:val="0"/>
        </w:rPr>
        <w:t>1. Purpose and decision authority</w:t>
      </w:r>
    </w:p>
    <w:p>
      <w:pPr>
        <w:widowControl/>
      </w:pPr>
      <w:r>
        <w:rPr>
          <w:rFonts w:ascii="Arial" w:hAnsi="Arial"/>
          <w:b w:val="0"/>
        </w:rPr>
        <w:t>This pack is the binding review method for Gate 0, every build slice, every material Academy release and the full 30-module production population. It tests implementation and evidence; it does not replace the canonical specifications or confer production authority.</w:t>
      </w:r>
    </w:p>
    <w:tbl>
      <w:tblPr>
        <w:tblW w:type="dxa" w:w="9360"/>
        <w:jc w:val="left"/>
        <w:tblLayout w:type="fixed"/>
        <w:tblLook w:firstColumn="1" w:firstRow="1" w:lastColumn="0" w:lastRow="0" w:noHBand="0" w:noVBand="1" w:val="04A0"/>
        <w:tblInd w:w="120" w:type="dxa"/>
      </w:tblPr>
      <w:tblGrid>
        <w:gridCol w:w="9360"/>
      </w:tblGrid>
      <w:tr>
        <w:tc>
          <w:tcPr>
            <w:tcW w:type="dxa" w:w="9360"/>
            <w:shd w:fill="F5F1EA"/>
          </w:tcPr>
          <w:p>
            <w:r>
              <w:rPr>
                <w:rFonts w:ascii="Arial" w:hAnsi="Arial"/>
                <w:b/>
                <w:color w:val="8E2E2E"/>
                <w:sz w:val="18"/>
              </w:rPr>
              <w:t xml:space="preserve">ACCEPTANCE LAW  </w:t>
            </w:r>
            <w:r>
              <w:rPr>
                <w:rFonts w:ascii="Arial" w:hAnsi="Arial"/>
                <w:sz w:val="18"/>
              </w:rPr>
              <w:t>A green build, demonstration, screenshot or AI summary is not acceptance. The reviewer must reproduce the claimed result from the exact candidate and must test the human journey, system behavior, failure path and evidence trail.</w:t>
            </w:r>
          </w:p>
        </w:tc>
      </w:tr>
    </w:tbl>
    <w:tbl>
      <w:tblPr>
        <w:tblStyle w:val="TableGrid"/>
        <w:tblW w:type="dxa" w:w="9360"/>
        <w:jc w:val="left"/>
        <w:tblLayout w:type="fixed"/>
        <w:tblLook w:firstColumn="1" w:firstRow="1" w:lastColumn="0" w:lastRow="0" w:noHBand="0" w:noVBand="1" w:val="04A0"/>
        <w:tblInd w:w="120" w:type="dxa"/>
      </w:tblPr>
      <w:tblGrid>
        <w:gridCol w:w="1600"/>
        <w:gridCol w:w="3860"/>
        <w:gridCol w:w="3900"/>
      </w:tblGrid>
      <w:tr>
        <w:tc>
          <w:tcPr>
            <w:tcW w:type="dxa" w:w="1600"/>
            <w:vAlign w:val="top"/>
            <w:shd w:fill="E8EEF5"/>
          </w:tcPr>
          <w:p>
            <w:pPr>
              <w:spacing w:after="40"/>
            </w:pPr>
            <w:r>
              <w:rPr>
                <w:rFonts w:ascii="Arial" w:hAnsi="Arial"/>
                <w:b/>
                <w:color w:val="10243E"/>
                <w:sz w:val="15"/>
              </w:rPr>
              <w:t>Decision</w:t>
            </w:r>
          </w:p>
        </w:tc>
        <w:tc>
          <w:tcPr>
            <w:tcW w:type="dxa" w:w="3860"/>
            <w:vAlign w:val="top"/>
            <w:shd w:fill="E8EEF5"/>
          </w:tcPr>
          <w:p>
            <w:pPr>
              <w:spacing w:after="40"/>
            </w:pPr>
            <w:r>
              <w:rPr>
                <w:rFonts w:ascii="Arial" w:hAnsi="Arial"/>
                <w:b/>
                <w:color w:val="10243E"/>
                <w:sz w:val="15"/>
              </w:rPr>
              <w:t>Meaning</w:t>
            </w:r>
          </w:p>
        </w:tc>
        <w:tc>
          <w:tcPr>
            <w:tcW w:type="dxa" w:w="3900"/>
            <w:vAlign w:val="top"/>
            <w:shd w:fill="E8EEF5"/>
          </w:tcPr>
          <w:p>
            <w:pPr>
              <w:spacing w:after="40"/>
            </w:pPr>
            <w:r>
              <w:rPr>
                <w:rFonts w:ascii="Arial" w:hAnsi="Arial"/>
                <w:b/>
                <w:color w:val="10243E"/>
                <w:sz w:val="15"/>
              </w:rPr>
              <w:t>Next action</w:t>
            </w:r>
          </w:p>
        </w:tc>
      </w:tr>
      <w:tr>
        <w:tc>
          <w:tcPr>
            <w:tcW w:type="dxa" w:w="1600"/>
            <w:vAlign w:val="top"/>
            <w:shd w:fill="FFFFFF"/>
          </w:tcPr>
          <w:p>
            <w:pPr>
              <w:spacing w:after="40"/>
            </w:pPr>
            <w:r>
              <w:rPr>
                <w:rFonts w:ascii="Arial" w:hAnsi="Arial"/>
                <w:b w:val="0"/>
                <w:color w:val="17212B"/>
                <w:sz w:val="15"/>
              </w:rPr>
              <w:t>ACCEPT</w:t>
            </w:r>
          </w:p>
        </w:tc>
        <w:tc>
          <w:tcPr>
            <w:tcW w:type="dxa" w:w="3860"/>
            <w:vAlign w:val="top"/>
            <w:shd w:fill="FFFFFF"/>
          </w:tcPr>
          <w:p>
            <w:pPr>
              <w:spacing w:after="40"/>
            </w:pPr>
            <w:r>
              <w:rPr>
                <w:rFonts w:ascii="Arial" w:hAnsi="Arial"/>
                <w:b w:val="0"/>
                <w:color w:val="17212B"/>
                <w:sz w:val="15"/>
              </w:rPr>
              <w:t>All applicable requirements proven; no critical/high defect or unresolved contradiction.</w:t>
            </w:r>
          </w:p>
        </w:tc>
        <w:tc>
          <w:tcPr>
            <w:tcW w:type="dxa" w:w="3900"/>
            <w:vAlign w:val="top"/>
            <w:shd w:fill="FFFFFF"/>
          </w:tcPr>
          <w:p>
            <w:pPr>
              <w:spacing w:after="40"/>
            </w:pPr>
            <w:r>
              <w:rPr>
                <w:rFonts w:ascii="Arial" w:hAnsi="Arial"/>
                <w:b w:val="0"/>
                <w:color w:val="17212B"/>
                <w:sz w:val="15"/>
              </w:rPr>
              <w:t>Authorise the next prompt/slice or submit the exact candidate for CEO release.</w:t>
            </w:r>
          </w:p>
        </w:tc>
      </w:tr>
      <w:tr>
        <w:tc>
          <w:tcPr>
            <w:tcW w:type="dxa" w:w="1600"/>
            <w:vAlign w:val="top"/>
            <w:shd w:fill="F8FAFC"/>
          </w:tcPr>
          <w:p>
            <w:pPr>
              <w:spacing w:after="40"/>
            </w:pPr>
            <w:r>
              <w:rPr>
                <w:rFonts w:ascii="Arial" w:hAnsi="Arial"/>
                <w:b w:val="0"/>
                <w:color w:val="17212B"/>
                <w:sz w:val="15"/>
              </w:rPr>
              <w:t>CORRECTION REQUIRED</w:t>
            </w:r>
          </w:p>
        </w:tc>
        <w:tc>
          <w:tcPr>
            <w:tcW w:type="dxa" w:w="3860"/>
            <w:vAlign w:val="top"/>
            <w:shd w:fill="F8FAFC"/>
          </w:tcPr>
          <w:p>
            <w:pPr>
              <w:spacing w:after="40"/>
            </w:pPr>
            <w:r>
              <w:rPr>
                <w:rFonts w:ascii="Arial" w:hAnsi="Arial"/>
                <w:b w:val="0"/>
                <w:color w:val="17212B"/>
                <w:sz w:val="15"/>
              </w:rPr>
              <w:t>One or more current-gate requirements are unproven or defective.</w:t>
            </w:r>
          </w:p>
        </w:tc>
        <w:tc>
          <w:tcPr>
            <w:tcW w:type="dxa" w:w="3900"/>
            <w:vAlign w:val="top"/>
            <w:shd w:fill="F8FAFC"/>
          </w:tcPr>
          <w:p>
            <w:pPr>
              <w:spacing w:after="40"/>
            </w:pPr>
            <w:r>
              <w:rPr>
                <w:rFonts w:ascii="Arial" w:hAnsi="Arial"/>
                <w:b w:val="0"/>
                <w:color w:val="17212B"/>
                <w:sz w:val="15"/>
              </w:rPr>
              <w:t>Return with defect IDs; remediate and rerun affected and regression tests.</w:t>
            </w:r>
          </w:p>
        </w:tc>
      </w:tr>
      <w:tr>
        <w:tc>
          <w:tcPr>
            <w:tcW w:type="dxa" w:w="1600"/>
            <w:vAlign w:val="top"/>
            <w:shd w:fill="FFFFFF"/>
          </w:tcPr>
          <w:p>
            <w:pPr>
              <w:spacing w:after="40"/>
            </w:pPr>
            <w:r>
              <w:rPr>
                <w:rFonts w:ascii="Arial" w:hAnsi="Arial"/>
                <w:b w:val="0"/>
                <w:color w:val="17212B"/>
                <w:sz w:val="15"/>
              </w:rPr>
              <w:t>BLOCKED</w:t>
            </w:r>
          </w:p>
        </w:tc>
        <w:tc>
          <w:tcPr>
            <w:tcW w:type="dxa" w:w="3860"/>
            <w:vAlign w:val="top"/>
            <w:shd w:fill="FFFFFF"/>
          </w:tcPr>
          <w:p>
            <w:pPr>
              <w:spacing w:after="40"/>
            </w:pPr>
            <w:r>
              <w:rPr>
                <w:rFonts w:ascii="Arial" w:hAnsi="Arial"/>
                <w:b w:val="0"/>
                <w:color w:val="17212B"/>
                <w:sz w:val="15"/>
              </w:rPr>
              <w:t>Evidence cannot be obtained because authority, environment or dependency is missing.</w:t>
            </w:r>
          </w:p>
        </w:tc>
        <w:tc>
          <w:tcPr>
            <w:tcW w:type="dxa" w:w="3900"/>
            <w:vAlign w:val="top"/>
            <w:shd w:fill="FFFFFF"/>
          </w:tcPr>
          <w:p>
            <w:pPr>
              <w:spacing w:after="40"/>
            </w:pPr>
            <w:r>
              <w:rPr>
                <w:rFonts w:ascii="Arial" w:hAnsi="Arial"/>
                <w:b w:val="0"/>
                <w:color w:val="17212B"/>
                <w:sz w:val="15"/>
              </w:rPr>
              <w:t>Name owner and stop; do not waive silently.</w:t>
            </w:r>
          </w:p>
        </w:tc>
      </w:tr>
      <w:tr>
        <w:tc>
          <w:tcPr>
            <w:tcW w:type="dxa" w:w="1600"/>
            <w:vAlign w:val="top"/>
            <w:shd w:fill="F8FAFC"/>
          </w:tcPr>
          <w:p>
            <w:pPr>
              <w:spacing w:after="40"/>
            </w:pPr>
            <w:r>
              <w:rPr>
                <w:rFonts w:ascii="Arial" w:hAnsi="Arial"/>
                <w:b w:val="0"/>
                <w:color w:val="17212B"/>
                <w:sz w:val="15"/>
              </w:rPr>
              <w:t>REJECT</w:t>
            </w:r>
          </w:p>
        </w:tc>
        <w:tc>
          <w:tcPr>
            <w:tcW w:type="dxa" w:w="3860"/>
            <w:vAlign w:val="top"/>
            <w:shd w:fill="F8FAFC"/>
          </w:tcPr>
          <w:p>
            <w:pPr>
              <w:spacing w:after="40"/>
            </w:pPr>
            <w:r>
              <w:rPr>
                <w:rFonts w:ascii="Arial" w:hAnsi="Arial"/>
                <w:b w:val="0"/>
                <w:color w:val="17212B"/>
                <w:sz w:val="15"/>
              </w:rPr>
              <w:t>Candidate violates a hard law, has unreliable evidence or cannot be safely corrected in scope.</w:t>
            </w:r>
          </w:p>
        </w:tc>
        <w:tc>
          <w:tcPr>
            <w:tcW w:type="dxa" w:w="3900"/>
            <w:vAlign w:val="top"/>
            <w:shd w:fill="F8FAFC"/>
          </w:tcPr>
          <w:p>
            <w:pPr>
              <w:spacing w:after="40"/>
            </w:pPr>
            <w:r>
              <w:rPr>
                <w:rFonts w:ascii="Arial" w:hAnsi="Arial"/>
                <w:b w:val="0"/>
                <w:color w:val="17212B"/>
                <w:sz w:val="15"/>
              </w:rPr>
              <w:t>Withdraw candidate and reopen design/implementation decision.</w:t>
            </w:r>
          </w:p>
        </w:tc>
      </w:tr>
    </w:tbl>
    <w:p>
      <w:pPr>
        <w:pStyle w:val="Heading1"/>
        <w:widowControl/>
      </w:pPr>
      <w:r>
        <w:rPr>
          <w:rFonts w:ascii="Arial" w:hAnsi="Arial"/>
          <w:b w:val="0"/>
        </w:rPr>
        <w:t>2. Independence and admissibility</w:t>
      </w:r>
    </w:p>
    <w:p>
      <w:pPr>
        <w:pStyle w:val="ListBullet"/>
        <w:widowControl/>
      </w:pPr>
      <w:r>
        <w:rPr>
          <w:rFonts w:ascii="Arial" w:hAnsi="Arial"/>
          <w:b w:val="0"/>
        </w:rPr>
        <w:t>Reviewer did not implement the work being accepted and has no incentive to conceal a defect.</w:t>
      </w:r>
    </w:p>
    <w:p>
      <w:pPr>
        <w:pStyle w:val="ListBullet"/>
        <w:widowControl/>
      </w:pPr>
      <w:r>
        <w:rPr>
          <w:rFonts w:ascii="Arial" w:hAnsi="Arial"/>
          <w:b w:val="0"/>
        </w:rPr>
        <w:t>Candidate commit, migrations, configuration and evidence manifest are frozen and identifiable.</w:t>
      </w:r>
    </w:p>
    <w:p>
      <w:pPr>
        <w:pStyle w:val="ListBullet"/>
        <w:widowControl/>
      </w:pPr>
      <w:r>
        <w:rPr>
          <w:rFonts w:ascii="Arial" w:hAnsi="Arial"/>
          <w:b w:val="0"/>
        </w:rPr>
        <w:t>Review runs from a clean checkout with documented synthetic personas and production-equivalent dependencies.</w:t>
      </w:r>
    </w:p>
    <w:p>
      <w:pPr>
        <w:pStyle w:val="ListBullet"/>
        <w:widowControl/>
      </w:pPr>
      <w:r>
        <w:rPr>
          <w:rFonts w:ascii="Arial" w:hAnsi="Arial"/>
          <w:b w:val="0"/>
        </w:rPr>
        <w:t>No production guest, staff, assessment-key or event-sensitive data is used.</w:t>
      </w:r>
    </w:p>
    <w:p>
      <w:pPr>
        <w:pStyle w:val="ListBullet"/>
        <w:widowControl/>
      </w:pPr>
      <w:r>
        <w:rPr>
          <w:rFonts w:ascii="Arial" w:hAnsi="Arial"/>
          <w:b w:val="0"/>
        </w:rPr>
        <w:t>Every additional change beyond the declared requirement is justified and controlled.</w:t>
      </w:r>
    </w:p>
    <w:p>
      <w:pPr>
        <w:pStyle w:val="ListBullet"/>
        <w:widowControl/>
      </w:pPr>
      <w:r>
        <w:rPr>
          <w:rFonts w:ascii="Arial" w:hAnsi="Arial"/>
          <w:b w:val="0"/>
        </w:rPr>
        <w:t>Unrun tests, hidden manual fixes, TODOs, mocks and “items brought forward” cannot satisfy current-gate requirements.</w:t>
      </w:r>
    </w:p>
    <w:p>
      <w:pPr>
        <w:pStyle w:val="Heading1"/>
        <w:widowControl/>
      </w:pPr>
      <w:r>
        <w:rPr>
          <w:rFonts w:ascii="Arial" w:hAnsi="Arial"/>
          <w:b w:val="0"/>
        </w:rPr>
        <w:t>3. Evidence envelope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vAlign w:val="top"/>
            <w:shd w:fill="E8EEF5"/>
          </w:tcPr>
          <w:p>
            <w:pPr>
              <w:spacing w:after="40"/>
            </w:pPr>
            <w:r>
              <w:rPr>
                <w:rFonts w:ascii="Arial" w:hAnsi="Arial"/>
                <w:b/>
                <w:color w:val="10243E"/>
                <w:sz w:val="16"/>
              </w:rPr>
              <w:t>Field</w:t>
            </w:r>
          </w:p>
        </w:tc>
        <w:tc>
          <w:tcPr>
            <w:tcW w:type="dxa" w:w="7460"/>
            <w:vAlign w:val="top"/>
            <w:shd w:fill="E8EEF5"/>
          </w:tcPr>
          <w:p>
            <w:pPr>
              <w:spacing w:after="40"/>
            </w:pPr>
            <w:r>
              <w:rPr>
                <w:rFonts w:ascii="Arial" w:hAnsi="Arial"/>
                <w:b/>
                <w:color w:val="10243E"/>
                <w:sz w:val="16"/>
              </w:rPr>
              <w:t>Required value</w:t>
            </w:r>
          </w:p>
        </w:tc>
      </w:tr>
      <w:tr>
        <w:tc>
          <w:tcPr>
            <w:tcW w:type="dxa" w:w="1900"/>
            <w:vAlign w:val="top"/>
            <w:shd w:fill="FFFFFF"/>
          </w:tcPr>
          <w:p>
            <w:pPr>
              <w:spacing w:after="40"/>
            </w:pPr>
            <w:r>
              <w:rPr>
                <w:rFonts w:ascii="Arial" w:hAnsi="Arial"/>
                <w:b w:val="0"/>
                <w:color w:val="17212B"/>
                <w:sz w:val="16"/>
              </w:rPr>
              <w:t>Requirement</w:t>
            </w:r>
          </w:p>
        </w:tc>
        <w:tc>
          <w:tcPr>
            <w:tcW w:type="dxa" w:w="7460"/>
            <w:vAlign w:val="top"/>
            <w:shd w:fill="FFFFFF"/>
          </w:tcPr>
          <w:p>
            <w:pPr>
              <w:spacing w:after="40"/>
            </w:pPr>
            <w:r>
              <w:rPr>
                <w:rFonts w:ascii="Arial" w:hAnsi="Arial"/>
                <w:b w:val="0"/>
                <w:color w:val="17212B"/>
                <w:sz w:val="16"/>
              </w:rPr>
              <w:t>Stable requirement and slice/gate ID</w:t>
            </w:r>
          </w:p>
        </w:tc>
      </w:tr>
      <w:tr>
        <w:tc>
          <w:tcPr>
            <w:tcW w:type="dxa" w:w="1900"/>
            <w:vAlign w:val="top"/>
            <w:shd w:fill="F8FAFC"/>
          </w:tcPr>
          <w:p>
            <w:pPr>
              <w:spacing w:after="40"/>
            </w:pPr>
            <w:r>
              <w:rPr>
                <w:rFonts w:ascii="Arial" w:hAnsi="Arial"/>
                <w:b w:val="0"/>
                <w:color w:val="17212B"/>
                <w:sz w:val="16"/>
              </w:rPr>
              <w:t>Candidate</w:t>
            </w:r>
          </w:p>
        </w:tc>
        <w:tc>
          <w:tcPr>
            <w:tcW w:type="dxa" w:w="7460"/>
            <w:vAlign w:val="top"/>
            <w:shd w:fill="F8FAFC"/>
          </w:tcPr>
          <w:p>
            <w:pPr>
              <w:spacing w:after="40"/>
            </w:pPr>
            <w:r>
              <w:rPr>
                <w:rFonts w:ascii="Arial" w:hAnsi="Arial"/>
                <w:b w:val="0"/>
                <w:color w:val="17212B"/>
                <w:sz w:val="16"/>
              </w:rPr>
              <w:t>Full commit hash, migration set, content/version hashes and environment</w:t>
            </w:r>
          </w:p>
        </w:tc>
      </w:tr>
      <w:tr>
        <w:tc>
          <w:tcPr>
            <w:tcW w:type="dxa" w:w="1900"/>
            <w:vAlign w:val="top"/>
            <w:shd w:fill="FFFFFF"/>
          </w:tcPr>
          <w:p>
            <w:pPr>
              <w:spacing w:after="40"/>
            </w:pPr>
            <w:r>
              <w:rPr>
                <w:rFonts w:ascii="Arial" w:hAnsi="Arial"/>
                <w:b w:val="0"/>
                <w:color w:val="17212B"/>
                <w:sz w:val="16"/>
              </w:rPr>
              <w:t>Actor/scope</w:t>
            </w:r>
          </w:p>
        </w:tc>
        <w:tc>
          <w:tcPr>
            <w:tcW w:type="dxa" w:w="7460"/>
            <w:vAlign w:val="top"/>
            <w:shd w:fill="FFFFFF"/>
          </w:tcPr>
          <w:p>
            <w:pPr>
              <w:spacing w:after="40"/>
            </w:pPr>
            <w:r>
              <w:rPr>
                <w:rFonts w:ascii="Arial" w:hAnsi="Arial"/>
                <w:b w:val="0"/>
                <w:color w:val="17212B"/>
                <w:sz w:val="16"/>
              </w:rPr>
              <w:t>Persona, role, organisation, event where applicable, purpose and permission state</w:t>
            </w:r>
          </w:p>
        </w:tc>
      </w:tr>
      <w:tr>
        <w:tc>
          <w:tcPr>
            <w:tcW w:type="dxa" w:w="1900"/>
            <w:vAlign w:val="top"/>
            <w:shd w:fill="F8FAFC"/>
          </w:tcPr>
          <w:p>
            <w:pPr>
              <w:spacing w:after="40"/>
            </w:pPr>
            <w:r>
              <w:rPr>
                <w:rFonts w:ascii="Arial" w:hAnsi="Arial"/>
                <w:b w:val="0"/>
                <w:color w:val="17212B"/>
                <w:sz w:val="16"/>
              </w:rPr>
              <w:t>Procedure</w:t>
            </w:r>
          </w:p>
        </w:tc>
        <w:tc>
          <w:tcPr>
            <w:tcW w:type="dxa" w:w="7460"/>
            <w:vAlign w:val="top"/>
            <w:shd w:fill="F8FAFC"/>
          </w:tcPr>
          <w:p>
            <w:pPr>
              <w:spacing w:after="40"/>
            </w:pPr>
            <w:r>
              <w:rPr>
                <w:rFonts w:ascii="Arial" w:hAnsi="Arial"/>
                <w:b w:val="0"/>
                <w:color w:val="17212B"/>
                <w:sz w:val="16"/>
              </w:rPr>
              <w:t>Exact command or numbered user journey; preconditions and data fixture</w:t>
            </w:r>
          </w:p>
        </w:tc>
      </w:tr>
      <w:tr>
        <w:tc>
          <w:tcPr>
            <w:tcW w:type="dxa" w:w="1900"/>
            <w:vAlign w:val="top"/>
            <w:shd w:fill="FFFFFF"/>
          </w:tcPr>
          <w:p>
            <w:pPr>
              <w:spacing w:after="40"/>
            </w:pPr>
            <w:r>
              <w:rPr>
                <w:rFonts w:ascii="Arial" w:hAnsi="Arial"/>
                <w:b w:val="0"/>
                <w:color w:val="17212B"/>
                <w:sz w:val="16"/>
              </w:rPr>
              <w:t>Result</w:t>
            </w:r>
          </w:p>
        </w:tc>
        <w:tc>
          <w:tcPr>
            <w:tcW w:type="dxa" w:w="7460"/>
            <w:vAlign w:val="top"/>
            <w:shd w:fill="FFFFFF"/>
          </w:tcPr>
          <w:p>
            <w:pPr>
              <w:spacing w:after="40"/>
            </w:pPr>
            <w:r>
              <w:rPr>
                <w:rFonts w:ascii="Arial" w:hAnsi="Arial"/>
                <w:b w:val="0"/>
                <w:color w:val="17212B"/>
                <w:sz w:val="16"/>
              </w:rPr>
              <w:t>Expected versus actual; machine-readable result and human observation</w:t>
            </w:r>
          </w:p>
        </w:tc>
      </w:tr>
      <w:tr>
        <w:tc>
          <w:tcPr>
            <w:tcW w:type="dxa" w:w="1900"/>
            <w:vAlign w:val="top"/>
            <w:shd w:fill="F8FAFC"/>
          </w:tcPr>
          <w:p>
            <w:pPr>
              <w:spacing w:after="40"/>
            </w:pPr>
            <w:r>
              <w:rPr>
                <w:rFonts w:ascii="Arial" w:hAnsi="Arial"/>
                <w:b w:val="0"/>
                <w:color w:val="17212B"/>
                <w:sz w:val="16"/>
              </w:rPr>
              <w:t>Artifact</w:t>
            </w:r>
          </w:p>
        </w:tc>
        <w:tc>
          <w:tcPr>
            <w:tcW w:type="dxa" w:w="7460"/>
            <w:vAlign w:val="top"/>
            <w:shd w:fill="F8FAFC"/>
          </w:tcPr>
          <w:p>
            <w:pPr>
              <w:spacing w:after="40"/>
            </w:pPr>
            <w:r>
              <w:rPr>
                <w:rFonts w:ascii="Arial" w:hAnsi="Arial"/>
                <w:b w:val="0"/>
                <w:color w:val="17212B"/>
                <w:sz w:val="16"/>
              </w:rPr>
              <w:t>Test log, browser trace, screenshot/video where useful, audit/correlation ID and receipt</w:t>
            </w:r>
          </w:p>
        </w:tc>
      </w:tr>
      <w:tr>
        <w:tc>
          <w:tcPr>
            <w:tcW w:type="dxa" w:w="1900"/>
            <w:vAlign w:val="top"/>
            <w:shd w:fill="FFFFFF"/>
          </w:tcPr>
          <w:p>
            <w:pPr>
              <w:spacing w:after="40"/>
            </w:pPr>
            <w:r>
              <w:rPr>
                <w:rFonts w:ascii="Arial" w:hAnsi="Arial"/>
                <w:b w:val="0"/>
                <w:color w:val="17212B"/>
                <w:sz w:val="16"/>
              </w:rPr>
              <w:t>Reviewer</w:t>
            </w:r>
          </w:p>
        </w:tc>
        <w:tc>
          <w:tcPr>
            <w:tcW w:type="dxa" w:w="7460"/>
            <w:vAlign w:val="top"/>
            <w:shd w:fill="FFFFFF"/>
          </w:tcPr>
          <w:p>
            <w:pPr>
              <w:spacing w:after="40"/>
            </w:pPr>
            <w:r>
              <w:rPr>
                <w:rFonts w:ascii="Arial" w:hAnsi="Arial"/>
                <w:b w:val="0"/>
                <w:color w:val="17212B"/>
                <w:sz w:val="16"/>
              </w:rPr>
              <w:t>Name, independence declaration, time and decision</w:t>
            </w:r>
          </w:p>
        </w:tc>
      </w:tr>
      <w:tr>
        <w:tc>
          <w:tcPr>
            <w:tcW w:type="dxa" w:w="1900"/>
            <w:vAlign w:val="top"/>
            <w:shd w:fill="F8FAFC"/>
          </w:tcPr>
          <w:p>
            <w:pPr>
              <w:spacing w:after="40"/>
            </w:pPr>
            <w:r>
              <w:rPr>
                <w:rFonts w:ascii="Arial" w:hAnsi="Arial"/>
                <w:b w:val="0"/>
                <w:color w:val="17212B"/>
                <w:sz w:val="16"/>
              </w:rPr>
              <w:t>Exceptions</w:t>
            </w:r>
          </w:p>
        </w:tc>
        <w:tc>
          <w:tcPr>
            <w:tcW w:type="dxa" w:w="7460"/>
            <w:vAlign w:val="top"/>
            <w:shd w:fill="F8FAFC"/>
          </w:tcPr>
          <w:p>
            <w:pPr>
              <w:spacing w:after="40"/>
            </w:pPr>
            <w:r>
              <w:rPr>
                <w:rFonts w:ascii="Arial" w:hAnsi="Arial"/>
                <w:b w:val="0"/>
                <w:color w:val="17212B"/>
                <w:sz w:val="16"/>
              </w:rPr>
              <w:t>Defect/risk/waiver IDs; owner and deadline; none implied</w:t>
            </w:r>
          </w:p>
        </w:tc>
      </w:tr>
    </w:tbl>
    <w:p>
      <w:pPr>
        <w:pStyle w:val="Heading1"/>
        <w:widowControl/>
      </w:pPr>
      <w:r>
        <w:rPr>
          <w:rFonts w:ascii="Arial" w:hAnsi="Arial"/>
          <w:b w:val="0"/>
        </w:rPr>
        <w:t>4. Universal review procedure</w:t>
      </w:r>
    </w:p>
    <w:p>
      <w:pPr>
        <w:pStyle w:val="ListNumber"/>
        <w:widowControl/>
      </w:pPr>
      <w:r>
        <w:rPr>
          <w:rFonts w:ascii="Arial" w:hAnsi="Arial"/>
          <w:b w:val="0"/>
        </w:rPr>
        <w:t>Confirm source versions, candidate hash, clean worktree and environment parity.</w:t>
      </w:r>
    </w:p>
    <w:p>
      <w:pPr>
        <w:pStyle w:val="ListNumber"/>
        <w:widowControl/>
      </w:pPr>
      <w:r>
        <w:rPr>
          <w:rFonts w:ascii="Arial" w:hAnsi="Arial"/>
          <w:b w:val="0"/>
        </w:rPr>
        <w:t>Map every in-scope requirement to implementation, test and evidence; reject orphan features and untested laws.</w:t>
      </w:r>
    </w:p>
    <w:p>
      <w:pPr>
        <w:pStyle w:val="ListNumber"/>
        <w:widowControl/>
      </w:pPr>
      <w:r>
        <w:rPr>
          <w:rFonts w:ascii="Arial" w:hAnsi="Arial"/>
          <w:b w:val="0"/>
        </w:rPr>
        <w:t>Review architecture, data ownership, lifecycle and migrations before exercising behavior.</w:t>
      </w:r>
    </w:p>
    <w:p>
      <w:pPr>
        <w:pStyle w:val="ListNumber"/>
        <w:widowControl/>
      </w:pPr>
      <w:r>
        <w:rPr>
          <w:rFonts w:ascii="Arial" w:hAnsi="Arial"/>
          <w:b w:val="0"/>
        </w:rPr>
        <w:t>Test positive, denied, wrong-scope, stale, duplicate, replay, conflict and interrupted cases.</w:t>
      </w:r>
    </w:p>
    <w:p>
      <w:pPr>
        <w:pStyle w:val="ListNumber"/>
        <w:widowControl/>
      </w:pPr>
      <w:r>
        <w:rPr>
          <w:rFonts w:ascii="Arial" w:hAnsi="Arial"/>
          <w:b w:val="0"/>
        </w:rPr>
        <w:t>Exercise real role journeys in the browser, including recovery and support references.</w:t>
      </w:r>
    </w:p>
    <w:p>
      <w:pPr>
        <w:pStyle w:val="ListNumber"/>
        <w:widowControl/>
      </w:pPr>
      <w:r>
        <w:rPr>
          <w:rFonts w:ascii="Arial" w:hAnsi="Arial"/>
          <w:b w:val="0"/>
        </w:rPr>
        <w:t>Inspect audit, logs, metrics, alerts, outbox/inbox and reconciliation for the same actions.</w:t>
      </w:r>
    </w:p>
    <w:p>
      <w:pPr>
        <w:pStyle w:val="ListNumber"/>
        <w:widowControl/>
      </w:pPr>
      <w:r>
        <w:rPr>
          <w:rFonts w:ascii="Arial" w:hAnsi="Arial"/>
          <w:b w:val="0"/>
        </w:rPr>
        <w:t>Run accessibility, responsive, low-bandwidth, privacy and security checks.</w:t>
      </w:r>
    </w:p>
    <w:p>
      <w:pPr>
        <w:pStyle w:val="ListNumber"/>
        <w:widowControl/>
      </w:pPr>
      <w:r>
        <w:rPr>
          <w:rFonts w:ascii="Arial" w:hAnsi="Arial"/>
          <w:b w:val="0"/>
        </w:rPr>
        <w:t>Run the slice-specific and regression suites; capture exact results.</w:t>
      </w:r>
    </w:p>
    <w:p>
      <w:pPr>
        <w:pStyle w:val="ListNumber"/>
        <w:widowControl/>
      </w:pPr>
      <w:r>
        <w:rPr>
          <w:rFonts w:ascii="Arial" w:hAnsi="Arial"/>
          <w:b w:val="0"/>
        </w:rPr>
        <w:t>Log defects and require correction without weakening the specification.</w:t>
      </w:r>
    </w:p>
    <w:p>
      <w:pPr>
        <w:pStyle w:val="ListNumber"/>
        <w:widowControl/>
      </w:pPr>
      <w:r>
        <w:rPr>
          <w:rFonts w:ascii="Arial" w:hAnsi="Arial"/>
          <w:b w:val="0"/>
        </w:rPr>
        <w:t>Issue a signed decision for the exact candidate and update the Governance Register.</w:t>
      </w:r>
    </w:p>
    <w:p>
      <w:r>
        <w:br w:type="page"/>
      </w:r>
    </w:p>
    <w:p>
      <w:pPr>
        <w:pStyle w:val="Heading1"/>
        <w:widowControl/>
      </w:pPr>
      <w:r>
        <w:rPr>
          <w:rFonts w:ascii="Arial" w:hAnsi="Arial"/>
          <w:b w:val="0"/>
        </w:rPr>
        <w:t>5. Architecture and data acceptance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vAlign w:val="top"/>
            <w:shd w:fill="E8EEF5"/>
          </w:tcPr>
          <w:p>
            <w:pPr>
              <w:spacing w:after="40"/>
            </w:pPr>
            <w:r>
              <w:rPr>
                <w:rFonts w:ascii="Arial" w:hAnsi="Arial"/>
                <w:b/>
                <w:color w:val="10243E"/>
                <w:sz w:val="16"/>
              </w:rPr>
              <w:t>Area</w:t>
            </w:r>
          </w:p>
        </w:tc>
        <w:tc>
          <w:tcPr>
            <w:tcW w:type="dxa" w:w="7560"/>
            <w:vAlign w:val="top"/>
            <w:shd w:fill="E8EEF5"/>
          </w:tcPr>
          <w:p>
            <w:pPr>
              <w:spacing w:after="40"/>
            </w:pPr>
            <w:r>
              <w:rPr>
                <w:rFonts w:ascii="Arial" w:hAnsi="Arial"/>
                <w:b/>
                <w:color w:val="10243E"/>
                <w:sz w:val="16"/>
              </w:rPr>
              <w:t>Proof required</w:t>
            </w:r>
          </w:p>
        </w:tc>
      </w:tr>
      <w:tr>
        <w:tc>
          <w:tcPr>
            <w:tcW w:type="dxa" w:w="1800"/>
            <w:vAlign w:val="top"/>
            <w:shd w:fill="FFFFFF"/>
          </w:tcPr>
          <w:p>
            <w:pPr>
              <w:spacing w:after="40"/>
            </w:pPr>
            <w:r>
              <w:rPr>
                <w:rFonts w:ascii="Arial" w:hAnsi="Arial"/>
                <w:b w:val="0"/>
                <w:color w:val="17212B"/>
                <w:sz w:val="16"/>
              </w:rPr>
              <w:t>Ownership</w:t>
            </w:r>
          </w:p>
        </w:tc>
        <w:tc>
          <w:tcPr>
            <w:tcW w:type="dxa" w:w="7560"/>
            <w:vAlign w:val="top"/>
            <w:shd w:fill="FFFFFF"/>
          </w:tcPr>
          <w:p>
            <w:pPr>
              <w:spacing w:after="40"/>
            </w:pPr>
            <w:r>
              <w:rPr>
                <w:rFonts w:ascii="Arial" w:hAnsi="Arial"/>
                <w:b w:val="0"/>
                <w:color w:val="17212B"/>
                <w:sz w:val="16"/>
              </w:rPr>
              <w:t>One canonical owner for identity references, learning, assessment, competence, certificate and readiness evidence; MD-EOS remains owner of event truth, assignment and deployment.</w:t>
            </w:r>
          </w:p>
        </w:tc>
      </w:tr>
      <w:tr>
        <w:tc>
          <w:tcPr>
            <w:tcW w:type="dxa" w:w="1800"/>
            <w:vAlign w:val="top"/>
            <w:shd w:fill="F8FAFC"/>
          </w:tcPr>
          <w:p>
            <w:pPr>
              <w:spacing w:after="40"/>
            </w:pPr>
            <w:r>
              <w:rPr>
                <w:rFonts w:ascii="Arial" w:hAnsi="Arial"/>
                <w:b w:val="0"/>
                <w:color w:val="17212B"/>
                <w:sz w:val="16"/>
              </w:rPr>
              <w:t>Scope</w:t>
            </w:r>
          </w:p>
        </w:tc>
        <w:tc>
          <w:tcPr>
            <w:tcW w:type="dxa" w:w="7560"/>
            <w:vAlign w:val="top"/>
            <w:shd w:fill="F8FAFC"/>
          </w:tcPr>
          <w:p>
            <w:pPr>
              <w:spacing w:after="40"/>
            </w:pPr>
            <w:r>
              <w:rPr>
                <w:rFonts w:ascii="Arial" w:hAnsi="Arial"/>
                <w:b w:val="0"/>
                <w:color w:val="17212B"/>
                <w:sz w:val="16"/>
              </w:rPr>
              <w:t>organisation_id enforced everywhere; event-derived records also require event_id; cross-tenant/event guesses fail without existence leakage.</w:t>
            </w:r>
          </w:p>
        </w:tc>
      </w:tr>
      <w:tr>
        <w:tc>
          <w:tcPr>
            <w:tcW w:type="dxa" w:w="1800"/>
            <w:vAlign w:val="top"/>
            <w:shd w:fill="FFFFFF"/>
          </w:tcPr>
          <w:p>
            <w:pPr>
              <w:spacing w:after="40"/>
            </w:pPr>
            <w:r>
              <w:rPr>
                <w:rFonts w:ascii="Arial" w:hAnsi="Arial"/>
                <w:b w:val="0"/>
                <w:color w:val="17212B"/>
                <w:sz w:val="16"/>
              </w:rPr>
              <w:t>State</w:t>
            </w:r>
          </w:p>
        </w:tc>
        <w:tc>
          <w:tcPr>
            <w:tcW w:type="dxa" w:w="7560"/>
            <w:vAlign w:val="top"/>
            <w:shd w:fill="FFFFFF"/>
          </w:tcPr>
          <w:p>
            <w:pPr>
              <w:spacing w:after="40"/>
            </w:pPr>
            <w:r>
              <w:rPr>
                <w:rFonts w:ascii="Arial" w:hAnsi="Arial"/>
                <w:b w:val="0"/>
                <w:color w:val="17212B"/>
                <w:sz w:val="16"/>
              </w:rPr>
              <w:t>Server-authoritative state machines; immutable published/submitted/final records; governed successor action for correction.</w:t>
            </w:r>
          </w:p>
        </w:tc>
      </w:tr>
      <w:tr>
        <w:tc>
          <w:tcPr>
            <w:tcW w:type="dxa" w:w="1800"/>
            <w:vAlign w:val="top"/>
            <w:shd w:fill="F8FAFC"/>
          </w:tcPr>
          <w:p>
            <w:pPr>
              <w:spacing w:after="40"/>
            </w:pPr>
            <w:r>
              <w:rPr>
                <w:rFonts w:ascii="Arial" w:hAnsi="Arial"/>
                <w:b w:val="0"/>
                <w:color w:val="17212B"/>
                <w:sz w:val="16"/>
              </w:rPr>
              <w:t>Transactions</w:t>
            </w:r>
          </w:p>
        </w:tc>
        <w:tc>
          <w:tcPr>
            <w:tcW w:type="dxa" w:w="7560"/>
            <w:vAlign w:val="top"/>
            <w:shd w:fill="F8FAFC"/>
          </w:tcPr>
          <w:p>
            <w:pPr>
              <w:spacing w:after="40"/>
            </w:pPr>
            <w:r>
              <w:rPr>
                <w:rFonts w:ascii="Arial" w:hAnsi="Arial"/>
                <w:b w:val="0"/>
                <w:color w:val="17212B"/>
                <w:sz w:val="16"/>
              </w:rPr>
              <w:t>Authoritative state, idempotency, audit and outbox commit atomically where one business act requires them.</w:t>
            </w:r>
          </w:p>
        </w:tc>
      </w:tr>
      <w:tr>
        <w:tc>
          <w:tcPr>
            <w:tcW w:type="dxa" w:w="1800"/>
            <w:vAlign w:val="top"/>
            <w:shd w:fill="FFFFFF"/>
          </w:tcPr>
          <w:p>
            <w:pPr>
              <w:spacing w:after="40"/>
            </w:pPr>
            <w:r>
              <w:rPr>
                <w:rFonts w:ascii="Arial" w:hAnsi="Arial"/>
                <w:b w:val="0"/>
                <w:color w:val="17212B"/>
                <w:sz w:val="16"/>
              </w:rPr>
              <w:t>Migrations</w:t>
            </w:r>
          </w:p>
        </w:tc>
        <w:tc>
          <w:tcPr>
            <w:tcW w:type="dxa" w:w="7560"/>
            <w:vAlign w:val="top"/>
            <w:shd w:fill="FFFFFF"/>
          </w:tcPr>
          <w:p>
            <w:pPr>
              <w:spacing w:after="40"/>
            </w:pPr>
            <w:r>
              <w:rPr>
                <w:rFonts w:ascii="Arial" w:hAnsi="Arial"/>
                <w:b w:val="0"/>
                <w:color w:val="17212B"/>
                <w:sz w:val="16"/>
              </w:rPr>
              <w:t>Clean and previous-state rehearsal; constraints and indexes; rollback/roll-forward and reconciliation; no data resurrection.</w:t>
            </w:r>
          </w:p>
        </w:tc>
      </w:tr>
      <w:tr>
        <w:tc>
          <w:tcPr>
            <w:tcW w:type="dxa" w:w="1800"/>
            <w:vAlign w:val="top"/>
            <w:shd w:fill="F8FAFC"/>
          </w:tcPr>
          <w:p>
            <w:pPr>
              <w:spacing w:after="40"/>
            </w:pPr>
            <w:r>
              <w:rPr>
                <w:rFonts w:ascii="Arial" w:hAnsi="Arial"/>
                <w:b w:val="0"/>
                <w:color w:val="17212B"/>
                <w:sz w:val="16"/>
              </w:rPr>
              <w:t>Contracts</w:t>
            </w:r>
          </w:p>
        </w:tc>
        <w:tc>
          <w:tcPr>
            <w:tcW w:type="dxa" w:w="7560"/>
            <w:vAlign w:val="top"/>
            <w:shd w:fill="F8FAFC"/>
          </w:tcPr>
          <w:p>
            <w:pPr>
              <w:spacing w:after="40"/>
            </w:pPr>
            <w:r>
              <w:rPr>
                <w:rFonts w:ascii="Arial" w:hAnsi="Arial"/>
                <w:b w:val="0"/>
                <w:color w:val="17212B"/>
                <w:sz w:val="16"/>
              </w:rPr>
              <w:t>Versioned typed API/event schemas, safe errors, compatibility, correlation, ordering, freshness and minimum payload.</w:t>
            </w:r>
          </w:p>
        </w:tc>
      </w:tr>
      <w:tr>
        <w:tc>
          <w:tcPr>
            <w:tcW w:type="dxa" w:w="1800"/>
            <w:vAlign w:val="top"/>
            <w:shd w:fill="FFFFFF"/>
          </w:tcPr>
          <w:p>
            <w:pPr>
              <w:spacing w:after="40"/>
            </w:pPr>
            <w:r>
              <w:rPr>
                <w:rFonts w:ascii="Arial" w:hAnsi="Arial"/>
                <w:b w:val="0"/>
                <w:color w:val="17212B"/>
                <w:sz w:val="16"/>
              </w:rPr>
              <w:t>Jobs</w:t>
            </w:r>
          </w:p>
        </w:tc>
        <w:tc>
          <w:tcPr>
            <w:tcW w:type="dxa" w:w="7560"/>
            <w:vAlign w:val="top"/>
            <w:shd w:fill="FFFFFF"/>
          </w:tcPr>
          <w:p>
            <w:pPr>
              <w:spacing w:after="40"/>
            </w:pPr>
            <w:r>
              <w:rPr>
                <w:rFonts w:ascii="Arial" w:hAnsi="Arial"/>
                <w:b w:val="0"/>
                <w:color w:val="17212B"/>
                <w:sz w:val="16"/>
              </w:rPr>
              <w:t>Durable retry/backoff/dead-letter, replay safety, owned exception and operational visibility.</w:t>
            </w:r>
          </w:p>
        </w:tc>
      </w:tr>
    </w:tbl>
    <w:p>
      <w:pPr>
        <w:pStyle w:val="Heading1"/>
        <w:widowControl/>
      </w:pPr>
      <w:r>
        <w:rPr>
          <w:rFonts w:ascii="Arial" w:hAnsi="Arial"/>
          <w:b w:val="0"/>
        </w:rPr>
        <w:t>6. Frontend and usability acceptance</w:t>
      </w:r>
    </w:p>
    <w:p>
      <w:pPr>
        <w:pStyle w:val="ListBullet"/>
        <w:widowControl/>
      </w:pPr>
      <w:r>
        <w:rPr>
          <w:rFonts w:ascii="Arial" w:hAnsi="Arial"/>
          <w:b w:val="0"/>
        </w:rPr>
        <w:t>Test learner, manager, assessor, author, reviewer, administrator, CEO and auditor workspaces as applicable.</w:t>
      </w:r>
    </w:p>
    <w:p>
      <w:pPr>
        <w:pStyle w:val="ListBullet"/>
        <w:widowControl/>
      </w:pPr>
      <w:r>
        <w:rPr>
          <w:rFonts w:ascii="Arial" w:hAnsi="Arial"/>
          <w:b w:val="0"/>
        </w:rPr>
        <w:t>Verify loading, empty, validation, pending, denied, stale, frozen, conflict, offline-where-allowed, error, recovered and success states.</w:t>
      </w:r>
    </w:p>
    <w:p>
      <w:pPr>
        <w:pStyle w:val="ListBullet"/>
        <w:widowControl/>
      </w:pPr>
      <w:r>
        <w:rPr>
          <w:rFonts w:ascii="Arial" w:hAnsi="Arial"/>
          <w:b w:val="0"/>
        </w:rPr>
        <w:t>At 360px, tablet and desktop, the primary task is complete without horizontal scrolling, hidden authority or desktop-only controls.</w:t>
      </w:r>
    </w:p>
    <w:p>
      <w:pPr>
        <w:pStyle w:val="ListBullet"/>
        <w:widowControl/>
      </w:pPr>
      <w:r>
        <w:rPr>
          <w:rFonts w:ascii="Arial" w:hAnsi="Arial"/>
          <w:b w:val="0"/>
        </w:rPr>
        <w:t>Keyboard order, focus, announcements, screen-reader labels, captions/transcripts, reduced motion and 200%/400% zoom meet WCAG 2.2 AA.</w:t>
      </w:r>
    </w:p>
    <w:p>
      <w:pPr>
        <w:pStyle w:val="ListBullet"/>
        <w:widowControl/>
      </w:pPr>
      <w:r>
        <w:rPr>
          <w:rFonts w:ascii="Arial" w:hAnsi="Arial"/>
          <w:b w:val="0"/>
        </w:rPr>
        <w:t>Every material action states scope, consequence, authority, reason and confirmation; success shows receipt, effective time and next action.</w:t>
      </w:r>
    </w:p>
    <w:p>
      <w:pPr>
        <w:pStyle w:val="ListBullet"/>
        <w:widowControl/>
      </w:pPr>
      <w:r>
        <w:rPr>
          <w:rFonts w:ascii="Arial" w:hAnsi="Arial"/>
          <w:b w:val="0"/>
        </w:rPr>
        <w:t>No readiness, certificate, permission or assessment decision is calculated only in the browser.</w:t>
      </w:r>
    </w:p>
    <w:p>
      <w:pPr>
        <w:pStyle w:val="ListBullet"/>
        <w:widowControl/>
      </w:pPr>
      <w:r>
        <w:rPr>
          <w:rFonts w:ascii="Arial" w:hAnsi="Arial"/>
          <w:b w:val="0"/>
        </w:rPr>
        <w:t>Protected data is absent from URL, browser persistence, analytics, notifications and unsafe errors.</w:t>
      </w:r>
    </w:p>
    <w:p>
      <w:pPr>
        <w:pStyle w:val="Heading1"/>
        <w:widowControl/>
      </w:pPr>
      <w:r>
        <w:rPr>
          <w:rFonts w:ascii="Arial" w:hAnsi="Arial"/>
          <w:b w:val="0"/>
        </w:rPr>
        <w:t>7. Assessment-integrity acceptance</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top"/>
            <w:shd w:fill="E8EEF5"/>
          </w:tcPr>
          <w:p>
            <w:pPr>
              <w:spacing w:after="40"/>
            </w:pPr>
            <w:r>
              <w:rPr>
                <w:rFonts w:ascii="Arial" w:hAnsi="Arial"/>
                <w:b/>
                <w:color w:val="10243E"/>
                <w:sz w:val="15"/>
              </w:rPr>
              <w:t>Control</w:t>
            </w:r>
          </w:p>
        </w:tc>
        <w:tc>
          <w:tcPr>
            <w:tcW w:type="dxa" w:w="7660"/>
            <w:vAlign w:val="top"/>
            <w:shd w:fill="E8EEF5"/>
          </w:tcPr>
          <w:p>
            <w:pPr>
              <w:spacing w:after="40"/>
            </w:pPr>
            <w:r>
              <w:rPr>
                <w:rFonts w:ascii="Arial" w:hAnsi="Arial"/>
                <w:b/>
                <w:color w:val="10243E"/>
                <w:sz w:val="15"/>
              </w:rPr>
              <w:t>Required test</w:t>
            </w:r>
          </w:p>
        </w:tc>
      </w:tr>
      <w:tr>
        <w:tc>
          <w:tcPr>
            <w:tcW w:type="dxa" w:w="1700"/>
            <w:vAlign w:val="top"/>
            <w:shd w:fill="FFFFFF"/>
          </w:tcPr>
          <w:p>
            <w:pPr>
              <w:spacing w:after="40"/>
            </w:pPr>
            <w:r>
              <w:rPr>
                <w:rFonts w:ascii="Arial" w:hAnsi="Arial"/>
                <w:b w:val="0"/>
                <w:color w:val="17212B"/>
                <w:sz w:val="15"/>
              </w:rPr>
              <w:t>Provenance</w:t>
            </w:r>
          </w:p>
        </w:tc>
        <w:tc>
          <w:tcPr>
            <w:tcW w:type="dxa" w:w="7660"/>
            <w:vAlign w:val="top"/>
            <w:shd w:fill="FFFFFF"/>
          </w:tcPr>
          <w:p>
            <w:pPr>
              <w:spacing w:after="40"/>
            </w:pPr>
            <w:r>
              <w:rPr>
                <w:rFonts w:ascii="Arial" w:hAnsi="Arial"/>
                <w:b w:val="0"/>
                <w:color w:val="17212B"/>
                <w:sz w:val="15"/>
              </w:rPr>
              <w:t>Every scored item and rubric criterion resolves to an approved knowledge and competency version.</w:t>
            </w:r>
          </w:p>
        </w:tc>
      </w:tr>
      <w:tr>
        <w:tc>
          <w:tcPr>
            <w:tcW w:type="dxa" w:w="1700"/>
            <w:vAlign w:val="top"/>
            <w:shd w:fill="F8FAFC"/>
          </w:tcPr>
          <w:p>
            <w:pPr>
              <w:spacing w:after="40"/>
            </w:pPr>
            <w:r>
              <w:rPr>
                <w:rFonts w:ascii="Arial" w:hAnsi="Arial"/>
                <w:b w:val="0"/>
                <w:color w:val="17212B"/>
                <w:sz w:val="15"/>
              </w:rPr>
              <w:t>Difficulty</w:t>
            </w:r>
          </w:p>
        </w:tc>
        <w:tc>
          <w:tcPr>
            <w:tcW w:type="dxa" w:w="7660"/>
            <w:vAlign w:val="top"/>
            <w:shd w:fill="F8FAFC"/>
          </w:tcPr>
          <w:p>
            <w:pPr>
              <w:spacing w:after="40"/>
            </w:pPr>
            <w:r>
              <w:rPr>
                <w:rFonts w:ascii="Arial" w:hAnsi="Arial"/>
                <w:b w:val="0"/>
                <w:color w:val="17212B"/>
                <w:sz w:val="15"/>
              </w:rPr>
              <w:t>Applied judgement dominates; distractors are plausible; bank depth and similarity/exposure thresholds pass.</w:t>
            </w:r>
          </w:p>
        </w:tc>
      </w:tr>
      <w:tr>
        <w:tc>
          <w:tcPr>
            <w:tcW w:type="dxa" w:w="1700"/>
            <w:vAlign w:val="top"/>
            <w:shd w:fill="FFFFFF"/>
          </w:tcPr>
          <w:p>
            <w:pPr>
              <w:spacing w:after="40"/>
            </w:pPr>
            <w:r>
              <w:rPr>
                <w:rFonts w:ascii="Arial" w:hAnsi="Arial"/>
                <w:b w:val="0"/>
                <w:color w:val="17212B"/>
                <w:sz w:val="15"/>
              </w:rPr>
              <w:t>Assembly</w:t>
            </w:r>
          </w:p>
        </w:tc>
        <w:tc>
          <w:tcPr>
            <w:tcW w:type="dxa" w:w="7660"/>
            <w:vAlign w:val="top"/>
            <w:shd w:fill="FFFFFF"/>
          </w:tcPr>
          <w:p>
            <w:pPr>
              <w:spacing w:after="40"/>
            </w:pPr>
            <w:r>
              <w:rPr>
                <w:rFonts w:ascii="Arial" w:hAnsi="Arial"/>
                <w:b w:val="0"/>
                <w:color w:val="17212B"/>
                <w:sz w:val="15"/>
              </w:rPr>
              <w:t>Blueprint coverage, critical distribution and randomisation validate; seed reproduces exact immutable form.</w:t>
            </w:r>
          </w:p>
        </w:tc>
      </w:tr>
      <w:tr>
        <w:tc>
          <w:tcPr>
            <w:tcW w:type="dxa" w:w="1700"/>
            <w:vAlign w:val="top"/>
            <w:shd w:fill="F8FAFC"/>
          </w:tcPr>
          <w:p>
            <w:pPr>
              <w:spacing w:after="40"/>
            </w:pPr>
            <w:r>
              <w:rPr>
                <w:rFonts w:ascii="Arial" w:hAnsi="Arial"/>
                <w:b w:val="0"/>
                <w:color w:val="17212B"/>
                <w:sz w:val="15"/>
              </w:rPr>
              <w:t>Attempt</w:t>
            </w:r>
          </w:p>
        </w:tc>
        <w:tc>
          <w:tcPr>
            <w:tcW w:type="dxa" w:w="7660"/>
            <w:vAlign w:val="top"/>
            <w:shd w:fill="F8FAFC"/>
          </w:tcPr>
          <w:p>
            <w:pPr>
              <w:spacing w:after="40"/>
            </w:pPr>
            <w:r>
              <w:rPr>
                <w:rFonts w:ascii="Arial" w:hAnsi="Arial"/>
                <w:b w:val="0"/>
                <w:color w:val="17212B"/>
                <w:sz w:val="15"/>
              </w:rPr>
              <w:t>Eligibility, server time, autosave/versioning, immutable submit and retry-safe receipt work under interruption.</w:t>
            </w:r>
          </w:p>
        </w:tc>
      </w:tr>
      <w:tr>
        <w:tc>
          <w:tcPr>
            <w:tcW w:type="dxa" w:w="1700"/>
            <w:vAlign w:val="top"/>
            <w:shd w:fill="FFFFFF"/>
          </w:tcPr>
          <w:p>
            <w:pPr>
              <w:spacing w:after="40"/>
            </w:pPr>
            <w:r>
              <w:rPr>
                <w:rFonts w:ascii="Arial" w:hAnsi="Arial"/>
                <w:b w:val="0"/>
                <w:color w:val="17212B"/>
                <w:sz w:val="15"/>
              </w:rPr>
              <w:t>Marking</w:t>
            </w:r>
          </w:p>
        </w:tc>
        <w:tc>
          <w:tcPr>
            <w:tcW w:type="dxa" w:w="7660"/>
            <w:vAlign w:val="top"/>
            <w:shd w:fill="FFFFFF"/>
          </w:tcPr>
          <w:p>
            <w:pPr>
              <w:spacing w:after="40"/>
            </w:pPr>
            <w:r>
              <w:rPr>
                <w:rFonts w:ascii="Arial" w:hAnsi="Arial"/>
                <w:b w:val="0"/>
                <w:color w:val="17212B"/>
                <w:sz w:val="15"/>
              </w:rPr>
              <w:t>80–89 Pass; 90–100 Distinction; below 80 Retake Required; any critical fail overrides aggregate.</w:t>
            </w:r>
          </w:p>
        </w:tc>
      </w:tr>
      <w:tr>
        <w:tc>
          <w:tcPr>
            <w:tcW w:type="dxa" w:w="1700"/>
            <w:vAlign w:val="top"/>
            <w:shd w:fill="F8FAFC"/>
          </w:tcPr>
          <w:p>
            <w:pPr>
              <w:spacing w:after="40"/>
            </w:pPr>
            <w:r>
              <w:rPr>
                <w:rFonts w:ascii="Arial" w:hAnsi="Arial"/>
                <w:b w:val="0"/>
                <w:color w:val="17212B"/>
                <w:sz w:val="15"/>
              </w:rPr>
              <w:t>Practical</w:t>
            </w:r>
          </w:p>
        </w:tc>
        <w:tc>
          <w:tcPr>
            <w:tcW w:type="dxa" w:w="7660"/>
            <w:vAlign w:val="top"/>
            <w:shd w:fill="F8FAFC"/>
          </w:tcPr>
          <w:p>
            <w:pPr>
              <w:spacing w:after="40"/>
            </w:pPr>
            <w:r>
              <w:rPr>
                <w:rFonts w:ascii="Arial" w:hAnsi="Arial"/>
                <w:b w:val="0"/>
                <w:color w:val="17212B"/>
                <w:sz w:val="15"/>
              </w:rPr>
              <w:t>Assigned qualified assessor, conflict declaration, evidence chain, anchored rubric, rationale and moderation.</w:t>
            </w:r>
          </w:p>
        </w:tc>
      </w:tr>
      <w:tr>
        <w:tc>
          <w:tcPr>
            <w:tcW w:type="dxa" w:w="1700"/>
            <w:vAlign w:val="top"/>
            <w:shd w:fill="FFFFFF"/>
          </w:tcPr>
          <w:p>
            <w:pPr>
              <w:spacing w:after="40"/>
            </w:pPr>
            <w:r>
              <w:rPr>
                <w:rFonts w:ascii="Arial" w:hAnsi="Arial"/>
                <w:b w:val="0"/>
                <w:color w:val="17212B"/>
                <w:sz w:val="15"/>
              </w:rPr>
              <w:t>Retake</w:t>
            </w:r>
          </w:p>
        </w:tc>
        <w:tc>
          <w:tcPr>
            <w:tcW w:type="dxa" w:w="7660"/>
            <w:vAlign w:val="top"/>
            <w:shd w:fill="FFFFFF"/>
          </w:tcPr>
          <w:p>
            <w:pPr>
              <w:spacing w:after="40"/>
            </w:pPr>
            <w:r>
              <w:rPr>
                <w:rFonts w:ascii="Arial" w:hAnsi="Arial"/>
                <w:b w:val="0"/>
                <w:color w:val="17212B"/>
                <w:sz w:val="15"/>
              </w:rPr>
              <w:t>Unlimited governed retakes use equivalent fresh forms and preserve every prior attempt.</w:t>
            </w:r>
          </w:p>
        </w:tc>
      </w:tr>
      <w:tr>
        <w:tc>
          <w:tcPr>
            <w:tcW w:type="dxa" w:w="1700"/>
            <w:vAlign w:val="top"/>
            <w:shd w:fill="F8FAFC"/>
          </w:tcPr>
          <w:p>
            <w:pPr>
              <w:spacing w:after="40"/>
            </w:pPr>
            <w:r>
              <w:rPr>
                <w:rFonts w:ascii="Arial" w:hAnsi="Arial"/>
                <w:b w:val="0"/>
                <w:color w:val="17212B"/>
                <w:sz w:val="15"/>
              </w:rPr>
              <w:t>Protection</w:t>
            </w:r>
          </w:p>
        </w:tc>
        <w:tc>
          <w:tcPr>
            <w:tcW w:type="dxa" w:w="7660"/>
            <w:vAlign w:val="top"/>
            <w:shd w:fill="F8FAFC"/>
          </w:tcPr>
          <w:p>
            <w:pPr>
              <w:spacing w:after="40"/>
            </w:pPr>
            <w:r>
              <w:rPr>
                <w:rFonts w:ascii="Arial" w:hAnsi="Arial"/>
                <w:b w:val="0"/>
                <w:color w:val="17212B"/>
                <w:sz w:val="15"/>
              </w:rPr>
              <w:t>No answer/key/rationale leakage through payload, cache, log, analytics, export or manager view.</w:t>
            </w:r>
          </w:p>
        </w:tc>
      </w:tr>
    </w:tbl>
    <w:p>
      <w:pPr>
        <w:pStyle w:val="Heading1"/>
        <w:widowControl/>
      </w:pPr>
      <w:r>
        <w:rPr>
          <w:rFonts w:ascii="Arial" w:hAnsi="Arial"/>
          <w:b w:val="0"/>
        </w:rPr>
        <w:t>8. Permissions and approval acceptance</w:t>
      </w:r>
    </w:p>
    <w:p>
      <w:pPr>
        <w:pStyle w:val="ListBullet"/>
        <w:widowControl/>
      </w:pPr>
      <w:r>
        <w:rPr>
          <w:rFonts w:ascii="Arial" w:hAnsi="Arial"/>
          <w:b w:val="0"/>
        </w:rPr>
        <w:t>Test the permission matrix at interface, API, service and data boundaries; direct endpoint access must not bypass the UI.</w:t>
      </w:r>
    </w:p>
    <w:p>
      <w:pPr>
        <w:pStyle w:val="ListBullet"/>
        <w:widowControl/>
      </w:pPr>
      <w:r>
        <w:rPr>
          <w:rFonts w:ascii="Arial" w:hAnsi="Arial"/>
          <w:b w:val="0"/>
        </w:rPr>
        <w:t>Authors cannot approve their own version; administrators cannot award competence, certificates or event authority.</w:t>
      </w:r>
    </w:p>
    <w:p>
      <w:pPr>
        <w:pStyle w:val="ListBullet"/>
        <w:widowControl/>
      </w:pPr>
      <w:r>
        <w:rPr>
          <w:rFonts w:ascii="Arial" w:hAnsi="Arial"/>
          <w:b w:val="0"/>
        </w:rPr>
        <w:t>Managers see only permitted team summaries—not raw answers, keys, protected evidence or unrelated people.</w:t>
      </w:r>
    </w:p>
    <w:p>
      <w:pPr>
        <w:pStyle w:val="ListBullet"/>
        <w:widowControl/>
      </w:pPr>
      <w:r>
        <w:rPr>
          <w:rFonts w:ascii="Arial" w:hAnsi="Arial"/>
          <w:b w:val="0"/>
        </w:rPr>
        <w:t>Privileged export, publication, certification lifecycle, purge and break-glass actions require prescribed MFA, reauthentication, reason and maker-checker control.</w:t>
      </w:r>
    </w:p>
    <w:p>
      <w:pPr>
        <w:pStyle w:val="ListBullet"/>
        <w:widowControl/>
      </w:pPr>
      <w:r>
        <w:rPr>
          <w:rFonts w:ascii="Arial" w:hAnsi="Arial"/>
          <w:b w:val="0"/>
        </w:rPr>
        <w:t>CEO reserved decisions are explicit, exact and auditable; CEO visibility does not mutate specialist evidence.</w:t>
      </w:r>
    </w:p>
    <w:p>
      <w:pPr>
        <w:pStyle w:val="Heading1"/>
        <w:widowControl/>
      </w:pPr>
      <w:r>
        <w:rPr>
          <w:rFonts w:ascii="Arial" w:hAnsi="Arial"/>
          <w:b w:val="0"/>
        </w:rPr>
        <w:t>9. OS–Academy integration acceptance</w:t>
      </w:r>
    </w:p>
    <w:p>
      <w:pPr>
        <w:pStyle w:val="ListBullet"/>
        <w:widowControl/>
      </w:pPr>
      <w:r>
        <w:rPr>
          <w:rFonts w:ascii="Arial" w:hAnsi="Arial"/>
          <w:b w:val="0"/>
        </w:rPr>
        <w:t>Academy consumes only contracted event, assignment and package facts; it never edits MD-EOS event truth.</w:t>
      </w:r>
    </w:p>
    <w:p>
      <w:pPr>
        <w:pStyle w:val="ListBullet"/>
        <w:widowControl/>
      </w:pPr>
      <w:r>
        <w:rPr>
          <w:rFonts w:ascii="Arial" w:hAnsi="Arial"/>
          <w:b w:val="0"/>
        </w:rPr>
        <w:t>Messages use /integration/v1 contracts, workload identity, signature/checksum, replay protection, idempotency and correlation.</w:t>
      </w:r>
    </w:p>
    <w:p>
      <w:pPr>
        <w:pStyle w:val="ListBullet"/>
        <w:widowControl/>
      </w:pPr>
      <w:r>
        <w:rPr>
          <w:rFonts w:ascii="Arial" w:hAnsi="Arial"/>
          <w:b w:val="0"/>
        </w:rPr>
        <w:t>Duplicate and out-of-order messages create one correct effect; stale/revoked packages cannot yield current readiness.</w:t>
      </w:r>
    </w:p>
    <w:p>
      <w:pPr>
        <w:pStyle w:val="ListBullet"/>
        <w:widowControl/>
      </w:pPr>
      <w:r>
        <w:rPr>
          <w:rFonts w:ascii="Arial" w:hAnsi="Arial"/>
          <w:b w:val="0"/>
        </w:rPr>
        <w:t>Academy returns minimum readiness/status evidence; it does not send raw responses, keys or private practical evidence.</w:t>
      </w:r>
    </w:p>
    <w:p>
      <w:pPr>
        <w:pStyle w:val="ListBullet"/>
        <w:widowControl/>
      </w:pPr>
      <w:r>
        <w:rPr>
          <w:rFonts w:ascii="Arial" w:hAnsi="Arial"/>
          <w:b w:val="0"/>
        </w:rPr>
        <w:t>OS outage, delayed facts and reconciliation mismatch are visible and fail closed; recovery creates no duplicate authority.</w:t>
      </w:r>
    </w:p>
    <w:p>
      <w:pPr>
        <w:pStyle w:val="Heading1"/>
        <w:widowControl/>
      </w:pPr>
      <w:r>
        <w:rPr>
          <w:rFonts w:ascii="Arial" w:hAnsi="Arial"/>
          <w:b w:val="0"/>
        </w:rPr>
        <w:t>10. Performance, resilience and operations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vAlign w:val="top"/>
            <w:shd w:fill="E8EEF5"/>
          </w:tcPr>
          <w:p>
            <w:pPr>
              <w:spacing w:after="40"/>
            </w:pPr>
            <w:r>
              <w:rPr>
                <w:rFonts w:ascii="Arial" w:hAnsi="Arial"/>
                <w:b/>
                <w:color w:val="10243E"/>
                <w:sz w:val="16"/>
              </w:rPr>
              <w:t>Dimension</w:t>
            </w:r>
          </w:p>
        </w:tc>
        <w:tc>
          <w:tcPr>
            <w:tcW w:type="dxa" w:w="7560"/>
            <w:vAlign w:val="top"/>
            <w:shd w:fill="E8EEF5"/>
          </w:tcPr>
          <w:p>
            <w:pPr>
              <w:spacing w:after="40"/>
            </w:pPr>
            <w:r>
              <w:rPr>
                <w:rFonts w:ascii="Arial" w:hAnsi="Arial"/>
                <w:b/>
                <w:color w:val="10243E"/>
                <w:sz w:val="16"/>
              </w:rPr>
              <w:t>Acceptance</w:t>
            </w:r>
          </w:p>
        </w:tc>
      </w:tr>
      <w:tr>
        <w:tc>
          <w:tcPr>
            <w:tcW w:type="dxa" w:w="1800"/>
            <w:vAlign w:val="top"/>
            <w:shd w:fill="FFFFFF"/>
          </w:tcPr>
          <w:p>
            <w:pPr>
              <w:spacing w:after="40"/>
            </w:pPr>
            <w:r>
              <w:rPr>
                <w:rFonts w:ascii="Arial" w:hAnsi="Arial"/>
                <w:b w:val="0"/>
                <w:color w:val="17212B"/>
                <w:sz w:val="16"/>
              </w:rPr>
              <w:t>Mobile/network</w:t>
            </w:r>
          </w:p>
        </w:tc>
        <w:tc>
          <w:tcPr>
            <w:tcW w:type="dxa" w:w="7560"/>
            <w:vAlign w:val="top"/>
            <w:shd w:fill="FFFFFF"/>
          </w:tcPr>
          <w:p>
            <w:pPr>
              <w:spacing w:after="40"/>
            </w:pPr>
            <w:r>
              <w:rPr>
                <w:rFonts w:ascii="Arial" w:hAnsi="Arial"/>
                <w:b w:val="0"/>
                <w:color w:val="17212B"/>
                <w:sz w:val="16"/>
              </w:rPr>
              <w:t>Useful content and core action meet ratified budget on representative Lagos conditions; reconnect is truthful.</w:t>
            </w:r>
          </w:p>
        </w:tc>
      </w:tr>
      <w:tr>
        <w:tc>
          <w:tcPr>
            <w:tcW w:type="dxa" w:w="1800"/>
            <w:vAlign w:val="top"/>
            <w:shd w:fill="F8FAFC"/>
          </w:tcPr>
          <w:p>
            <w:pPr>
              <w:spacing w:after="40"/>
            </w:pPr>
            <w:r>
              <w:rPr>
                <w:rFonts w:ascii="Arial" w:hAnsi="Arial"/>
                <w:b w:val="0"/>
                <w:color w:val="17212B"/>
                <w:sz w:val="16"/>
              </w:rPr>
              <w:t>Offline</w:t>
            </w:r>
          </w:p>
        </w:tc>
        <w:tc>
          <w:tcPr>
            <w:tcW w:type="dxa" w:w="7560"/>
            <w:vAlign w:val="top"/>
            <w:shd w:fill="F8FAFC"/>
          </w:tcPr>
          <w:p>
            <w:pPr>
              <w:spacing w:after="40"/>
            </w:pPr>
            <w:r>
              <w:rPr>
                <w:rFonts w:ascii="Arial" w:hAnsi="Arial"/>
                <w:b w:val="0"/>
                <w:color w:val="17212B"/>
                <w:sz w:val="16"/>
              </w:rPr>
              <w:t>Encrypted, bounded, expiring and revocable; no current readiness or protected assessment content inferred offline.</w:t>
            </w:r>
          </w:p>
        </w:tc>
      </w:tr>
      <w:tr>
        <w:tc>
          <w:tcPr>
            <w:tcW w:type="dxa" w:w="1800"/>
            <w:vAlign w:val="top"/>
            <w:shd w:fill="FFFFFF"/>
          </w:tcPr>
          <w:p>
            <w:pPr>
              <w:spacing w:after="40"/>
            </w:pPr>
            <w:r>
              <w:rPr>
                <w:rFonts w:ascii="Arial" w:hAnsi="Arial"/>
                <w:b w:val="0"/>
                <w:color w:val="17212B"/>
                <w:sz w:val="16"/>
              </w:rPr>
              <w:t>Availability</w:t>
            </w:r>
          </w:p>
        </w:tc>
        <w:tc>
          <w:tcPr>
            <w:tcW w:type="dxa" w:w="7560"/>
            <w:vAlign w:val="top"/>
            <w:shd w:fill="FFFFFF"/>
          </w:tcPr>
          <w:p>
            <w:pPr>
              <w:spacing w:after="40"/>
            </w:pPr>
            <w:r>
              <w:rPr>
                <w:rFonts w:ascii="Arial" w:hAnsi="Arial"/>
                <w:b w:val="0"/>
                <w:color w:val="17212B"/>
                <w:sz w:val="16"/>
              </w:rPr>
              <w:t>Health/readiness, queues, workers, object storage and integration have measurable SLOs and alert owners.</w:t>
            </w:r>
          </w:p>
        </w:tc>
      </w:tr>
      <w:tr>
        <w:tc>
          <w:tcPr>
            <w:tcW w:type="dxa" w:w="1800"/>
            <w:vAlign w:val="top"/>
            <w:shd w:fill="F8FAFC"/>
          </w:tcPr>
          <w:p>
            <w:pPr>
              <w:spacing w:after="40"/>
            </w:pPr>
            <w:r>
              <w:rPr>
                <w:rFonts w:ascii="Arial" w:hAnsi="Arial"/>
                <w:b w:val="0"/>
                <w:color w:val="17212B"/>
                <w:sz w:val="16"/>
              </w:rPr>
              <w:t>Recovery</w:t>
            </w:r>
          </w:p>
        </w:tc>
        <w:tc>
          <w:tcPr>
            <w:tcW w:type="dxa" w:w="7560"/>
            <w:vAlign w:val="top"/>
            <w:shd w:fill="F8FAFC"/>
          </w:tcPr>
          <w:p>
            <w:pPr>
              <w:spacing w:after="40"/>
            </w:pPr>
            <w:r>
              <w:rPr>
                <w:rFonts w:ascii="Arial" w:hAnsi="Arial"/>
                <w:b w:val="0"/>
                <w:color w:val="17212B"/>
                <w:sz w:val="16"/>
              </w:rPr>
              <w:t>Backup/restore, deletion ledger, replay, cache invalidation, rollback and reconciliation are rehearsed.</w:t>
            </w:r>
          </w:p>
        </w:tc>
      </w:tr>
      <w:tr>
        <w:tc>
          <w:tcPr>
            <w:tcW w:type="dxa" w:w="1800"/>
            <w:vAlign w:val="top"/>
            <w:shd w:fill="FFFFFF"/>
          </w:tcPr>
          <w:p>
            <w:pPr>
              <w:spacing w:after="40"/>
            </w:pPr>
            <w:r>
              <w:rPr>
                <w:rFonts w:ascii="Arial" w:hAnsi="Arial"/>
                <w:b w:val="0"/>
                <w:color w:val="17212B"/>
                <w:sz w:val="16"/>
              </w:rPr>
              <w:t>Support</w:t>
            </w:r>
          </w:p>
        </w:tc>
        <w:tc>
          <w:tcPr>
            <w:tcW w:type="dxa" w:w="7560"/>
            <w:vAlign w:val="top"/>
            <w:shd w:fill="FFFFFF"/>
          </w:tcPr>
          <w:p>
            <w:pPr>
              <w:spacing w:after="40"/>
            </w:pPr>
            <w:r>
              <w:rPr>
                <w:rFonts w:ascii="Arial" w:hAnsi="Arial"/>
                <w:b w:val="0"/>
                <w:color w:val="17212B"/>
                <w:sz w:val="16"/>
              </w:rPr>
              <w:t>Safe diagnostics, correlation reference, escalation and runbooks resolve cases without privileged data exposure.</w:t>
            </w:r>
          </w:p>
        </w:tc>
      </w:tr>
      <w:tr>
        <w:tc>
          <w:tcPr>
            <w:tcW w:type="dxa" w:w="1800"/>
            <w:vAlign w:val="top"/>
            <w:shd w:fill="F8FAFC"/>
          </w:tcPr>
          <w:p>
            <w:pPr>
              <w:spacing w:after="40"/>
            </w:pPr>
            <w:r>
              <w:rPr>
                <w:rFonts w:ascii="Arial" w:hAnsi="Arial"/>
                <w:b w:val="0"/>
                <w:color w:val="17212B"/>
                <w:sz w:val="16"/>
              </w:rPr>
              <w:t>Release</w:t>
            </w:r>
          </w:p>
        </w:tc>
        <w:tc>
          <w:tcPr>
            <w:tcW w:type="dxa" w:w="7560"/>
            <w:vAlign w:val="top"/>
            <w:shd w:fill="F8FAFC"/>
          </w:tcPr>
          <w:p>
            <w:pPr>
              <w:spacing w:after="40"/>
            </w:pPr>
            <w:r>
              <w:rPr>
                <w:rFonts w:ascii="Arial" w:hAnsi="Arial"/>
                <w:b w:val="0"/>
                <w:color w:val="17212B"/>
                <w:sz w:val="16"/>
              </w:rPr>
              <w:t>Exact candidate, migration, configuration, evidence and rollback recorded; post-release smoke and stabilisation completed.</w:t>
            </w:r>
          </w:p>
        </w:tc>
      </w:tr>
    </w:tbl>
    <w:p>
      <w:r>
        <w:br w:type="page"/>
      </w:r>
    </w:p>
    <w:p>
      <w:pPr>
        <w:pStyle w:val="Heading1"/>
        <w:widowControl/>
      </w:pPr>
      <w:r>
        <w:rPr>
          <w:rFonts w:ascii="Arial" w:hAnsi="Arial"/>
          <w:b w:val="0"/>
        </w:rPr>
        <w:t>11. Gate and slice acceptance overlay</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top"/>
            <w:shd w:fill="E8EEF5"/>
          </w:tcPr>
          <w:p>
            <w:pPr>
              <w:spacing w:after="40"/>
            </w:pPr>
            <w:r>
              <w:rPr>
                <w:rFonts w:ascii="Arial" w:hAnsi="Arial"/>
                <w:b/>
                <w:color w:val="10243E"/>
                <w:sz w:val="16"/>
              </w:rPr>
              <w:t>Gate</w:t>
            </w:r>
          </w:p>
        </w:tc>
        <w:tc>
          <w:tcPr>
            <w:tcW w:type="dxa" w:w="8460"/>
            <w:vAlign w:val="top"/>
            <w:shd w:fill="E8EEF5"/>
          </w:tcPr>
          <w:p>
            <w:pPr>
              <w:spacing w:after="40"/>
            </w:pPr>
            <w:r>
              <w:rPr>
                <w:rFonts w:ascii="Arial" w:hAnsi="Arial"/>
                <w:b/>
                <w:color w:val="10243E"/>
                <w:sz w:val="16"/>
              </w:rPr>
              <w:t>Independent emphasis</w:t>
            </w:r>
          </w:p>
        </w:tc>
      </w:tr>
      <w:tr>
        <w:tc>
          <w:tcPr>
            <w:tcW w:type="dxa" w:w="900"/>
            <w:vAlign w:val="top"/>
            <w:shd w:fill="FFFFFF"/>
          </w:tcPr>
          <w:p>
            <w:pPr>
              <w:spacing w:after="40"/>
            </w:pPr>
            <w:r>
              <w:rPr>
                <w:rFonts w:ascii="Arial" w:hAnsi="Arial"/>
                <w:b w:val="0"/>
                <w:color w:val="17212B"/>
                <w:sz w:val="16"/>
              </w:rPr>
              <w:t>G0</w:t>
            </w:r>
          </w:p>
        </w:tc>
        <w:tc>
          <w:tcPr>
            <w:tcW w:type="dxa" w:w="8460"/>
            <w:vAlign w:val="top"/>
            <w:shd w:fill="FFFFFF"/>
          </w:tcPr>
          <w:p>
            <w:pPr>
              <w:spacing w:after="40"/>
            </w:pPr>
            <w:r>
              <w:rPr>
                <w:rFonts w:ascii="Arial" w:hAnsi="Arial"/>
                <w:b w:val="0"/>
                <w:color w:val="17212B"/>
                <w:sz w:val="16"/>
              </w:rPr>
              <w:t>Sources, ADRs, repository, CI, synthetic fixtures and evidence system</w:t>
            </w:r>
          </w:p>
        </w:tc>
      </w:tr>
      <w:tr>
        <w:tc>
          <w:tcPr>
            <w:tcW w:type="dxa" w:w="900"/>
            <w:vAlign w:val="top"/>
            <w:shd w:fill="F8FAFC"/>
          </w:tcPr>
          <w:p>
            <w:pPr>
              <w:spacing w:after="40"/>
            </w:pPr>
            <w:r>
              <w:rPr>
                <w:rFonts w:ascii="Arial" w:hAnsi="Arial"/>
                <w:b w:val="0"/>
                <w:color w:val="17212B"/>
                <w:sz w:val="16"/>
              </w:rPr>
              <w:t>S01</w:t>
            </w:r>
          </w:p>
        </w:tc>
        <w:tc>
          <w:tcPr>
            <w:tcW w:type="dxa" w:w="8460"/>
            <w:vAlign w:val="top"/>
            <w:shd w:fill="F8FAFC"/>
          </w:tcPr>
          <w:p>
            <w:pPr>
              <w:spacing w:after="40"/>
            </w:pPr>
            <w:r>
              <w:rPr>
                <w:rFonts w:ascii="Arial" w:hAnsi="Arial"/>
                <w:b w:val="0"/>
                <w:color w:val="17212B"/>
                <w:sz w:val="16"/>
              </w:rPr>
              <w:t>Identity, tenant context, policy, sessions, shell and audit</w:t>
            </w:r>
          </w:p>
        </w:tc>
      </w:tr>
      <w:tr>
        <w:tc>
          <w:tcPr>
            <w:tcW w:type="dxa" w:w="900"/>
            <w:vAlign w:val="top"/>
            <w:shd w:fill="FFFFFF"/>
          </w:tcPr>
          <w:p>
            <w:pPr>
              <w:spacing w:after="40"/>
            </w:pPr>
            <w:r>
              <w:rPr>
                <w:rFonts w:ascii="Arial" w:hAnsi="Arial"/>
                <w:b w:val="0"/>
                <w:color w:val="17212B"/>
                <w:sz w:val="16"/>
              </w:rPr>
              <w:t>S02</w:t>
            </w:r>
          </w:p>
        </w:tc>
        <w:tc>
          <w:tcPr>
            <w:tcW w:type="dxa" w:w="8460"/>
            <w:vAlign w:val="top"/>
            <w:shd w:fill="FFFFFF"/>
          </w:tcPr>
          <w:p>
            <w:pPr>
              <w:spacing w:after="40"/>
            </w:pPr>
            <w:r>
              <w:rPr>
                <w:rFonts w:ascii="Arial" w:hAnsi="Arial"/>
                <w:b w:val="0"/>
                <w:color w:val="17212B"/>
                <w:sz w:val="16"/>
              </w:rPr>
              <w:t>People, roles, paths, enrolment and roster reconciliation</w:t>
            </w:r>
          </w:p>
        </w:tc>
      </w:tr>
      <w:tr>
        <w:tc>
          <w:tcPr>
            <w:tcW w:type="dxa" w:w="900"/>
            <w:vAlign w:val="top"/>
            <w:shd w:fill="F8FAFC"/>
          </w:tcPr>
          <w:p>
            <w:pPr>
              <w:spacing w:after="40"/>
            </w:pPr>
            <w:r>
              <w:rPr>
                <w:rFonts w:ascii="Arial" w:hAnsi="Arial"/>
                <w:b w:val="0"/>
                <w:color w:val="17212B"/>
                <w:sz w:val="16"/>
              </w:rPr>
              <w:t>S03</w:t>
            </w:r>
          </w:p>
        </w:tc>
        <w:tc>
          <w:tcPr>
            <w:tcW w:type="dxa" w:w="8460"/>
            <w:vAlign w:val="top"/>
            <w:shd w:fill="F8FAFC"/>
          </w:tcPr>
          <w:p>
            <w:pPr>
              <w:spacing w:after="40"/>
            </w:pPr>
            <w:r>
              <w:rPr>
                <w:rFonts w:ascii="Arial" w:hAnsi="Arial"/>
                <w:b w:val="0"/>
                <w:color w:val="17212B"/>
                <w:sz w:val="16"/>
              </w:rPr>
              <w:t>Knowledge/content versioning, independent review, publication and supersession</w:t>
            </w:r>
          </w:p>
        </w:tc>
      </w:tr>
      <w:tr>
        <w:tc>
          <w:tcPr>
            <w:tcW w:type="dxa" w:w="900"/>
            <w:vAlign w:val="top"/>
            <w:shd w:fill="FFFFFF"/>
          </w:tcPr>
          <w:p>
            <w:pPr>
              <w:spacing w:after="40"/>
            </w:pPr>
            <w:r>
              <w:rPr>
                <w:rFonts w:ascii="Arial" w:hAnsi="Arial"/>
                <w:b w:val="0"/>
                <w:color w:val="17212B"/>
                <w:sz w:val="16"/>
              </w:rPr>
              <w:t>S04</w:t>
            </w:r>
          </w:p>
        </w:tc>
        <w:tc>
          <w:tcPr>
            <w:tcW w:type="dxa" w:w="8460"/>
            <w:vAlign w:val="top"/>
            <w:shd w:fill="FFFFFF"/>
          </w:tcPr>
          <w:p>
            <w:pPr>
              <w:spacing w:after="40"/>
            </w:pPr>
            <w:r>
              <w:rPr>
                <w:rFonts w:ascii="Arial" w:hAnsi="Arial"/>
                <w:b w:val="0"/>
                <w:color w:val="17212B"/>
                <w:sz w:val="16"/>
              </w:rPr>
              <w:t>Accessible learning delivery, progress, acknowledgements and controlled offline</w:t>
            </w:r>
          </w:p>
        </w:tc>
      </w:tr>
      <w:tr>
        <w:tc>
          <w:tcPr>
            <w:tcW w:type="dxa" w:w="900"/>
            <w:vAlign w:val="top"/>
            <w:shd w:fill="F8FAFC"/>
          </w:tcPr>
          <w:p>
            <w:pPr>
              <w:spacing w:after="40"/>
            </w:pPr>
            <w:r>
              <w:rPr>
                <w:rFonts w:ascii="Arial" w:hAnsi="Arial"/>
                <w:b w:val="0"/>
                <w:color w:val="17212B"/>
                <w:sz w:val="16"/>
              </w:rPr>
              <w:t>S05</w:t>
            </w:r>
          </w:p>
        </w:tc>
        <w:tc>
          <w:tcPr>
            <w:tcW w:type="dxa" w:w="8460"/>
            <w:vAlign w:val="top"/>
            <w:shd w:fill="F8FAFC"/>
          </w:tcPr>
          <w:p>
            <w:pPr>
              <w:spacing w:after="40"/>
            </w:pPr>
            <w:r>
              <w:rPr>
                <w:rFonts w:ascii="Arial" w:hAnsi="Arial"/>
                <w:b w:val="0"/>
                <w:color w:val="17212B"/>
                <w:sz w:val="16"/>
              </w:rPr>
              <w:t>Question bank, blueprints, rubrics, difficult forms and exposure control</w:t>
            </w:r>
          </w:p>
        </w:tc>
      </w:tr>
      <w:tr>
        <w:tc>
          <w:tcPr>
            <w:tcW w:type="dxa" w:w="900"/>
            <w:vAlign w:val="top"/>
            <w:shd w:fill="FFFFFF"/>
          </w:tcPr>
          <w:p>
            <w:pPr>
              <w:spacing w:after="40"/>
            </w:pPr>
            <w:r>
              <w:rPr>
                <w:rFonts w:ascii="Arial" w:hAnsi="Arial"/>
                <w:b w:val="0"/>
                <w:color w:val="17212B"/>
                <w:sz w:val="16"/>
              </w:rPr>
              <w:t>S06</w:t>
            </w:r>
          </w:p>
        </w:tc>
        <w:tc>
          <w:tcPr>
            <w:tcW w:type="dxa" w:w="8460"/>
            <w:vAlign w:val="top"/>
            <w:shd w:fill="FFFFFF"/>
          </w:tcPr>
          <w:p>
            <w:pPr>
              <w:spacing w:after="40"/>
            </w:pPr>
            <w:r>
              <w:rPr>
                <w:rFonts w:ascii="Arial" w:hAnsi="Arial"/>
                <w:b w:val="0"/>
                <w:color w:val="17212B"/>
                <w:sz w:val="16"/>
              </w:rPr>
              <w:t>Frozen attempts, autosave, marking, results, remediation and retakes</w:t>
            </w:r>
          </w:p>
        </w:tc>
      </w:tr>
      <w:tr>
        <w:tc>
          <w:tcPr>
            <w:tcW w:type="dxa" w:w="900"/>
            <w:vAlign w:val="top"/>
            <w:shd w:fill="F8FAFC"/>
          </w:tcPr>
          <w:p>
            <w:pPr>
              <w:spacing w:after="40"/>
            </w:pPr>
            <w:r>
              <w:rPr>
                <w:rFonts w:ascii="Arial" w:hAnsi="Arial"/>
                <w:b w:val="0"/>
                <w:color w:val="17212B"/>
                <w:sz w:val="16"/>
              </w:rPr>
              <w:t>S07</w:t>
            </w:r>
          </w:p>
        </w:tc>
        <w:tc>
          <w:tcPr>
            <w:tcW w:type="dxa" w:w="8460"/>
            <w:vAlign w:val="top"/>
            <w:shd w:fill="F8FAFC"/>
          </w:tcPr>
          <w:p>
            <w:pPr>
              <w:spacing w:after="40"/>
            </w:pPr>
            <w:r>
              <w:rPr>
                <w:rFonts w:ascii="Arial" w:hAnsi="Arial"/>
                <w:b w:val="0"/>
                <w:color w:val="17212B"/>
                <w:sz w:val="16"/>
              </w:rPr>
              <w:t>Practical evidence, assessor conflict, moderation, panels and appeals</w:t>
            </w:r>
          </w:p>
        </w:tc>
      </w:tr>
      <w:tr>
        <w:tc>
          <w:tcPr>
            <w:tcW w:type="dxa" w:w="900"/>
            <w:vAlign w:val="top"/>
            <w:shd w:fill="FFFFFF"/>
          </w:tcPr>
          <w:p>
            <w:pPr>
              <w:spacing w:after="40"/>
            </w:pPr>
            <w:r>
              <w:rPr>
                <w:rFonts w:ascii="Arial" w:hAnsi="Arial"/>
                <w:b w:val="0"/>
                <w:color w:val="17212B"/>
                <w:sz w:val="16"/>
              </w:rPr>
              <w:t>S08</w:t>
            </w:r>
          </w:p>
        </w:tc>
        <w:tc>
          <w:tcPr>
            <w:tcW w:type="dxa" w:w="8460"/>
            <w:vAlign w:val="top"/>
            <w:shd w:fill="FFFFFF"/>
          </w:tcPr>
          <w:p>
            <w:pPr>
              <w:spacing w:after="40"/>
            </w:pPr>
            <w:r>
              <w:rPr>
                <w:rFonts w:ascii="Arial" w:hAnsi="Arial"/>
                <w:b w:val="0"/>
                <w:color w:val="17212B"/>
                <w:sz w:val="16"/>
              </w:rPr>
              <w:t>Certificate eligibility, issue, verification, renewal and lifecycle</w:t>
            </w:r>
          </w:p>
        </w:tc>
      </w:tr>
      <w:tr>
        <w:tc>
          <w:tcPr>
            <w:tcW w:type="dxa" w:w="900"/>
            <w:vAlign w:val="top"/>
            <w:shd w:fill="F8FAFC"/>
          </w:tcPr>
          <w:p>
            <w:pPr>
              <w:spacing w:after="40"/>
            </w:pPr>
            <w:r>
              <w:rPr>
                <w:rFonts w:ascii="Arial" w:hAnsi="Arial"/>
                <w:b w:val="0"/>
                <w:color w:val="17212B"/>
                <w:sz w:val="16"/>
              </w:rPr>
              <w:t>S09</w:t>
            </w:r>
          </w:p>
        </w:tc>
        <w:tc>
          <w:tcPr>
            <w:tcW w:type="dxa" w:w="8460"/>
            <w:vAlign w:val="top"/>
            <w:shd w:fill="F8FAFC"/>
          </w:tcPr>
          <w:p>
            <w:pPr>
              <w:spacing w:after="40"/>
            </w:pPr>
            <w:r>
              <w:rPr>
                <w:rFonts w:ascii="Arial" w:hAnsi="Arial"/>
                <w:b w:val="0"/>
                <w:color w:val="17212B"/>
                <w:sz w:val="16"/>
              </w:rPr>
              <w:t>Vertical/horizontal role-change equivalence and gap assignment</w:t>
            </w:r>
          </w:p>
        </w:tc>
      </w:tr>
      <w:tr>
        <w:tc>
          <w:tcPr>
            <w:tcW w:type="dxa" w:w="900"/>
            <w:vAlign w:val="top"/>
            <w:shd w:fill="FFFFFF"/>
          </w:tcPr>
          <w:p>
            <w:pPr>
              <w:spacing w:after="40"/>
            </w:pPr>
            <w:r>
              <w:rPr>
                <w:rFonts w:ascii="Arial" w:hAnsi="Arial"/>
                <w:b w:val="0"/>
                <w:color w:val="17212B"/>
                <w:sz w:val="16"/>
              </w:rPr>
              <w:t>S10</w:t>
            </w:r>
          </w:p>
        </w:tc>
        <w:tc>
          <w:tcPr>
            <w:tcW w:type="dxa" w:w="8460"/>
            <w:vAlign w:val="top"/>
            <w:shd w:fill="FFFFFF"/>
          </w:tcPr>
          <w:p>
            <w:pPr>
              <w:spacing w:after="40"/>
            </w:pPr>
            <w:r>
              <w:rPr>
                <w:rFonts w:ascii="Arial" w:hAnsi="Arial"/>
                <w:b w:val="0"/>
                <w:color w:val="17212B"/>
                <w:sz w:val="16"/>
              </w:rPr>
              <w:t>Event Training Package intake, projection, withdrawal and reconciliation</w:t>
            </w:r>
          </w:p>
        </w:tc>
      </w:tr>
      <w:tr>
        <w:tc>
          <w:tcPr>
            <w:tcW w:type="dxa" w:w="900"/>
            <w:vAlign w:val="top"/>
            <w:shd w:fill="F8FAFC"/>
          </w:tcPr>
          <w:p>
            <w:pPr>
              <w:spacing w:after="40"/>
            </w:pPr>
            <w:r>
              <w:rPr>
                <w:rFonts w:ascii="Arial" w:hAnsi="Arial"/>
                <w:b w:val="0"/>
                <w:color w:val="17212B"/>
                <w:sz w:val="16"/>
              </w:rPr>
              <w:t>S11</w:t>
            </w:r>
          </w:p>
        </w:tc>
        <w:tc>
          <w:tcPr>
            <w:tcW w:type="dxa" w:w="8460"/>
            <w:vAlign w:val="top"/>
            <w:shd w:fill="F8FAFC"/>
          </w:tcPr>
          <w:p>
            <w:pPr>
              <w:spacing w:after="40"/>
            </w:pPr>
            <w:r>
              <w:rPr>
                <w:rFonts w:ascii="Arial" w:hAnsi="Arial"/>
                <w:b w:val="0"/>
                <w:color w:val="17212B"/>
                <w:sz w:val="16"/>
              </w:rPr>
              <w:t>Fresh event readiness evaluation and safe OS return</w:t>
            </w:r>
          </w:p>
        </w:tc>
      </w:tr>
      <w:tr>
        <w:tc>
          <w:tcPr>
            <w:tcW w:type="dxa" w:w="900"/>
            <w:vAlign w:val="top"/>
            <w:shd w:fill="FFFFFF"/>
          </w:tcPr>
          <w:p>
            <w:pPr>
              <w:spacing w:after="40"/>
            </w:pPr>
            <w:r>
              <w:rPr>
                <w:rFonts w:ascii="Arial" w:hAnsi="Arial"/>
                <w:b w:val="0"/>
                <w:color w:val="17212B"/>
                <w:sz w:val="16"/>
              </w:rPr>
              <w:t>S12</w:t>
            </w:r>
          </w:p>
        </w:tc>
        <w:tc>
          <w:tcPr>
            <w:tcW w:type="dxa" w:w="8460"/>
            <w:vAlign w:val="top"/>
            <w:shd w:fill="FFFFFF"/>
          </w:tcPr>
          <w:p>
            <w:pPr>
              <w:spacing w:after="40"/>
            </w:pPr>
            <w:r>
              <w:rPr>
                <w:rFonts w:ascii="Arial" w:hAnsi="Arial"/>
                <w:b w:val="0"/>
                <w:color w:val="17212B"/>
                <w:sz w:val="16"/>
              </w:rPr>
              <w:t>Notifications, acknowledgements, escalation and intervention</w:t>
            </w:r>
          </w:p>
        </w:tc>
      </w:tr>
      <w:tr>
        <w:tc>
          <w:tcPr>
            <w:tcW w:type="dxa" w:w="900"/>
            <w:vAlign w:val="top"/>
            <w:shd w:fill="F8FAFC"/>
          </w:tcPr>
          <w:p>
            <w:pPr>
              <w:spacing w:after="40"/>
            </w:pPr>
            <w:r>
              <w:rPr>
                <w:rFonts w:ascii="Arial" w:hAnsi="Arial"/>
                <w:b w:val="0"/>
                <w:color w:val="17212B"/>
                <w:sz w:val="16"/>
              </w:rPr>
              <w:t>S13</w:t>
            </w:r>
          </w:p>
        </w:tc>
        <w:tc>
          <w:tcPr>
            <w:tcW w:type="dxa" w:w="8460"/>
            <w:vAlign w:val="top"/>
            <w:shd w:fill="F8FAFC"/>
          </w:tcPr>
          <w:p>
            <w:pPr>
              <w:spacing w:after="40"/>
            </w:pPr>
            <w:r>
              <w:rPr>
                <w:rFonts w:ascii="Arial" w:hAnsi="Arial"/>
                <w:b w:val="0"/>
                <w:color w:val="17212B"/>
                <w:sz w:val="16"/>
              </w:rPr>
              <w:t>Metrics, alerts, recommendations, reports and privacy-safe drilldown</w:t>
            </w:r>
          </w:p>
        </w:tc>
      </w:tr>
      <w:tr>
        <w:tc>
          <w:tcPr>
            <w:tcW w:type="dxa" w:w="900"/>
            <w:vAlign w:val="top"/>
            <w:shd w:fill="FFFFFF"/>
          </w:tcPr>
          <w:p>
            <w:pPr>
              <w:spacing w:after="40"/>
            </w:pPr>
            <w:r>
              <w:rPr>
                <w:rFonts w:ascii="Arial" w:hAnsi="Arial"/>
                <w:b w:val="0"/>
                <w:color w:val="17212B"/>
                <w:sz w:val="16"/>
              </w:rPr>
              <w:t>S14</w:t>
            </w:r>
          </w:p>
        </w:tc>
        <w:tc>
          <w:tcPr>
            <w:tcW w:type="dxa" w:w="8460"/>
            <w:vAlign w:val="top"/>
            <w:shd w:fill="FFFFFF"/>
          </w:tcPr>
          <w:p>
            <w:pPr>
              <w:spacing w:after="40"/>
            </w:pPr>
            <w:r>
              <w:rPr>
                <w:rFonts w:ascii="Arial" w:hAnsi="Arial"/>
                <w:b w:val="0"/>
                <w:color w:val="17212B"/>
                <w:sz w:val="16"/>
              </w:rPr>
              <w:t>Rights, holds, retention, purge, access review, incident and vendor exit</w:t>
            </w:r>
          </w:p>
        </w:tc>
      </w:tr>
      <w:tr>
        <w:tc>
          <w:tcPr>
            <w:tcW w:type="dxa" w:w="900"/>
            <w:vAlign w:val="top"/>
            <w:shd w:fill="F8FAFC"/>
          </w:tcPr>
          <w:p>
            <w:pPr>
              <w:spacing w:after="40"/>
            </w:pPr>
            <w:r>
              <w:rPr>
                <w:rFonts w:ascii="Arial" w:hAnsi="Arial"/>
                <w:b w:val="0"/>
                <w:color w:val="17212B"/>
                <w:sz w:val="16"/>
              </w:rPr>
              <w:t>S15</w:t>
            </w:r>
          </w:p>
        </w:tc>
        <w:tc>
          <w:tcPr>
            <w:tcW w:type="dxa" w:w="8460"/>
            <w:vAlign w:val="top"/>
            <w:shd w:fill="F8FAFC"/>
          </w:tcPr>
          <w:p>
            <w:pPr>
              <w:spacing w:after="40"/>
            </w:pPr>
            <w:r>
              <w:rPr>
                <w:rFonts w:ascii="Arial" w:hAnsi="Arial"/>
                <w:b w:val="0"/>
                <w:color w:val="17212B"/>
                <w:sz w:val="16"/>
              </w:rPr>
              <w:t>Accessibility, Lagos network, offline, recovery, SLO and release hardening</w:t>
            </w:r>
          </w:p>
        </w:tc>
      </w:tr>
      <w:tr>
        <w:tc>
          <w:tcPr>
            <w:tcW w:type="dxa" w:w="900"/>
            <w:vAlign w:val="top"/>
            <w:shd w:fill="FFFFFF"/>
          </w:tcPr>
          <w:p>
            <w:pPr>
              <w:spacing w:after="40"/>
            </w:pPr>
            <w:r>
              <w:rPr>
                <w:rFonts w:ascii="Arial" w:hAnsi="Arial"/>
                <w:b w:val="0"/>
                <w:color w:val="17212B"/>
                <w:sz w:val="16"/>
              </w:rPr>
              <w:t>S16</w:t>
            </w:r>
          </w:p>
        </w:tc>
        <w:tc>
          <w:tcPr>
            <w:tcW w:type="dxa" w:w="8460"/>
            <w:vAlign w:val="top"/>
            <w:shd w:fill="FFFFFF"/>
          </w:tcPr>
          <w:p>
            <w:pPr>
              <w:spacing w:after="40"/>
            </w:pPr>
            <w:r>
              <w:rPr>
                <w:rFonts w:ascii="Arial" w:hAnsi="Arial"/>
                <w:b w:val="0"/>
                <w:color w:val="17212B"/>
                <w:sz w:val="16"/>
              </w:rPr>
              <w:t>All 30 modules, role paths, assessments, reference event and production release</w:t>
            </w:r>
          </w:p>
        </w:tc>
      </w:tr>
    </w:tbl>
    <w:p>
      <w:pPr>
        <w:pStyle w:val="Heading1"/>
        <w:widowControl/>
      </w:pPr>
      <w:r>
        <w:rPr>
          <w:rFonts w:ascii="Arial" w:hAnsi="Arial"/>
          <w:b w:val="0"/>
        </w:rPr>
        <w:t>12. Defect and exception rules</w:t>
      </w:r>
    </w:p>
    <w:tbl>
      <w:tblPr>
        <w:tblStyle w:val="TableGrid"/>
        <w:tblW w:type="dxa" w:w="9360"/>
        <w:jc w:val="left"/>
        <w:tblLayout w:type="fixed"/>
        <w:tblLook w:firstColumn="1" w:firstRow="1" w:lastColumn="0" w:lastRow="0" w:noHBand="0" w:noVBand="1" w:val="04A0"/>
        <w:tblInd w:w="120" w:type="dxa"/>
      </w:tblPr>
      <w:tblGrid>
        <w:gridCol w:w="1500"/>
        <w:gridCol w:w="7860"/>
      </w:tblGrid>
      <w:tr>
        <w:tc>
          <w:tcPr>
            <w:tcW w:type="dxa" w:w="1500"/>
            <w:vAlign w:val="top"/>
            <w:shd w:fill="E8EEF5"/>
          </w:tcPr>
          <w:p>
            <w:pPr>
              <w:spacing w:after="40"/>
            </w:pPr>
            <w:r>
              <w:rPr>
                <w:rFonts w:ascii="Arial" w:hAnsi="Arial"/>
                <w:b/>
                <w:color w:val="10243E"/>
                <w:sz w:val="15"/>
              </w:rPr>
              <w:t>Severity</w:t>
            </w:r>
          </w:p>
        </w:tc>
        <w:tc>
          <w:tcPr>
            <w:tcW w:type="dxa" w:w="7860"/>
            <w:vAlign w:val="top"/>
            <w:shd w:fill="E8EEF5"/>
          </w:tcPr>
          <w:p>
            <w:pPr>
              <w:spacing w:after="40"/>
            </w:pPr>
            <w:r>
              <w:rPr>
                <w:rFonts w:ascii="Arial" w:hAnsi="Arial"/>
                <w:b/>
                <w:color w:val="10243E"/>
                <w:sz w:val="15"/>
              </w:rPr>
              <w:t>Rule</w:t>
            </w:r>
          </w:p>
        </w:tc>
      </w:tr>
      <w:tr>
        <w:tc>
          <w:tcPr>
            <w:tcW w:type="dxa" w:w="1500"/>
            <w:vAlign w:val="top"/>
            <w:shd w:fill="FFFFFF"/>
          </w:tcPr>
          <w:p>
            <w:pPr>
              <w:spacing w:after="40"/>
            </w:pPr>
            <w:r>
              <w:rPr>
                <w:rFonts w:ascii="Arial" w:hAnsi="Arial"/>
                <w:b w:val="0"/>
                <w:color w:val="17212B"/>
                <w:sz w:val="15"/>
              </w:rPr>
              <w:t>Critical</w:t>
            </w:r>
          </w:p>
        </w:tc>
        <w:tc>
          <w:tcPr>
            <w:tcW w:type="dxa" w:w="7860"/>
            <w:vAlign w:val="top"/>
            <w:shd w:fill="FFFFFF"/>
          </w:tcPr>
          <w:p>
            <w:pPr>
              <w:spacing w:after="40"/>
            </w:pPr>
            <w:r>
              <w:rPr>
                <w:rFonts w:ascii="Arial" w:hAnsi="Arial"/>
                <w:b w:val="0"/>
                <w:color w:val="17212B"/>
                <w:sz w:val="15"/>
              </w:rPr>
              <w:t>Isolation, authority, integrity, privacy, safety, certificate/readiness falsity, unrecoverable loss or production-control breach. Blocks acceptance and release.</w:t>
            </w:r>
          </w:p>
        </w:tc>
      </w:tr>
      <w:tr>
        <w:tc>
          <w:tcPr>
            <w:tcW w:type="dxa" w:w="1500"/>
            <w:vAlign w:val="top"/>
            <w:shd w:fill="F8FAFC"/>
          </w:tcPr>
          <w:p>
            <w:pPr>
              <w:spacing w:after="40"/>
            </w:pPr>
            <w:r>
              <w:rPr>
                <w:rFonts w:ascii="Arial" w:hAnsi="Arial"/>
                <w:b w:val="0"/>
                <w:color w:val="17212B"/>
                <w:sz w:val="15"/>
              </w:rPr>
              <w:t>High</w:t>
            </w:r>
          </w:p>
        </w:tc>
        <w:tc>
          <w:tcPr>
            <w:tcW w:type="dxa" w:w="7860"/>
            <w:vAlign w:val="top"/>
            <w:shd w:fill="F8FAFC"/>
          </w:tcPr>
          <w:p>
            <w:pPr>
              <w:spacing w:after="40"/>
            </w:pPr>
            <w:r>
              <w:rPr>
                <w:rFonts w:ascii="Arial" w:hAnsi="Arial"/>
                <w:b w:val="0"/>
                <w:color w:val="17212B"/>
                <w:sz w:val="15"/>
              </w:rPr>
              <w:t>Core journey, critical control, assessment validity, accessibility or operational recovery materially fails. Blocks acceptance.</w:t>
            </w:r>
          </w:p>
        </w:tc>
      </w:tr>
      <w:tr>
        <w:tc>
          <w:tcPr>
            <w:tcW w:type="dxa" w:w="1500"/>
            <w:vAlign w:val="top"/>
            <w:shd w:fill="FFFFFF"/>
          </w:tcPr>
          <w:p>
            <w:pPr>
              <w:spacing w:after="40"/>
            </w:pPr>
            <w:r>
              <w:rPr>
                <w:rFonts w:ascii="Arial" w:hAnsi="Arial"/>
                <w:b w:val="0"/>
                <w:color w:val="17212B"/>
                <w:sz w:val="15"/>
              </w:rPr>
              <w:t>Medium</w:t>
            </w:r>
          </w:p>
        </w:tc>
        <w:tc>
          <w:tcPr>
            <w:tcW w:type="dxa" w:w="7860"/>
            <w:vAlign w:val="top"/>
            <w:shd w:fill="FFFFFF"/>
          </w:tcPr>
          <w:p>
            <w:pPr>
              <w:spacing w:after="40"/>
            </w:pPr>
            <w:r>
              <w:rPr>
                <w:rFonts w:ascii="Arial" w:hAnsi="Arial"/>
                <w:b w:val="0"/>
                <w:color w:val="17212B"/>
                <w:sz w:val="15"/>
              </w:rPr>
              <w:t>Material but bounded failure with safe workaround; current-gate requirement still requires correction unless formally outside scope.</w:t>
            </w:r>
          </w:p>
        </w:tc>
      </w:tr>
      <w:tr>
        <w:tc>
          <w:tcPr>
            <w:tcW w:type="dxa" w:w="1500"/>
            <w:vAlign w:val="top"/>
            <w:shd w:fill="F8FAFC"/>
          </w:tcPr>
          <w:p>
            <w:pPr>
              <w:spacing w:after="40"/>
            </w:pPr>
            <w:r>
              <w:rPr>
                <w:rFonts w:ascii="Arial" w:hAnsi="Arial"/>
                <w:b w:val="0"/>
                <w:color w:val="17212B"/>
                <w:sz w:val="15"/>
              </w:rPr>
              <w:t>Low</w:t>
            </w:r>
          </w:p>
        </w:tc>
        <w:tc>
          <w:tcPr>
            <w:tcW w:type="dxa" w:w="7860"/>
            <w:vAlign w:val="top"/>
            <w:shd w:fill="F8FAFC"/>
          </w:tcPr>
          <w:p>
            <w:pPr>
              <w:spacing w:after="40"/>
            </w:pPr>
            <w:r>
              <w:rPr>
                <w:rFonts w:ascii="Arial" w:hAnsi="Arial"/>
                <w:b w:val="0"/>
                <w:color w:val="17212B"/>
                <w:sz w:val="15"/>
              </w:rPr>
              <w:t>Minor presentation/documentation issue with no misleading, accessibility or control effect; track with owner.</w:t>
            </w:r>
          </w:p>
        </w:tc>
      </w:tr>
      <w:tr>
        <w:tc>
          <w:tcPr>
            <w:tcW w:type="dxa" w:w="1500"/>
            <w:vAlign w:val="top"/>
            <w:shd w:fill="FFFFFF"/>
          </w:tcPr>
          <w:p>
            <w:pPr>
              <w:spacing w:after="40"/>
            </w:pPr>
            <w:r>
              <w:rPr>
                <w:rFonts w:ascii="Arial" w:hAnsi="Arial"/>
                <w:b w:val="0"/>
                <w:color w:val="17212B"/>
                <w:sz w:val="15"/>
              </w:rPr>
              <w:t>Exception</w:t>
            </w:r>
          </w:p>
        </w:tc>
        <w:tc>
          <w:tcPr>
            <w:tcW w:type="dxa" w:w="7860"/>
            <w:vAlign w:val="top"/>
            <w:shd w:fill="FFFFFF"/>
          </w:tcPr>
          <w:p>
            <w:pPr>
              <w:spacing w:after="40"/>
            </w:pPr>
            <w:r>
              <w:rPr>
                <w:rFonts w:ascii="Arial" w:hAnsi="Arial"/>
                <w:b w:val="0"/>
                <w:color w:val="17212B"/>
                <w:sz w:val="15"/>
              </w:rPr>
              <w:t>Must name requirement, reason, compensating control, expiry, owner and approval. Never overrides a hard law.</w:t>
            </w:r>
          </w:p>
        </w:tc>
      </w:tr>
    </w:tbl>
    <w:p>
      <w:pPr>
        <w:pStyle w:val="Heading1"/>
        <w:widowControl/>
      </w:pPr>
      <w:r>
        <w:rPr>
          <w:rFonts w:ascii="Arial" w:hAnsi="Arial"/>
          <w:b w:val="0"/>
        </w:rPr>
        <w:t>13. Final production acceptance record</w:t>
      </w:r>
    </w:p>
    <w:tbl>
      <w:tblPr>
        <w:tblStyle w:val="TableGrid"/>
        <w:tblW w:type="dxa" w:w="9360"/>
        <w:jc w:val="left"/>
        <w:tblLayout w:type="fixed"/>
        <w:tblLook w:firstColumn="1" w:firstRow="1" w:lastColumn="0" w:lastRow="0" w:noHBand="0" w:noVBand="1" w:val="04A0"/>
        <w:tblInd w:w="120" w:type="dxa"/>
      </w:tblPr>
      <w:tblGrid>
        <w:gridCol w:w="2450"/>
        <w:gridCol w:w="6910"/>
      </w:tblGrid>
      <w:tr>
        <w:tc>
          <w:tcPr>
            <w:tcW w:type="dxa" w:w="2450"/>
            <w:vAlign w:val="top"/>
            <w:shd w:fill="E8EEF5"/>
          </w:tcPr>
          <w:p>
            <w:pPr>
              <w:spacing w:after="40"/>
            </w:pPr>
            <w:r>
              <w:rPr>
                <w:rFonts w:ascii="Arial" w:hAnsi="Arial"/>
                <w:b/>
                <w:color w:val="10243E"/>
                <w:sz w:val="16"/>
              </w:rPr>
              <w:t>Field</w:t>
            </w:r>
          </w:p>
        </w:tc>
        <w:tc>
          <w:tcPr>
            <w:tcW w:type="dxa" w:w="6910"/>
            <w:vAlign w:val="top"/>
            <w:shd w:fill="E8EEF5"/>
          </w:tcPr>
          <w:p>
            <w:pPr>
              <w:spacing w:after="40"/>
            </w:pPr>
            <w:r>
              <w:rPr>
                <w:rFonts w:ascii="Arial" w:hAnsi="Arial"/>
                <w:b/>
                <w:color w:val="10243E"/>
                <w:sz w:val="16"/>
              </w:rPr>
              <w:t>Record</w:t>
            </w:r>
          </w:p>
        </w:tc>
      </w:tr>
      <w:tr>
        <w:tc>
          <w:tcPr>
            <w:tcW w:type="dxa" w:w="2450"/>
            <w:vAlign w:val="top"/>
            <w:shd w:fill="FFFFFF"/>
          </w:tcPr>
          <w:p>
            <w:pPr>
              <w:spacing w:after="40"/>
            </w:pPr>
            <w:r>
              <w:rPr>
                <w:rFonts w:ascii="Arial" w:hAnsi="Arial"/>
                <w:b w:val="0"/>
                <w:color w:val="17212B"/>
                <w:sz w:val="16"/>
              </w:rPr>
              <w:t>Candidate / release</w:t>
            </w:r>
          </w:p>
        </w:tc>
        <w:tc>
          <w:tcPr>
            <w:tcW w:type="dxa" w:w="6910"/>
            <w:vAlign w:val="top"/>
            <w:shd w:fill="FFFFFF"/>
          </w:tcPr>
          <w:p>
            <w:pPr>
              <w:spacing w:after="40"/>
            </w:pPr>
            <w:r>
              <w:rPr>
                <w:rFonts w:ascii="Arial" w:hAnsi="Arial"/>
                <w:b w:val="0"/>
                <w:color w:val="17212B"/>
                <w:sz w:val="16"/>
              </w:rPr>
              <w:t>____________________________________________</w:t>
            </w:r>
          </w:p>
        </w:tc>
      </w:tr>
      <w:tr>
        <w:tc>
          <w:tcPr>
            <w:tcW w:type="dxa" w:w="2450"/>
            <w:vAlign w:val="top"/>
            <w:shd w:fill="F8FAFC"/>
          </w:tcPr>
          <w:p>
            <w:pPr>
              <w:spacing w:after="40"/>
            </w:pPr>
            <w:r>
              <w:rPr>
                <w:rFonts w:ascii="Arial" w:hAnsi="Arial"/>
                <w:b w:val="0"/>
                <w:color w:val="17212B"/>
                <w:sz w:val="16"/>
              </w:rPr>
              <w:t>Scope / versions</w:t>
            </w:r>
          </w:p>
        </w:tc>
        <w:tc>
          <w:tcPr>
            <w:tcW w:type="dxa" w:w="6910"/>
            <w:vAlign w:val="top"/>
            <w:shd w:fill="F8FAFC"/>
          </w:tcPr>
          <w:p>
            <w:pPr>
              <w:spacing w:after="40"/>
            </w:pPr>
            <w:r>
              <w:rPr>
                <w:rFonts w:ascii="Arial" w:hAnsi="Arial"/>
                <w:b w:val="0"/>
                <w:color w:val="17212B"/>
                <w:sz w:val="16"/>
              </w:rPr>
              <w:t>____________________________________________</w:t>
            </w:r>
          </w:p>
        </w:tc>
      </w:tr>
      <w:tr>
        <w:tc>
          <w:tcPr>
            <w:tcW w:type="dxa" w:w="2450"/>
            <w:vAlign w:val="top"/>
            <w:shd w:fill="FFFFFF"/>
          </w:tcPr>
          <w:p>
            <w:pPr>
              <w:spacing w:after="40"/>
            </w:pPr>
            <w:r>
              <w:rPr>
                <w:rFonts w:ascii="Arial" w:hAnsi="Arial"/>
                <w:b w:val="0"/>
                <w:color w:val="17212B"/>
                <w:sz w:val="16"/>
              </w:rPr>
              <w:t>Acceptance evidence manifest</w:t>
            </w:r>
          </w:p>
        </w:tc>
        <w:tc>
          <w:tcPr>
            <w:tcW w:type="dxa" w:w="6910"/>
            <w:vAlign w:val="top"/>
            <w:shd w:fill="FFFFFF"/>
          </w:tcPr>
          <w:p>
            <w:pPr>
              <w:spacing w:after="40"/>
            </w:pPr>
            <w:r>
              <w:rPr>
                <w:rFonts w:ascii="Arial" w:hAnsi="Arial"/>
                <w:b w:val="0"/>
                <w:color w:val="17212B"/>
                <w:sz w:val="16"/>
              </w:rPr>
              <w:t>____________________________________________</w:t>
            </w:r>
          </w:p>
        </w:tc>
      </w:tr>
      <w:tr>
        <w:tc>
          <w:tcPr>
            <w:tcW w:type="dxa" w:w="2450"/>
            <w:vAlign w:val="top"/>
            <w:shd w:fill="F8FAFC"/>
          </w:tcPr>
          <w:p>
            <w:pPr>
              <w:spacing w:after="40"/>
            </w:pPr>
            <w:r>
              <w:rPr>
                <w:rFonts w:ascii="Arial" w:hAnsi="Arial"/>
                <w:b w:val="0"/>
                <w:color w:val="17212B"/>
                <w:sz w:val="16"/>
              </w:rPr>
              <w:t>Critical/high defects</w:t>
            </w:r>
          </w:p>
        </w:tc>
        <w:tc>
          <w:tcPr>
            <w:tcW w:type="dxa" w:w="6910"/>
            <w:vAlign w:val="top"/>
            <w:shd w:fill="F8FAFC"/>
          </w:tcPr>
          <w:p>
            <w:pPr>
              <w:spacing w:after="40"/>
            </w:pPr>
            <w:r>
              <w:rPr>
                <w:rFonts w:ascii="Arial" w:hAnsi="Arial"/>
                <w:b w:val="0"/>
                <w:color w:val="17212B"/>
                <w:sz w:val="16"/>
              </w:rPr>
              <w:t>None / IDs: _________________________________</w:t>
            </w:r>
          </w:p>
        </w:tc>
      </w:tr>
      <w:tr>
        <w:tc>
          <w:tcPr>
            <w:tcW w:type="dxa" w:w="2450"/>
            <w:vAlign w:val="top"/>
            <w:shd w:fill="FFFFFF"/>
          </w:tcPr>
          <w:p>
            <w:pPr>
              <w:spacing w:after="40"/>
            </w:pPr>
            <w:r>
              <w:rPr>
                <w:rFonts w:ascii="Arial" w:hAnsi="Arial"/>
                <w:b w:val="0"/>
                <w:color w:val="17212B"/>
                <w:sz w:val="16"/>
              </w:rPr>
              <w:t>Residual risks/exceptions</w:t>
            </w:r>
          </w:p>
        </w:tc>
        <w:tc>
          <w:tcPr>
            <w:tcW w:type="dxa" w:w="6910"/>
            <w:vAlign w:val="top"/>
            <w:shd w:fill="FFFFFF"/>
          </w:tcPr>
          <w:p>
            <w:pPr>
              <w:spacing w:after="40"/>
            </w:pPr>
            <w:r>
              <w:rPr>
                <w:rFonts w:ascii="Arial" w:hAnsi="Arial"/>
                <w:b w:val="0"/>
                <w:color w:val="17212B"/>
                <w:sz w:val="16"/>
              </w:rPr>
              <w:t>____________________________________________</w:t>
            </w:r>
          </w:p>
        </w:tc>
      </w:tr>
      <w:tr>
        <w:tc>
          <w:tcPr>
            <w:tcW w:type="dxa" w:w="2450"/>
            <w:vAlign w:val="top"/>
            <w:shd w:fill="F8FAFC"/>
          </w:tcPr>
          <w:p>
            <w:pPr>
              <w:spacing w:after="40"/>
            </w:pPr>
            <w:r>
              <w:rPr>
                <w:rFonts w:ascii="Arial" w:hAnsi="Arial"/>
                <w:b w:val="0"/>
                <w:color w:val="17212B"/>
                <w:sz w:val="16"/>
              </w:rPr>
              <w:t>Independent reviewer decision</w:t>
            </w:r>
          </w:p>
        </w:tc>
        <w:tc>
          <w:tcPr>
            <w:tcW w:type="dxa" w:w="6910"/>
            <w:vAlign w:val="top"/>
            <w:shd w:fill="F8FAFC"/>
          </w:tcPr>
          <w:p>
            <w:pPr>
              <w:spacing w:after="40"/>
            </w:pPr>
            <w:r>
              <w:rPr>
                <w:rFonts w:ascii="Arial" w:hAnsi="Arial"/>
                <w:b w:val="0"/>
                <w:color w:val="17212B"/>
                <w:sz w:val="16"/>
              </w:rPr>
              <w:t>ACCEPT / CORRECTION REQUIRED / BLOCKED / REJECT</w:t>
            </w:r>
          </w:p>
        </w:tc>
      </w:tr>
      <w:tr>
        <w:tc>
          <w:tcPr>
            <w:tcW w:type="dxa" w:w="2450"/>
            <w:vAlign w:val="top"/>
            <w:shd w:fill="FFFFFF"/>
          </w:tcPr>
          <w:p>
            <w:pPr>
              <w:spacing w:after="40"/>
            </w:pPr>
            <w:r>
              <w:rPr>
                <w:rFonts w:ascii="Arial" w:hAnsi="Arial"/>
                <w:b w:val="0"/>
                <w:color w:val="17212B"/>
                <w:sz w:val="16"/>
              </w:rPr>
              <w:t>Reviewer / date</w:t>
            </w:r>
          </w:p>
        </w:tc>
        <w:tc>
          <w:tcPr>
            <w:tcW w:type="dxa" w:w="6910"/>
            <w:vAlign w:val="top"/>
            <w:shd w:fill="FFFFFF"/>
          </w:tcPr>
          <w:p>
            <w:pPr>
              <w:spacing w:after="40"/>
            </w:pPr>
            <w:r>
              <w:rPr>
                <w:rFonts w:ascii="Arial" w:hAnsi="Arial"/>
                <w:b w:val="0"/>
                <w:color w:val="17212B"/>
                <w:sz w:val="16"/>
              </w:rPr>
              <w:t>____________________________________________</w:t>
            </w:r>
          </w:p>
        </w:tc>
      </w:tr>
      <w:tr>
        <w:tc>
          <w:tcPr>
            <w:tcW w:type="dxa" w:w="2450"/>
            <w:vAlign w:val="top"/>
            <w:shd w:fill="F8FAFC"/>
          </w:tcPr>
          <w:p>
            <w:pPr>
              <w:spacing w:after="40"/>
            </w:pPr>
            <w:r>
              <w:rPr>
                <w:rFonts w:ascii="Arial" w:hAnsi="Arial"/>
                <w:b w:val="0"/>
                <w:color w:val="17212B"/>
                <w:sz w:val="16"/>
              </w:rPr>
              <w:t>Security/privacy concurrence</w:t>
            </w:r>
          </w:p>
        </w:tc>
        <w:tc>
          <w:tcPr>
            <w:tcW w:type="dxa" w:w="6910"/>
            <w:vAlign w:val="top"/>
            <w:shd w:fill="F8FAFC"/>
          </w:tcPr>
          <w:p>
            <w:pPr>
              <w:spacing w:after="40"/>
            </w:pPr>
            <w:r>
              <w:rPr>
                <w:rFonts w:ascii="Arial" w:hAnsi="Arial"/>
                <w:b w:val="0"/>
                <w:color w:val="17212B"/>
                <w:sz w:val="16"/>
              </w:rPr>
              <w:t>____________________________________________</w:t>
            </w:r>
          </w:p>
        </w:tc>
      </w:tr>
      <w:tr>
        <w:tc>
          <w:tcPr>
            <w:tcW w:type="dxa" w:w="2450"/>
            <w:vAlign w:val="top"/>
            <w:shd w:fill="FFFFFF"/>
          </w:tcPr>
          <w:p>
            <w:pPr>
              <w:spacing w:after="40"/>
            </w:pPr>
            <w:r>
              <w:rPr>
                <w:rFonts w:ascii="Arial" w:hAnsi="Arial"/>
                <w:b w:val="0"/>
                <w:color w:val="17212B"/>
                <w:sz w:val="16"/>
              </w:rPr>
              <w:t>CEO production decision</w:t>
            </w:r>
          </w:p>
        </w:tc>
        <w:tc>
          <w:tcPr>
            <w:tcW w:type="dxa" w:w="6910"/>
            <w:vAlign w:val="top"/>
            <w:shd w:fill="FFFFFF"/>
          </w:tcPr>
          <w:p>
            <w:pPr>
              <w:spacing w:after="40"/>
            </w:pPr>
            <w:r>
              <w:rPr>
                <w:rFonts w:ascii="Arial" w:hAnsi="Arial"/>
                <w:b w:val="0"/>
                <w:color w:val="17212B"/>
                <w:sz w:val="16"/>
              </w:rPr>
              <w:t>AUTHORISED / NOT AUTHORISED</w:t>
            </w:r>
          </w:p>
        </w:tc>
      </w:tr>
      <w:tr>
        <w:tc>
          <w:tcPr>
            <w:tcW w:type="dxa" w:w="2450"/>
            <w:vAlign w:val="top"/>
            <w:shd w:fill="F8FAFC"/>
          </w:tcPr>
          <w:p>
            <w:pPr>
              <w:spacing w:after="40"/>
            </w:pPr>
            <w:r>
              <w:rPr>
                <w:rFonts w:ascii="Arial" w:hAnsi="Arial"/>
                <w:b w:val="0"/>
                <w:color w:val="17212B"/>
                <w:sz w:val="16"/>
              </w:rPr>
              <w:t>CEO signature / date</w:t>
            </w:r>
          </w:p>
        </w:tc>
        <w:tc>
          <w:tcPr>
            <w:tcW w:type="dxa" w:w="6910"/>
            <w:vAlign w:val="top"/>
            <w:shd w:fill="F8FAFC"/>
          </w:tcPr>
          <w:p>
            <w:pPr>
              <w:spacing w:after="40"/>
            </w:pPr>
            <w:r>
              <w:rPr>
                <w:rFonts w:ascii="Arial" w:hAnsi="Arial"/>
                <w:b w:val="0"/>
                <w:color w:val="17212B"/>
                <w:sz w:val="16"/>
              </w:rPr>
              <w:t>____________________________________________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17D"/>
        <w:sz w:val="16"/>
      </w:rPr>
      <w:t>MAISON DOCLAR ACADEMY  |  INDEPENDENT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78" w:lineRule="auto"/>
    </w:pPr>
    <w:rPr>
      <w:rFonts w:ascii="Arial" w:hAnsi="Arial"/>
      <w:b w:val="0"/>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8" w:lineRule="auto"/>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8" w:lineRule="auto"/>
      <w:outlineLvl w:val="1"/>
    </w:pPr>
    <w:rPr>
      <w:rFonts w:asciiTheme="majorHAnsi" w:eastAsiaTheme="majorEastAsia" w:hAnsiTheme="majorHAnsi" w:cstheme="majorBidi" w:ascii="Arial" w:hAnsi="Arial"/>
      <w:b/>
      <w:bCs/>
      <w:color w:val="1E4B7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8" w:lineRule="auto"/>
      <w:outlineLvl w:val="2"/>
    </w:pPr>
    <w:rPr>
      <w:rFonts w:asciiTheme="majorHAnsi" w:eastAsiaTheme="majorEastAsia" w:hAnsiTheme="majorHAnsi" w:cstheme="majorBidi" w:ascii="Arial" w:hAnsi="Arial"/>
      <w:b/>
      <w:bCs/>
      <w:color w:val="1024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78" w:lineRule="auto" w:before="0"/>
      <w:contextualSpacing/>
    </w:pPr>
    <w:rPr>
      <w:rFonts w:asciiTheme="majorHAnsi" w:eastAsiaTheme="majorEastAsia" w:hAnsiTheme="majorHAnsi" w:cstheme="majorBidi" w:ascii="Arial" w:hAnsi="Arial"/>
      <w:b/>
      <w:color w:val="10243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78" w:lineRule="auto"/>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Independent Acceptance Pack v1.0.docx</dc:title>
  <dc:subject>Independent architecture, experience, integrity, permissions, integration, performance and production acceptance</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