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ascii="Arial" w:hAnsi="Arial"/>
          <w:b/>
          <w:color w:val="B79F85"/>
          <w:sz w:val="18"/>
        </w:rPr>
        <w:t>EXECUTIVE ACADEMY OPERATIONS</w:t>
      </w:r>
    </w:p>
    <w:p>
      <w:pPr>
        <w:pStyle w:val="Title"/>
        <w:widowControl/>
      </w:pPr>
      <w:r>
        <w:rPr>
          <w:rFonts w:ascii="Arial" w:hAnsi="Arial"/>
          <w:b w:val="0"/>
        </w:rPr>
        <w:t>CEO Academy Operating Manual</w:t>
      </w:r>
    </w:p>
    <w:p>
      <w:pPr>
        <w:pStyle w:val="Subtitle"/>
        <w:widowControl/>
      </w:pPr>
      <w:r>
        <w:rPr>
          <w:rFonts w:ascii="Arial" w:hAnsi="Arial"/>
          <w:b w:val="0"/>
        </w:rPr>
        <w:t>How the CEO governs curriculum, assessment, certification, staff readiness and organisational learning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Control</w:t>
            </w:r>
          </w:p>
        </w:tc>
        <w:tc>
          <w:tcPr>
            <w:tcW w:type="dxa" w:w="73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Value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Owner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CEO / Academy Governance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Version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1.0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Status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Final controlled draft for ratification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Date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3 September 2026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Authority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Academy Canonical Blueprint and ratified Academy specifications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1. Your job as Academy governor</w:t>
      </w:r>
    </w:p>
    <w:p>
      <w:pPr>
        <w:widowControl/>
      </w:pPr>
      <w:r>
        <w:rPr>
          <w:rFonts w:ascii="Arial" w:hAnsi="Arial"/>
          <w:b w:val="0"/>
        </w:rPr>
        <w:t>Your role is to keep Maison Doclar competence trustworthy, current and usable in real events. You set the standard and reserve final organisational decisions; you do not mark your own work, alter scores, approve your own content or turn a dashboard colour into authority.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1EA"/>
          </w:tcPr>
          <w:p>
            <w:r>
              <w:rPr>
                <w:rFonts w:ascii="Arial" w:hAnsi="Arial"/>
                <w:b/>
                <w:color w:val="1E4B75"/>
                <w:sz w:val="18"/>
              </w:rPr>
              <w:t xml:space="preserve">CEO PRINCIPLE  </w:t>
            </w:r>
            <w:r>
              <w:rPr>
                <w:rFonts w:ascii="Arial" w:hAnsi="Arial"/>
                <w:sz w:val="18"/>
              </w:rPr>
              <w:t>Ask: What decision is required, what evidence supports it, how fresh is it, who has authority, what could invalidate it, and how will the organisation learn?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You own</w:t>
            </w:r>
          </w:p>
        </w:tc>
        <w:tc>
          <w:tcPr>
            <w:tcW w:type="dxa" w:w="468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You do not own alone</w:t>
            </w:r>
          </w:p>
        </w:tc>
      </w:tr>
      <w:tr>
        <w:tc>
          <w:tcPr>
            <w:tcW w:type="dxa" w:w="468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Academy purpose, risk appetite, role standards, production release, material doctrine adoption and organisational response.</w:t>
            </w:r>
          </w:p>
        </w:tc>
        <w:tc>
          <w:tcPr>
            <w:tcW w:type="dxa" w:w="468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Legal/privacy interpretation, security verification, independent academic review, assessor judgement, appeal independence or MD-EOS deployment authority.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2. The truths you must keep separate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200"/>
        <w:gridCol w:w="5410"/>
      </w:tblGrid>
      <w:tr>
        <w:tc>
          <w:tcPr>
            <w:tcW w:type="dxa" w:w="17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Truth</w:t>
            </w:r>
          </w:p>
        </w:tc>
        <w:tc>
          <w:tcPr>
            <w:tcW w:type="dxa" w:w="22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Owner</w:t>
            </w:r>
          </w:p>
        </w:tc>
        <w:tc>
          <w:tcPr>
            <w:tcW w:type="dxa" w:w="54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CEO reading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Doctrine/content</w:t>
            </w:r>
          </w:p>
        </w:tc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Academy governance</w:t>
            </w:r>
          </w:p>
        </w:tc>
        <w:tc>
          <w:tcPr>
            <w:tcW w:type="dxa" w:w="54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What Maison Doclar teaches; exact published version and source.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Competence</w:t>
            </w:r>
          </w:p>
        </w:tc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Academy</w:t>
            </w:r>
          </w:p>
        </w:tc>
        <w:tc>
          <w:tcPr>
            <w:tcW w:type="dxa" w:w="54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What a person has validly demonstrated, under what scheme/version.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Certificate</w:t>
            </w:r>
          </w:p>
        </w:tc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Academy certification authority</w:t>
            </w:r>
          </w:p>
        </w:tc>
        <w:tc>
          <w:tcPr>
            <w:tcW w:type="dxa" w:w="54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Formal scoped recognition; current lifecycle state and expiry.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facts/assignment</w:t>
            </w:r>
          </w:p>
        </w:tc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MD-EOS</w:t>
            </w:r>
          </w:p>
        </w:tc>
        <w:tc>
          <w:tcPr>
            <w:tcW w:type="dxa" w:w="54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What this event requires and who is assigned.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readiness</w:t>
            </w:r>
          </w:p>
        </w:tc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Academy evaluation using contracted facts</w:t>
            </w:r>
          </w:p>
        </w:tc>
        <w:tc>
          <w:tcPr>
            <w:tcW w:type="dxa" w:w="54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Competence plus completed event-specific obligations; freshness-qualified.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Deployment</w:t>
            </w:r>
          </w:p>
        </w:tc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MD-EOS authorised operations</w:t>
            </w:r>
          </w:p>
        </w:tc>
        <w:tc>
          <w:tcPr>
            <w:tcW w:type="dxa" w:w="54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Final permission to work the event; never created by Academy alone.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3. CEO dashboard</w:t>
      </w:r>
    </w:p>
    <w:p>
      <w:pPr>
        <w:pStyle w:val="ListBullet"/>
        <w:widowControl/>
      </w:pPr>
      <w:r>
        <w:rPr>
          <w:rFonts w:ascii="Arial" w:hAnsi="Arial"/>
          <w:b w:val="0"/>
        </w:rPr>
        <w:t>Certification coverage by critical role and competency, with expiry horizon.</w:t>
      </w:r>
    </w:p>
    <w:p>
      <w:pPr>
        <w:pStyle w:val="ListBullet"/>
        <w:widowControl/>
      </w:pPr>
      <w:r>
        <w:rPr>
          <w:rFonts w:ascii="Arial" w:hAnsi="Arial"/>
          <w:b w:val="0"/>
        </w:rPr>
        <w:t>Event staffing risks: assigned people who are not Ready, facts that are stale and critical packages not acknowledged.</w:t>
      </w:r>
    </w:p>
    <w:p>
      <w:pPr>
        <w:pStyle w:val="ListBullet"/>
        <w:widowControl/>
      </w:pPr>
      <w:r>
        <w:rPr>
          <w:rFonts w:ascii="Arial" w:hAnsi="Arial"/>
          <w:b w:val="0"/>
        </w:rPr>
        <w:t>Curriculum health: modules due for review, supersession impact, missing role/competency coverage and unresolved source questions.</w:t>
      </w:r>
    </w:p>
    <w:p>
      <w:pPr>
        <w:pStyle w:val="ListBullet"/>
        <w:widowControl/>
      </w:pPr>
      <w:r>
        <w:rPr>
          <w:rFonts w:ascii="Arial" w:hAnsi="Arial"/>
          <w:b w:val="0"/>
        </w:rPr>
        <w:t>Assessment health: bank depth, exposure, recurring critical failures, moderation variance, appeals and compromised items.</w:t>
      </w:r>
    </w:p>
    <w:p>
      <w:pPr>
        <w:pStyle w:val="ListBullet"/>
        <w:widowControl/>
      </w:pPr>
      <w:r>
        <w:rPr>
          <w:rFonts w:ascii="Arial" w:hAnsi="Arial"/>
          <w:b w:val="0"/>
        </w:rPr>
        <w:t>Operational health: queues, integration freshness, security/privacy incidents, rights/retention work and evidence gaps.</w:t>
      </w:r>
    </w:p>
    <w:p>
      <w:pPr>
        <w:pStyle w:val="ListBullet"/>
        <w:widowControl/>
      </w:pPr>
      <w:r>
        <w:rPr>
          <w:rFonts w:ascii="Arial" w:hAnsi="Arial"/>
          <w:b w:val="0"/>
        </w:rPr>
        <w:t>Decisions waiting for CEO: doctrine adoption, material release, high-risk exception, production activation and organisation-wide remediation.</w:t>
      </w:r>
    </w:p>
    <w:p>
      <w:pPr>
        <w:pStyle w:val="Heading1"/>
        <w:widowControl/>
      </w:pPr>
      <w:r>
        <w:rPr>
          <w:rFonts w:ascii="Arial" w:hAnsi="Arial"/>
          <w:b w:val="0"/>
        </w:rPr>
        <w:t>4. Operating rhythm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Rhythm</w:t>
            </w:r>
          </w:p>
        </w:tc>
        <w:tc>
          <w:tcPr>
            <w:tcW w:type="dxa" w:w="78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CEO action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Weekly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 critical readiness, expiring certificates, overdue reviews/appeals, recurring failures and unowned red risks.</w:t>
            </w:r>
          </w:p>
        </w:tc>
      </w:tr>
      <w:tr>
        <w:tc>
          <w:tcPr>
            <w:tcW w:type="dxa" w:w="15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Monthly</w:t>
            </w:r>
          </w:p>
        </w:tc>
        <w:tc>
          <w:tcPr>
            <w:tcW w:type="dxa" w:w="78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 coverage by role, content currency, bank health, assessor capacity, intervention outcomes and governance debt.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Quarterly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Approve privileged-access review, certification scheme review, curriculum risk review and organisational learning priorities.</w:t>
            </w:r>
          </w:p>
        </w:tc>
      </w:tr>
      <w:tr>
        <w:tc>
          <w:tcPr>
            <w:tcW w:type="dxa" w:w="15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Before each event</w:t>
            </w:r>
          </w:p>
        </w:tc>
        <w:tc>
          <w:tcPr>
            <w:tcW w:type="dxa" w:w="78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 staffing readiness and freshness; require owners for gaps; confirm Academy has not granted deployment authority.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After each event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 safe outcome evidence, gaps, incidents and approved learning; prohibit raw event facts from silently becoming doctrine.</w:t>
            </w:r>
          </w:p>
        </w:tc>
      </w:tr>
      <w:tr>
        <w:tc>
          <w:tcPr>
            <w:tcW w:type="dxa" w:w="15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Annually</w:t>
            </w:r>
          </w:p>
        </w:tc>
        <w:tc>
          <w:tcPr>
            <w:tcW w:type="dxa" w:w="78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Re-ratify role standards, certification validity/renewal, 30-module coverage, privacy/retention and Academy strategy.</w:t>
            </w:r>
          </w:p>
        </w:tc>
      </w:tr>
    </w:tbl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5. Governing curriculum quality</w:t>
      </w:r>
    </w:p>
    <w:p>
      <w:pPr>
        <w:pStyle w:val="ListNumber"/>
        <w:widowControl/>
      </w:pPr>
      <w:r>
        <w:rPr>
          <w:rFonts w:ascii="Arial" w:hAnsi="Arial"/>
          <w:b w:val="0"/>
        </w:rPr>
        <w:t>Require every lesson to trace to approved knowledge, competency and role need.</w:t>
      </w:r>
    </w:p>
    <w:p>
      <w:pPr>
        <w:pStyle w:val="ListNumber"/>
        <w:widowControl/>
      </w:pPr>
      <w:r>
        <w:rPr>
          <w:rFonts w:ascii="Arial" w:hAnsi="Arial"/>
          <w:b w:val="0"/>
        </w:rPr>
        <w:t>Separate global doctrine, Lagos/local overlay and event-specific facts.</w:t>
      </w:r>
    </w:p>
    <w:p>
      <w:pPr>
        <w:pStyle w:val="ListNumber"/>
        <w:widowControl/>
      </w:pPr>
      <w:r>
        <w:rPr>
          <w:rFonts w:ascii="Arial" w:hAnsi="Arial"/>
          <w:b w:val="0"/>
        </w:rPr>
        <w:t>Remove duplication by reusing equivalent competency evidence; do not weaken advanced extension modules.</w:t>
      </w:r>
    </w:p>
    <w:p>
      <w:pPr>
        <w:pStyle w:val="ListNumber"/>
        <w:widowControl/>
      </w:pPr>
      <w:r>
        <w:rPr>
          <w:rFonts w:ascii="Arial" w:hAnsi="Arial"/>
          <w:b w:val="0"/>
        </w:rPr>
        <w:t>Demand applied decisions, observable standards, recovery and escalation—not information-only slides.</w:t>
      </w:r>
    </w:p>
    <w:p>
      <w:pPr>
        <w:pStyle w:val="ListNumber"/>
        <w:widowControl/>
      </w:pPr>
      <w:r>
        <w:rPr>
          <w:rFonts w:ascii="Arial" w:hAnsi="Arial"/>
          <w:b w:val="0"/>
        </w:rPr>
        <w:t>Require accessible, mobile-first, low-bandwidth alternatives before publication.</w:t>
      </w:r>
    </w:p>
    <w:p>
      <w:pPr>
        <w:pStyle w:val="ListNumber"/>
        <w:widowControl/>
      </w:pPr>
      <w:r>
        <w:rPr>
          <w:rFonts w:ascii="Arial" w:hAnsi="Arial"/>
          <w:b w:val="0"/>
        </w:rPr>
        <w:t>Approve material doctrine only after independent content, operational, privacy and cultural review.</w:t>
      </w:r>
    </w:p>
    <w:p>
      <w:pPr>
        <w:pStyle w:val="Heading1"/>
        <w:widowControl/>
      </w:pPr>
      <w:r>
        <w:rPr>
          <w:rFonts w:ascii="Arial" w:hAnsi="Arial"/>
          <w:b w:val="0"/>
        </w:rPr>
        <w:t>6. Content decisions reserved to you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Decision</w:t>
            </w:r>
          </w:p>
        </w:tc>
        <w:tc>
          <w:tcPr>
            <w:tcW w:type="dxa" w:w="71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Evidence you must see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Adopt material doctrine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Source/provenance, contradiction analysis, role/competency impact, review decisions and implementation plan.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Publish sensitive/restricted content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Purpose, audience, classification, access, export/offline controls and expiry.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Supersede content materially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Exact diff, affected paths/items/certificates/readiness, reassignment decision and communications.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Approve local overlay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Verified authority, jurisdiction/cultural reviewer, scope, expiry and conflict rule.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Permit AI-assisted draft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Provenance, human author/reviewer accountability, protected-data boundary and no autonomous publication.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7. Governing assessment integrity</w:t>
      </w:r>
    </w:p>
    <w:p>
      <w:pPr>
        <w:pStyle w:val="ListBullet"/>
        <w:widowControl/>
      </w:pPr>
      <w:r>
        <w:rPr>
          <w:rFonts w:ascii="Arial" w:hAnsi="Arial"/>
          <w:b w:val="0"/>
        </w:rPr>
        <w:t>Keep author, reviewer, assessor, moderator and appeal roles appropriately separated.</w:t>
      </w:r>
    </w:p>
    <w:p>
      <w:pPr>
        <w:pStyle w:val="ListBullet"/>
        <w:widowControl/>
      </w:pPr>
      <w:r>
        <w:rPr>
          <w:rFonts w:ascii="Arial" w:hAnsi="Arial"/>
          <w:b w:val="0"/>
        </w:rPr>
        <w:t>Demand blueprint coverage of every mandatory and critical competency.</w:t>
      </w:r>
    </w:p>
    <w:p>
      <w:pPr>
        <w:pStyle w:val="ListBullet"/>
        <w:widowControl/>
      </w:pPr>
      <w:r>
        <w:rPr>
          <w:rFonts w:ascii="Arial" w:hAnsi="Arial"/>
          <w:b w:val="0"/>
        </w:rPr>
        <w:t>Review bank depth, exposure and recurring failure patterns; never request easier questions merely to improve pass rates.</w:t>
      </w:r>
    </w:p>
    <w:p>
      <w:pPr>
        <w:pStyle w:val="ListBullet"/>
        <w:widowControl/>
      </w:pPr>
      <w:r>
        <w:rPr>
          <w:rFonts w:ascii="Arial" w:hAnsi="Arial"/>
          <w:b w:val="0"/>
        </w:rPr>
        <w:t>Ensure the exact frozen form, rules, key/rubric, responses, evidence and calculation can reproduce every result.</w:t>
      </w:r>
    </w:p>
    <w:p>
      <w:pPr>
        <w:pStyle w:val="ListBullet"/>
        <w:widowControl/>
      </w:pPr>
      <w:r>
        <w:rPr>
          <w:rFonts w:ascii="Arial" w:hAnsi="Arial"/>
          <w:b w:val="0"/>
        </w:rPr>
        <w:t>Protect technical-failure cases from automatic academic failure, while preserving integrity holds.</w:t>
      </w:r>
    </w:p>
    <w:p>
      <w:pPr>
        <w:pStyle w:val="ListBullet"/>
        <w:widowControl/>
      </w:pPr>
      <w:r>
        <w:rPr>
          <w:rFonts w:ascii="Arial" w:hAnsi="Arial"/>
          <w:b w:val="0"/>
        </w:rPr>
        <w:t>Require remediation to target demonstrated gaps; unlimited retakes remain governed and use fresh equivalent forms.</w:t>
      </w:r>
    </w:p>
    <w:p>
      <w:pPr>
        <w:pStyle w:val="Heading1"/>
        <w:widowControl/>
      </w:pPr>
      <w:r>
        <w:rPr>
          <w:rFonts w:ascii="Arial" w:hAnsi="Arial"/>
          <w:b w:val="0"/>
        </w:rPr>
        <w:t>8. Reading results correctly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Outcome</w:t>
            </w:r>
          </w:p>
        </w:tc>
        <w:tc>
          <w:tcPr>
            <w:tcW w:type="dxa" w:w="75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Meaning</w:t>
            </w:r>
          </w:p>
        </w:tc>
      </w:tr>
      <w:tr>
        <w:tc>
          <w:tcPr>
            <w:tcW w:type="dxa" w:w="18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Distinction</w:t>
            </w:r>
          </w:p>
        </w:tc>
        <w:tc>
          <w:tcPr>
            <w:tcW w:type="dxa" w:w="75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90–100% and every critical condition passed.</w:t>
            </w:r>
          </w:p>
        </w:tc>
      </w:tr>
      <w:tr>
        <w:tc>
          <w:tcPr>
            <w:tcW w:type="dxa" w:w="18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Pass</w:t>
            </w:r>
          </w:p>
        </w:tc>
        <w:tc>
          <w:tcPr>
            <w:tcW w:type="dxa" w:w="75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80–89% and every critical condition passed.</w:t>
            </w:r>
          </w:p>
        </w:tc>
      </w:tr>
      <w:tr>
        <w:tc>
          <w:tcPr>
            <w:tcW w:type="dxa" w:w="18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Retake Required</w:t>
            </w:r>
          </w:p>
        </w:tc>
        <w:tc>
          <w:tcPr>
            <w:tcW w:type="dxa" w:w="75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Below 80% or any critical condition failed, regardless of total.</w:t>
            </w:r>
          </w:p>
        </w:tc>
      </w:tr>
      <w:tr>
        <w:tc>
          <w:tcPr>
            <w:tcW w:type="dxa" w:w="18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Pending</w:t>
            </w:r>
          </w:p>
        </w:tc>
        <w:tc>
          <w:tcPr>
            <w:tcW w:type="dxa" w:w="75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Required marking, practical, moderation or dependency is incomplete.</w:t>
            </w:r>
          </w:p>
        </w:tc>
      </w:tr>
      <w:tr>
        <w:tc>
          <w:tcPr>
            <w:tcW w:type="dxa" w:w="18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Held</w:t>
            </w:r>
          </w:p>
        </w:tc>
        <w:tc>
          <w:tcPr>
            <w:tcW w:type="dxa" w:w="75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Integrity, identity, technical or governance review prevents release.</w:t>
            </w:r>
          </w:p>
        </w:tc>
      </w:tr>
      <w:tr>
        <w:tc>
          <w:tcPr>
            <w:tcW w:type="dxa" w:w="18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Voided</w:t>
            </w:r>
          </w:p>
        </w:tc>
        <w:tc>
          <w:tcPr>
            <w:tcW w:type="dxa" w:w="75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Governed decision means attempt cannot stand; history remains.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9. Certification governance</w:t>
      </w:r>
    </w:p>
    <w:p>
      <w:pPr>
        <w:pStyle w:val="ListNumber"/>
        <w:widowControl/>
      </w:pPr>
      <w:r>
        <w:rPr>
          <w:rFonts w:ascii="Arial" w:hAnsi="Arial"/>
          <w:b w:val="0"/>
        </w:rPr>
        <w:t>Approve schemes, scopes, prerequisites, validity and renewal based on operational risk.</w:t>
      </w:r>
    </w:p>
    <w:p>
      <w:pPr>
        <w:pStyle w:val="ListNumber"/>
        <w:widowControl/>
      </w:pPr>
      <w:r>
        <w:rPr>
          <w:rFonts w:ascii="Arial" w:hAnsi="Arial"/>
          <w:b w:val="0"/>
        </w:rPr>
        <w:t>Require an immutable eligibility snapshot before issue; never award from a dashboard impression.</w:t>
      </w:r>
    </w:p>
    <w:p>
      <w:pPr>
        <w:pStyle w:val="ListNumber"/>
        <w:widowControl/>
      </w:pPr>
      <w:r>
        <w:rPr>
          <w:rFonts w:ascii="Arial" w:hAnsi="Arial"/>
          <w:b w:val="0"/>
        </w:rPr>
        <w:t>Monitor expiry, suspension, revocation, reinstatement and dependency propagation.</w:t>
      </w:r>
    </w:p>
    <w:p>
      <w:pPr>
        <w:pStyle w:val="ListNumber"/>
        <w:widowControl/>
      </w:pPr>
      <w:r>
        <w:rPr>
          <w:rFonts w:ascii="Arial" w:hAnsi="Arial"/>
          <w:b w:val="0"/>
        </w:rPr>
        <w:t>Keep certificate status visibly separate from event readiness and deployment.</w:t>
      </w:r>
    </w:p>
    <w:p>
      <w:pPr>
        <w:pStyle w:val="ListNumber"/>
        <w:widowControl/>
      </w:pPr>
      <w:r>
        <w:rPr>
          <w:rFonts w:ascii="Arial" w:hAnsi="Arial"/>
          <w:b w:val="0"/>
        </w:rPr>
        <w:t>Require reassessment after material doctrine, role or risk change only for affected capability.</w:t>
      </w:r>
    </w:p>
    <w:p>
      <w:pPr>
        <w:pStyle w:val="ListNumber"/>
        <w:widowControl/>
      </w:pPr>
      <w:r>
        <w:rPr>
          <w:rFonts w:ascii="Arial" w:hAnsi="Arial"/>
          <w:b w:val="0"/>
        </w:rPr>
        <w:t>Use distinction as demonstrated higher performance, not status or favour.</w:t>
      </w:r>
    </w:p>
    <w:p>
      <w:pPr>
        <w:pStyle w:val="Heading1"/>
        <w:widowControl/>
      </w:pPr>
      <w:r>
        <w:rPr>
          <w:rFonts w:ascii="Arial" w:hAnsi="Arial"/>
          <w:b w:val="0"/>
        </w:rPr>
        <w:t>10. Role movement and re-enrolment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Movement</w:t>
            </w:r>
          </w:p>
        </w:tc>
        <w:tc>
          <w:tcPr>
            <w:tcW w:type="dxa" w:w="74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System response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Vertical promotion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Preserve valid shared competence; assign added authority, leadership, decision and critical evidence.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Horizontal move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Calculate exact target-role gap; reuse approved equivalents and assign only missing/expired requirements.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Temporary event duty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Assign bounded event briefing/practical; do not create durable role authority without approved path.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Return after lapse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Recheck expiry, material change and practical currency; issue refresher/renewal as required.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Multiple roles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Maintain one person record and evidence history; evaluate each role/event scope separately.</w:t>
            </w:r>
          </w:p>
        </w:tc>
      </w:tr>
    </w:tbl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11. Event-specific training and readiness</w:t>
      </w:r>
    </w:p>
    <w:p>
      <w:pPr>
        <w:widowControl/>
      </w:pPr>
      <w:r>
        <w:rPr>
          <w:rFonts w:ascii="Arial" w:hAnsi="Arial"/>
          <w:b w:val="0"/>
        </w:rPr>
        <w:t>MD-EOS sends a versioned Event Training Package containing the minimum approved event facts, assignments and required competencies. Academy assigns the event learning, briefing, acknowledgements and practicals, then returns freshness-qualified readiness evidence. A changed or withdrawn package invalidates only the affected readiness.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CEO question</w:t>
            </w:r>
          </w:p>
        </w:tc>
        <w:tc>
          <w:tcPr>
            <w:tcW w:type="dxa" w:w="73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Required answer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Is the package current?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Event/package version, effective time, source and reconciliation status.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Are critical roles covered?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Named assigned people, required competencies, current certificates and outstanding event obligations.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What is blocked?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Exact missing/failed/stale item, consequence, owner, latest safe action and escalation.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Can they work?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Academy can say Ready/Not Ready/Pending/Unknown for training; MD-EOS decides deployment.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What changed?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Diff, affected people/requirements and whether previous readiness was revoked or recalculated.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12. Intervention ladder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Level</w:t>
            </w:r>
          </w:p>
        </w:tc>
        <w:tc>
          <w:tcPr>
            <w:tcW w:type="dxa" w:w="78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Use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Watch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Non-critical early signal; owner and review time set.</w:t>
            </w:r>
          </w:p>
        </w:tc>
      </w:tr>
      <w:tr>
        <w:tc>
          <w:tcPr>
            <w:tcW w:type="dxa" w:w="15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Prepare</w:t>
            </w:r>
          </w:p>
        </w:tc>
        <w:tc>
          <w:tcPr>
            <w:tcW w:type="dxa" w:w="78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Gap may affect capacity; queue refresher, alternative assessor or staffing option.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Intervene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Due date, critical failure or readiness risk requires assigned action and acknowledgement.</w:t>
            </w:r>
          </w:p>
        </w:tc>
      </w:tr>
      <w:tr>
        <w:tc>
          <w:tcPr>
            <w:tcW w:type="dxa" w:w="15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Escalate</w:t>
            </w:r>
          </w:p>
        </w:tc>
        <w:tc>
          <w:tcPr>
            <w:tcW w:type="dxa" w:w="78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Authority, safety, privacy, integrity or latest-safe-action threshold requires senior decision.</w:t>
            </w:r>
          </w:p>
        </w:tc>
      </w:tr>
      <w:tr>
        <w:tc>
          <w:tcPr>
            <w:tcW w:type="dxa" w:w="15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Stop</w:t>
            </w:r>
          </w:p>
        </w:tc>
        <w:tc>
          <w:tcPr>
            <w:tcW w:type="dxa" w:w="78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Stale/unknown authority, critical control failure or contradiction makes continued action unsafe.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13. Organisational learning</w:t>
      </w:r>
    </w:p>
    <w:p>
      <w:pPr>
        <w:pStyle w:val="ListBullet"/>
        <w:widowControl/>
      </w:pPr>
      <w:r>
        <w:rPr>
          <w:rFonts w:ascii="Arial" w:hAnsi="Arial"/>
          <w:b w:val="0"/>
        </w:rPr>
        <w:t>Use aggregated patterns to decide training action; do not shame individuals or expose protected responses.</w:t>
      </w:r>
    </w:p>
    <w:p>
      <w:pPr>
        <w:pStyle w:val="ListBullet"/>
        <w:widowControl/>
      </w:pPr>
      <w:r>
        <w:rPr>
          <w:rFonts w:ascii="Arial" w:hAnsi="Arial"/>
          <w:b w:val="0"/>
        </w:rPr>
        <w:t>Distinguish a teaching problem, unclear standard, weak assessment, staffing mismatch, event-specific issue and individual gap before acting.</w:t>
      </w:r>
    </w:p>
    <w:p>
      <w:pPr>
        <w:pStyle w:val="ListBullet"/>
        <w:widowControl/>
      </w:pPr>
      <w:r>
        <w:rPr>
          <w:rFonts w:ascii="Arial" w:hAnsi="Arial"/>
          <w:b w:val="0"/>
        </w:rPr>
        <w:t>Promote event learning into durable doctrine only through source review, generalisability test, privacy review and publication governance.</w:t>
      </w:r>
    </w:p>
    <w:p>
      <w:pPr>
        <w:pStyle w:val="ListBullet"/>
        <w:widowControl/>
      </w:pPr>
      <w:r>
        <w:rPr>
          <w:rFonts w:ascii="Arial" w:hAnsi="Arial"/>
          <w:b w:val="0"/>
        </w:rPr>
        <w:t>Track whether interventions improved later performance; close recommendations with evidence.</w:t>
      </w:r>
    </w:p>
    <w:p>
      <w:pPr>
        <w:pStyle w:val="ListBullet"/>
        <w:widowControl/>
      </w:pPr>
      <w:r>
        <w:rPr>
          <w:rFonts w:ascii="Arial" w:hAnsi="Arial"/>
          <w:b w:val="0"/>
        </w:rPr>
        <w:t>Keep low-cohort and sensitive results suppressed or qualified.</w:t>
      </w:r>
    </w:p>
    <w:p>
      <w:pPr>
        <w:pStyle w:val="Heading1"/>
        <w:widowControl/>
      </w:pPr>
      <w:r>
        <w:rPr>
          <w:rFonts w:ascii="Arial" w:hAnsi="Arial"/>
          <w:b w:val="0"/>
        </w:rPr>
        <w:t>14. Incidents and red lines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Red line</w:t>
            </w:r>
          </w:p>
        </w:tc>
        <w:tc>
          <w:tcPr>
            <w:tcW w:type="dxa" w:w="74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Immediate CEO posture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Answer/key leakage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Hold affected forms/results, contain access, preserve evidence and activate exposure response.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False certificate/readiness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Suspend affected status, notify contracted consumers safely, reconcile and investigate root cause.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Cross-tenant/event exposure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Contain immediately; security/privacy incident; do not minimise because data was “only training”.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Assessor/reviewer conflict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Stop decision, reassign independently and review affected outcomes.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OS mismatch/outage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Show stale/unavailable, fail closed, reconcile after recovery; never manually paint Ready.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Material doctrine contradiction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Suspend affected publication/assignment where necessary; convene authorised review.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15. Release and production authorisation</w:t>
      </w:r>
    </w:p>
    <w:p>
      <w:pPr>
        <w:pStyle w:val="ListNumber"/>
        <w:widowControl/>
      </w:pPr>
      <w:r>
        <w:rPr>
          <w:rFonts w:ascii="Arial" w:hAnsi="Arial"/>
          <w:b w:val="0"/>
        </w:rPr>
        <w:t>Confirm exact candidate, scope, migrations, content versions and configuration.</w:t>
      </w:r>
    </w:p>
    <w:p>
      <w:pPr>
        <w:pStyle w:val="ListNumber"/>
        <w:widowControl/>
      </w:pPr>
      <w:r>
        <w:rPr>
          <w:rFonts w:ascii="Arial" w:hAnsi="Arial"/>
          <w:b w:val="0"/>
        </w:rPr>
        <w:t>Require Independent Acceptance Pack decision and zero critical/high defects.</w:t>
      </w:r>
    </w:p>
    <w:p>
      <w:pPr>
        <w:pStyle w:val="ListNumber"/>
        <w:widowControl/>
      </w:pPr>
      <w:r>
        <w:rPr>
          <w:rFonts w:ascii="Arial" w:hAnsi="Arial"/>
          <w:b w:val="0"/>
        </w:rPr>
        <w:t>Review residual risks, exceptions, owners, expiry and rollback.</w:t>
      </w:r>
    </w:p>
    <w:p>
      <w:pPr>
        <w:pStyle w:val="ListNumber"/>
        <w:widowControl/>
      </w:pPr>
      <w:r>
        <w:rPr>
          <w:rFonts w:ascii="Arial" w:hAnsi="Arial"/>
          <w:b w:val="0"/>
        </w:rPr>
        <w:t>Confirm security, privacy, academic and operational concurrence.</w:t>
      </w:r>
    </w:p>
    <w:p>
      <w:pPr>
        <w:pStyle w:val="ListNumber"/>
        <w:widowControl/>
      </w:pPr>
      <w:r>
        <w:rPr>
          <w:rFonts w:ascii="Arial" w:hAnsi="Arial"/>
          <w:b w:val="0"/>
        </w:rPr>
        <w:t>Record AUTHORISED or NOT AUTHORISED for the exact candidate.</w:t>
      </w:r>
    </w:p>
    <w:p>
      <w:pPr>
        <w:pStyle w:val="ListNumber"/>
        <w:widowControl/>
      </w:pPr>
      <w:r>
        <w:rPr>
          <w:rFonts w:ascii="Arial" w:hAnsi="Arial"/>
          <w:b w:val="0"/>
        </w:rPr>
        <w:t>After release, review smoke results, critical queues and 7/30-day stabilisation actions.</w:t>
      </w:r>
    </w:p>
    <w:p>
      <w:pPr>
        <w:pStyle w:val="Heading1"/>
        <w:widowControl/>
      </w:pPr>
      <w:r>
        <w:rPr>
          <w:rFonts w:ascii="Arial" w:hAnsi="Arial"/>
          <w:b w:val="0"/>
        </w:rPr>
        <w:t>16. CEO decision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Field</w:t>
            </w:r>
          </w:p>
        </w:tc>
        <w:tc>
          <w:tcPr>
            <w:tcW w:type="dxa" w:w="70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Record</w:t>
            </w:r>
          </w:p>
        </w:tc>
      </w:tr>
      <w:tr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Decision / scope</w:t>
            </w:r>
          </w:p>
        </w:tc>
        <w:tc>
          <w:tcPr>
            <w:tcW w:type="dxa" w:w="70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Evidence considered</w:t>
            </w:r>
          </w:p>
        </w:tc>
        <w:tc>
          <w:tcPr>
            <w:tcW w:type="dxa" w:w="70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Alternatives / consequences</w:t>
            </w:r>
          </w:p>
        </w:tc>
        <w:tc>
          <w:tcPr>
            <w:tcW w:type="dxa" w:w="70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Risk / uncertainty</w:t>
            </w:r>
          </w:p>
        </w:tc>
        <w:tc>
          <w:tcPr>
            <w:tcW w:type="dxa" w:w="70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Specialist concurrence</w:t>
            </w:r>
          </w:p>
        </w:tc>
        <w:tc>
          <w:tcPr>
            <w:tcW w:type="dxa" w:w="70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Decision and conditions</w:t>
            </w:r>
          </w:p>
        </w:tc>
        <w:tc>
          <w:tcPr>
            <w:tcW w:type="dxa" w:w="70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Effective / expiry</w:t>
            </w:r>
          </w:p>
        </w:tc>
        <w:tc>
          <w:tcPr>
            <w:tcW w:type="dxa" w:w="70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CEO signature / date</w:t>
            </w:r>
          </w:p>
        </w:tc>
        <w:tc>
          <w:tcPr>
            <w:tcW w:type="dxa" w:w="70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</w:tbl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Appendix A — CEO operating checklists</w:t>
      </w:r>
    </w:p>
    <w:p>
      <w:pPr>
        <w:pStyle w:val="Heading2"/>
        <w:widowControl/>
      </w:pPr>
      <w:r>
        <w:rPr>
          <w:rFonts w:ascii="Arial" w:hAnsi="Arial"/>
          <w:b w:val="0"/>
        </w:rPr>
        <w:t>Weekly</w:t>
      </w:r>
    </w:p>
    <w:p>
      <w:pPr>
        <w:pStyle w:val="ListBullet"/>
        <w:widowControl/>
      </w:pPr>
      <w:r>
        <w:rPr>
          <w:rFonts w:ascii="Arial" w:hAnsi="Arial"/>
          <w:b w:val="0"/>
        </w:rPr>
        <w:t>☐ Critical readiness and expiry risks owned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Overdue reviews, marking, moderation and appeals owned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Question exposure and recurring critical failures reviewed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Integration/security/privacy alerts reviewed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No false Green or unqualified stale metric</w:t>
      </w:r>
    </w:p>
    <w:p>
      <w:pPr>
        <w:pStyle w:val="Heading2"/>
        <w:widowControl/>
      </w:pPr>
      <w:r>
        <w:rPr>
          <w:rFonts w:ascii="Arial" w:hAnsi="Arial"/>
          <w:b w:val="0"/>
        </w:rPr>
        <w:t>Pre-event</w:t>
      </w:r>
    </w:p>
    <w:p>
      <w:pPr>
        <w:pStyle w:val="ListBullet"/>
        <w:widowControl/>
      </w:pPr>
      <w:r>
        <w:rPr>
          <w:rFonts w:ascii="Arial" w:hAnsi="Arial"/>
          <w:b w:val="0"/>
        </w:rPr>
        <w:t>☐ Current Event Training Package reconciled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Assigned critical roles mapped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Certificates and event obligations current</w:t>
      </w:r>
    </w:p>
    <w:p>
      <w:pPr>
        <w:pStyle w:val="ListBullet"/>
        <w:widowControl/>
      </w:pPr>
      <w:r>
        <w:rPr>
          <w:rFonts w:ascii="Arial" w:hAnsi="Arial"/>
          <w:b w:val="0"/>
        </w:rPr>
        <w:t>☐ Not Ready/Pending/Unknown cases owned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MD-EOS deployment authority preserved</w:t>
      </w:r>
    </w:p>
    <w:p>
      <w:pPr>
        <w:pStyle w:val="Heading2"/>
        <w:widowControl/>
      </w:pPr>
      <w:r>
        <w:rPr>
          <w:rFonts w:ascii="Arial" w:hAnsi="Arial"/>
          <w:b w:val="0"/>
        </w:rPr>
        <w:t>Production release</w:t>
      </w:r>
    </w:p>
    <w:p>
      <w:pPr>
        <w:pStyle w:val="ListBullet"/>
        <w:widowControl/>
      </w:pPr>
      <w:r>
        <w:rPr>
          <w:rFonts w:ascii="Arial" w:hAnsi="Arial"/>
          <w:b w:val="0"/>
        </w:rPr>
        <w:t>☐ Exact candidate frozen</w:t>
      </w:r>
    </w:p>
    <w:p>
      <w:pPr>
        <w:pStyle w:val="ListBullet"/>
        <w:widowControl/>
      </w:pPr>
      <w:r>
        <w:rPr>
          <w:rFonts w:ascii="Arial" w:hAnsi="Arial"/>
          <w:b w:val="0"/>
        </w:rPr>
        <w:t>☐ Independent acceptance signed</w:t>
      </w:r>
    </w:p>
    <w:p>
      <w:pPr>
        <w:pStyle w:val="ListBullet"/>
        <w:widowControl/>
      </w:pPr>
      <w:r>
        <w:rPr>
          <w:rFonts w:ascii="Arial" w:hAnsi="Arial"/>
          <w:b w:val="0"/>
        </w:rPr>
        <w:t>☐ No critical/high defect</w:t>
      </w:r>
    </w:p>
    <w:p>
      <w:pPr>
        <w:pStyle w:val="ListBullet"/>
        <w:widowControl/>
      </w:pPr>
      <w:r>
        <w:rPr>
          <w:rFonts w:ascii="Arial" w:hAnsi="Arial"/>
          <w:b w:val="0"/>
        </w:rPr>
        <w:t>☐ Rollback/recovery proven</w:t>
      </w:r>
    </w:p>
    <w:p>
      <w:pPr>
        <w:pStyle w:val="ListBullet"/>
        <w:widowControl/>
      </w:pPr>
      <w:r>
        <w:rPr>
          <w:rFonts w:ascii="Arial" w:hAnsi="Arial"/>
          <w:b w:val="0"/>
        </w:rPr>
        <w:t>☐ Approvals and CEO authorisation recorded</w:t>
      </w:r>
    </w:p>
    <w:p>
      <w:pPr>
        <w:pStyle w:val="Heading1"/>
        <w:widowControl/>
      </w:pPr>
      <w:r>
        <w:rPr>
          <w:rFonts w:ascii="Arial" w:hAnsi="Arial"/>
          <w:b w:val="0"/>
        </w:rPr>
        <w:t>Appendix B — Questions to ask any recommendation</w:t>
      </w:r>
    </w:p>
    <w:p>
      <w:pPr>
        <w:pStyle w:val="ListBullet"/>
        <w:widowControl/>
      </w:pPr>
      <w:r>
        <w:rPr>
          <w:rFonts w:ascii="Arial" w:hAnsi="Arial"/>
          <w:b w:val="0"/>
        </w:rPr>
        <w:t>What evidence and version produced this?</w:t>
      </w:r>
    </w:p>
    <w:p>
      <w:pPr>
        <w:pStyle w:val="ListBullet"/>
        <w:widowControl/>
      </w:pPr>
      <w:r>
        <w:rPr>
          <w:rFonts w:ascii="Arial" w:hAnsi="Arial"/>
          <w:b w:val="0"/>
        </w:rPr>
        <w:t>How fresh and complete is the data?</w:t>
      </w:r>
    </w:p>
    <w:p>
      <w:pPr>
        <w:pStyle w:val="ListBullet"/>
        <w:widowControl/>
      </w:pPr>
      <w:r>
        <w:rPr>
          <w:rFonts w:ascii="Arial" w:hAnsi="Arial"/>
          <w:b w:val="0"/>
        </w:rPr>
        <w:t>What alternative explanation exists?</w:t>
      </w:r>
    </w:p>
    <w:p>
      <w:pPr>
        <w:pStyle w:val="ListBullet"/>
        <w:widowControl/>
      </w:pPr>
      <w:r>
        <w:rPr>
          <w:rFonts w:ascii="Arial" w:hAnsi="Arial"/>
          <w:b w:val="0"/>
        </w:rPr>
        <w:t>Which role has decision authority?</w:t>
      </w:r>
    </w:p>
    <w:p>
      <w:pPr>
        <w:pStyle w:val="ListBullet"/>
        <w:widowControl/>
      </w:pPr>
      <w:r>
        <w:rPr>
          <w:rFonts w:ascii="Arial" w:hAnsi="Arial"/>
          <w:b w:val="0"/>
        </w:rPr>
        <w:t>What is the smallest safe intervention?</w:t>
      </w:r>
    </w:p>
    <w:p>
      <w:pPr>
        <w:pStyle w:val="ListBullet"/>
        <w:widowControl/>
      </w:pPr>
      <w:r>
        <w:rPr>
          <w:rFonts w:ascii="Arial" w:hAnsi="Arial"/>
          <w:b w:val="0"/>
        </w:rPr>
        <w:t>What happens if we wait, act or are wrong?</w:t>
      </w:r>
    </w:p>
    <w:p>
      <w:pPr>
        <w:pStyle w:val="ListBullet"/>
        <w:widowControl/>
      </w:pPr>
      <w:r>
        <w:rPr>
          <w:rFonts w:ascii="Arial" w:hAnsi="Arial"/>
          <w:b w:val="0"/>
        </w:rPr>
        <w:t>How will we verify and learn?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D"/>
        <w:sz w:val="16"/>
      </w:rPr>
      <w:t xml:space="preserve">Controlled v1.0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17D"/>
        <w:sz w:val="16"/>
      </w:rPr>
      <w:t>MAISON DOCLAR ACADEMY  |  EXECUTIVE ACADEMY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78" w:lineRule="auto"/>
    </w:pPr>
    <w:rPr>
      <w:rFonts w:ascii="Arial" w:hAnsi="Arial"/>
      <w:b w:val="0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8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E4B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8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8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024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78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78" w:lineRule="auto"/>
    </w:pPr>
    <w:rPr>
      <w:rFonts w:asciiTheme="majorHAnsi" w:eastAsiaTheme="majorEastAsia" w:hAnsiTheme="majorHAnsi" w:cstheme="majorBidi" w:ascii="Arial" w:hAnsi="Arial"/>
      <w:b w:val="0"/>
      <w:i/>
      <w:iCs/>
      <w:color w:val="6671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CEO Academy Operating Manual v1.0.docx</dc:title>
  <dc:subject>CEO governance of Academy curriculum, certification, readiness, approvals and organisational learning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