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ascii="Arial" w:hAnsi="Arial"/>
          <w:b/>
          <w:color w:val="B79F85"/>
          <w:sz w:val="18"/>
        </w:rPr>
        <w:t>COURSE PRODUCTION</w:t>
      </w:r>
    </w:p>
    <w:p>
      <w:pPr>
        <w:pStyle w:val="Title"/>
        <w:widowControl/>
      </w:pPr>
      <w:r>
        <w:rPr>
          <w:rFonts w:ascii="Arial" w:hAnsi="Arial"/>
          <w:b w:val="0"/>
        </w:rPr>
        <w:t>Initial Course-Production Pack</w:t>
      </w:r>
    </w:p>
    <w:p>
      <w:pPr>
        <w:pStyle w:val="Subtitle"/>
        <w:widowControl/>
      </w:pPr>
      <w:r>
        <w:rPr>
          <w:rFonts w:ascii="Arial" w:hAnsi="Arial"/>
          <w:b w:val="0"/>
        </w:rPr>
        <w:t>Controlled templates and workflow for converting the 30-module knowledge base into publishable learning and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Control</w:t>
            </w:r>
          </w:p>
        </w:tc>
        <w:tc>
          <w:tcPr>
            <w:tcW w:type="dxa" w:w="731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Value</w:t>
            </w:r>
          </w:p>
        </w:tc>
      </w:tr>
      <w:tr>
        <w:tc>
          <w:tcPr>
            <w:tcW w:type="dxa" w:w="20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Owner</w:t>
            </w:r>
          </w:p>
        </w:tc>
        <w:tc>
          <w:tcPr>
            <w:tcW w:type="dxa" w:w="73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CEO / Academy Governance</w:t>
            </w:r>
          </w:p>
        </w:tc>
      </w:tr>
      <w:tr>
        <w:tc>
          <w:tcPr>
            <w:tcW w:type="dxa" w:w="20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Version</w:t>
            </w:r>
          </w:p>
        </w:tc>
        <w:tc>
          <w:tcPr>
            <w:tcW w:type="dxa" w:w="73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1.0</w:t>
            </w:r>
          </w:p>
        </w:tc>
      </w:tr>
      <w:tr>
        <w:tc>
          <w:tcPr>
            <w:tcW w:type="dxa" w:w="20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Status</w:t>
            </w:r>
          </w:p>
        </w:tc>
        <w:tc>
          <w:tcPr>
            <w:tcW w:type="dxa" w:w="73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Final controlled draft for ratification</w:t>
            </w:r>
          </w:p>
        </w:tc>
      </w:tr>
      <w:tr>
        <w:tc>
          <w:tcPr>
            <w:tcW w:type="dxa" w:w="20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Date</w:t>
            </w:r>
          </w:p>
        </w:tc>
        <w:tc>
          <w:tcPr>
            <w:tcW w:type="dxa" w:w="73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3 September 2026</w:t>
            </w:r>
          </w:p>
        </w:tc>
      </w:tr>
      <w:tr>
        <w:tc>
          <w:tcPr>
            <w:tcW w:type="dxa" w:w="20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Authority</w:t>
            </w:r>
          </w:p>
        </w:tc>
        <w:tc>
          <w:tcPr>
            <w:tcW w:type="dxa" w:w="73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Academy Canonical Blueprint and ratified Academy specifications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1. Purpose and output</w:t>
      </w:r>
    </w:p>
    <w:p>
      <w:pPr>
        <w:widowControl/>
      </w:pPr>
      <w:r>
        <w:rPr>
          <w:rFonts w:ascii="Arial" w:hAnsi="Arial"/>
          <w:b w:val="0"/>
        </w:rPr>
        <w:t>This pack is the working production kit for authors, instructional designers, subject-matter experts, reviewers, assessors and publishers. It produces a traceable course bundle that can be imported into the Academy without bypassing content, assessment or certification governance.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5F1EA"/>
          </w:tcPr>
          <w:p>
            <w:r>
              <w:rPr>
                <w:rFonts w:ascii="Arial" w:hAnsi="Arial"/>
                <w:b/>
                <w:color w:val="8E2E2E"/>
                <w:sz w:val="18"/>
              </w:rPr>
              <w:t xml:space="preserve">PRODUCTION LAW  </w:t>
            </w:r>
            <w:r>
              <w:rPr>
                <w:rFonts w:ascii="Arial" w:hAnsi="Arial"/>
                <w:sz w:val="18"/>
              </w:rPr>
              <w:t>Do not begin with slides or questions. Begin with approved knowledge, competency IDs, role need and observable performance. Every asset must retain that lineage through publication and later supersession.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2. Definition of a complete course bundle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Object</w:t>
            </w:r>
          </w:p>
        </w:tc>
        <w:tc>
          <w:tcPr>
            <w:tcW w:type="dxa" w:w="751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Minimum contents</w:t>
            </w:r>
          </w:p>
        </w:tc>
      </w:tr>
      <w:tr>
        <w:tc>
          <w:tcPr>
            <w:tcW w:type="dxa" w:w="18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Course brief</w:t>
            </w:r>
          </w:p>
        </w:tc>
        <w:tc>
          <w:tcPr>
            <w:tcW w:type="dxa" w:w="75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Audience, role level, competencies, prerequisites, risk, duration, modality and completion rule.</w:t>
            </w:r>
          </w:p>
        </w:tc>
      </w:tr>
      <w:tr>
        <w:tc>
          <w:tcPr>
            <w:tcW w:type="dxa" w:w="18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Module map</w:t>
            </w:r>
          </w:p>
        </w:tc>
        <w:tc>
          <w:tcPr>
            <w:tcW w:type="dxa" w:w="75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Knowledge items, objectives, lesson sequence, activities, event/local overlays and assessment links.</w:t>
            </w:r>
          </w:p>
        </w:tc>
      </w:tr>
      <w:tr>
        <w:tc>
          <w:tcPr>
            <w:tcW w:type="dxa" w:w="18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Lesson package</w:t>
            </w:r>
          </w:p>
        </w:tc>
        <w:tc>
          <w:tcPr>
            <w:tcW w:type="dxa" w:w="75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Storyboard, learner copy, media/transcript, practice, feedback, accessibility and metadata.</w:t>
            </w:r>
          </w:p>
        </w:tc>
      </w:tr>
      <w:tr>
        <w:tc>
          <w:tcPr>
            <w:tcW w:type="dxa" w:w="18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Assessment package</w:t>
            </w:r>
          </w:p>
        </w:tc>
        <w:tc>
          <w:tcPr>
            <w:tcW w:type="dxa" w:w="75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Blueprint, approved item versions, form rules, keys/rationales, rubric, critical rules and retake equivalence.</w:t>
            </w:r>
          </w:p>
        </w:tc>
      </w:tr>
      <w:tr>
        <w:tc>
          <w:tcPr>
            <w:tcW w:type="dxa" w:w="18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Governance package</w:t>
            </w:r>
          </w:p>
        </w:tc>
        <w:tc>
          <w:tcPr>
            <w:tcW w:type="dxa" w:w="75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Sources, provenance, reviews, exact hash, approval, publication, supersession and impact links.</w:t>
            </w:r>
          </w:p>
        </w:tc>
      </w:tr>
      <w:tr>
        <w:tc>
          <w:tcPr>
            <w:tcW w:type="dxa" w:w="18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Import package</w:t>
            </w:r>
          </w:p>
        </w:tc>
        <w:tc>
          <w:tcPr>
            <w:tcW w:type="dxa" w:w="75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Versioned manifest, stable IDs, asset checksums, relationships and validation receipt.</w:t>
            </w:r>
          </w:p>
        </w:tc>
      </w:tr>
      <w:tr>
        <w:tc>
          <w:tcPr>
            <w:tcW w:type="dxa" w:w="18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Acceptance evidence</w:t>
            </w:r>
          </w:p>
        </w:tc>
        <w:tc>
          <w:tcPr>
            <w:tcW w:type="dxa" w:w="75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Content, role, accessibility, mobile, assessment and pilot results.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3. Production roles and separation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Role</w:t>
            </w:r>
          </w:p>
        </w:tc>
        <w:tc>
          <w:tcPr>
            <w:tcW w:type="dxa" w:w="761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Accountability</w:t>
            </w:r>
          </w:p>
        </w:tc>
      </w:tr>
      <w:tr>
        <w:tc>
          <w:tcPr>
            <w:tcW w:type="dxa" w:w="1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Course owner</w:t>
            </w:r>
          </w:p>
        </w:tc>
        <w:tc>
          <w:tcPr>
            <w:tcW w:type="dxa" w:w="7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Outcome, audience, schedule, resources and issue ownership.</w:t>
            </w:r>
          </w:p>
        </w:tc>
      </w:tr>
      <w:tr>
        <w:tc>
          <w:tcPr>
            <w:tcW w:type="dxa" w:w="1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Knowledge/SME author</w:t>
            </w:r>
          </w:p>
        </w:tc>
        <w:tc>
          <w:tcPr>
            <w:tcW w:type="dxa" w:w="7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Accurate doctrine, source trace, examples and boundaries.</w:t>
            </w:r>
          </w:p>
        </w:tc>
      </w:tr>
      <w:tr>
        <w:tc>
          <w:tcPr>
            <w:tcW w:type="dxa" w:w="1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Instructional designer</w:t>
            </w:r>
          </w:p>
        </w:tc>
        <w:tc>
          <w:tcPr>
            <w:tcW w:type="dxa" w:w="7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Objectives, sequence, activities, cognitive load, accessibility and learning evidence.</w:t>
            </w:r>
          </w:p>
        </w:tc>
      </w:tr>
      <w:tr>
        <w:tc>
          <w:tcPr>
            <w:tcW w:type="dxa" w:w="1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Assessment author</w:t>
            </w:r>
          </w:p>
        </w:tc>
        <w:tc>
          <w:tcPr>
            <w:tcW w:type="dxa" w:w="7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Difficult valid items, blueprint alignment, key/rationale and exposure-safe bank.</w:t>
            </w:r>
          </w:p>
        </w:tc>
      </w:tr>
      <w:tr>
        <w:tc>
          <w:tcPr>
            <w:tcW w:type="dxa" w:w="1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Reviewer(s)</w:t>
            </w:r>
          </w:p>
        </w:tc>
        <w:tc>
          <w:tcPr>
            <w:tcW w:type="dxa" w:w="7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Independent domain, operations, cultural, privacy/security and accessibility review as applicable.</w:t>
            </w:r>
          </w:p>
        </w:tc>
      </w:tr>
      <w:tr>
        <w:tc>
          <w:tcPr>
            <w:tcW w:type="dxa" w:w="1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Assessor/moderator</w:t>
            </w:r>
          </w:p>
        </w:tc>
        <w:tc>
          <w:tcPr>
            <w:tcW w:type="dxa" w:w="7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Practical evidence, anchored scoring, conflict declaration and consistency.</w:t>
            </w:r>
          </w:p>
        </w:tc>
      </w:tr>
      <w:tr>
        <w:tc>
          <w:tcPr>
            <w:tcW w:type="dxa" w:w="1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Publisher</w:t>
            </w:r>
          </w:p>
        </w:tc>
        <w:tc>
          <w:tcPr>
            <w:tcW w:type="dxa" w:w="7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Valid exact version, approval bundle, schedule and atomic publication.</w:t>
            </w:r>
          </w:p>
        </w:tc>
      </w:tr>
      <w:tr>
        <w:tc>
          <w:tcPr>
            <w:tcW w:type="dxa" w:w="1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CEO</w:t>
            </w:r>
          </w:p>
        </w:tc>
        <w:tc>
          <w:tcPr>
            <w:tcW w:type="dxa" w:w="7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Material doctrine and production decisions reserved by governance; not self-approval.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4. Twelve-stage production workflow</w:t>
      </w:r>
    </w:p>
    <w:p>
      <w:pPr>
        <w:pStyle w:val="ListNumber"/>
        <w:widowControl/>
      </w:pPr>
      <w:r>
        <w:rPr>
          <w:rFonts w:ascii="Arial" w:hAnsi="Arial"/>
          <w:b w:val="0"/>
        </w:rPr>
        <w:t>Open a production record and freeze source/knowledge versions.</w:t>
      </w:r>
    </w:p>
    <w:p>
      <w:pPr>
        <w:pStyle w:val="ListNumber"/>
        <w:widowControl/>
      </w:pPr>
      <w:r>
        <w:rPr>
          <w:rFonts w:ascii="Arial" w:hAnsi="Arial"/>
          <w:b w:val="0"/>
        </w:rPr>
        <w:t>Confirm role need, competency IDs, C/P/A treatment and prerequisite/equivalence rules.</w:t>
      </w:r>
    </w:p>
    <w:p>
      <w:pPr>
        <w:pStyle w:val="ListNumber"/>
        <w:widowControl/>
      </w:pPr>
      <w:r>
        <w:rPr>
          <w:rFonts w:ascii="Arial" w:hAnsi="Arial"/>
          <w:b w:val="0"/>
        </w:rPr>
        <w:t>Write measurable objectives and observable standards.</w:t>
      </w:r>
    </w:p>
    <w:p>
      <w:pPr>
        <w:pStyle w:val="ListNumber"/>
        <w:widowControl/>
      </w:pPr>
      <w:r>
        <w:rPr>
          <w:rFonts w:ascii="Arial" w:hAnsi="Arial"/>
          <w:b w:val="0"/>
        </w:rPr>
        <w:t>Design lesson and practice sequence from simple recognition to applied judgement.</w:t>
      </w:r>
    </w:p>
    <w:p>
      <w:pPr>
        <w:pStyle w:val="ListNumber"/>
        <w:widowControl/>
      </w:pPr>
      <w:r>
        <w:rPr>
          <w:rFonts w:ascii="Arial" w:hAnsi="Arial"/>
          <w:b w:val="0"/>
        </w:rPr>
        <w:t>Draft role-aware learner copy, cases, activities and recovery/escalation behavior.</w:t>
      </w:r>
    </w:p>
    <w:p>
      <w:pPr>
        <w:pStyle w:val="ListNumber"/>
        <w:widowControl/>
      </w:pPr>
      <w:r>
        <w:rPr>
          <w:rFonts w:ascii="Arial" w:hAnsi="Arial"/>
          <w:b w:val="0"/>
        </w:rPr>
        <w:t>Produce media, transcript, captions, downloadable alternative and low-bandwidth treatment.</w:t>
      </w:r>
    </w:p>
    <w:p>
      <w:pPr>
        <w:pStyle w:val="ListNumber"/>
        <w:widowControl/>
      </w:pPr>
      <w:r>
        <w:rPr>
          <w:rFonts w:ascii="Arial" w:hAnsi="Arial"/>
          <w:b w:val="0"/>
        </w:rPr>
        <w:t>Build assessment blueprint, question/practical items and anchored rubric.</w:t>
      </w:r>
    </w:p>
    <w:p>
      <w:pPr>
        <w:pStyle w:val="ListNumber"/>
        <w:widowControl/>
      </w:pPr>
      <w:r>
        <w:rPr>
          <w:rFonts w:ascii="Arial" w:hAnsi="Arial"/>
          <w:b w:val="0"/>
        </w:rPr>
        <w:t>Run author self-check and automated validation.</w:t>
      </w:r>
    </w:p>
    <w:p>
      <w:pPr>
        <w:pStyle w:val="ListNumber"/>
        <w:widowControl/>
      </w:pPr>
      <w:r>
        <w:rPr>
          <w:rFonts w:ascii="Arial" w:hAnsi="Arial"/>
          <w:b w:val="0"/>
        </w:rPr>
        <w:t>Conduct independent content, operational, cultural, privacy/security and accessibility review.</w:t>
      </w:r>
    </w:p>
    <w:p>
      <w:pPr>
        <w:pStyle w:val="ListNumber"/>
        <w:widowControl/>
      </w:pPr>
      <w:r>
        <w:rPr>
          <w:rFonts w:ascii="Arial" w:hAnsi="Arial"/>
          <w:b w:val="0"/>
        </w:rPr>
        <w:t>Pilot with representative roles/devices/network; analyse confusion without lowering valid difficulty.</w:t>
      </w:r>
    </w:p>
    <w:p>
      <w:pPr>
        <w:pStyle w:val="ListNumber"/>
        <w:widowControl/>
      </w:pPr>
      <w:r>
        <w:rPr>
          <w:rFonts w:ascii="Arial" w:hAnsi="Arial"/>
          <w:b w:val="0"/>
        </w:rPr>
        <w:t>Approve exact hashes, assemble import manifest and publish atomically.</w:t>
      </w:r>
    </w:p>
    <w:p>
      <w:pPr>
        <w:pStyle w:val="ListNumber"/>
        <w:widowControl/>
      </w:pPr>
      <w:r>
        <w:rPr>
          <w:rFonts w:ascii="Arial" w:hAnsi="Arial"/>
          <w:b w:val="0"/>
        </w:rPr>
        <w:t>Monitor outcomes, exposure and feedback; govern correction or supersession.</w:t>
      </w:r>
    </w:p>
    <w:p>
      <w:r>
        <w:br w:type="page"/>
      </w:r>
    </w:p>
    <w:p>
      <w:pPr>
        <w:pStyle w:val="Heading1"/>
        <w:widowControl/>
      </w:pPr>
      <w:r>
        <w:rPr>
          <w:rFonts w:ascii="Arial" w:hAnsi="Arial"/>
          <w:b w:val="0"/>
        </w:rPr>
        <w:t>5. Thirty-module production register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6610"/>
        <w:gridCol w:w="2000"/>
      </w:tblGrid>
      <w:tr>
        <w:tc>
          <w:tcPr>
            <w:tcW w:type="dxa" w:w="7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ID</w:t>
            </w:r>
          </w:p>
        </w:tc>
        <w:tc>
          <w:tcPr>
            <w:tcW w:type="dxa" w:w="661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Module</w:t>
            </w:r>
          </w:p>
        </w:tc>
        <w:tc>
          <w:tcPr>
            <w:tcW w:type="dxa" w:w="20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Wave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M01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White-Glove Hospitality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Foundation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M02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The Guest Journey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Foundation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M03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Nigerian Protocol &amp; Precedence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Foundation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M04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Nigerian Cultural &amp; Ceremonial Intelligence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Foundation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M05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VIP &amp; High-Net-Worth Guest Management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Foundation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M06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Event Command &amp; Control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Foundation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M07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Vendor &amp; Supplier Management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Foundation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M08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Protocol, Ceremony &amp; Run-of-Show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Foundation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M09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White-Glove Service Operations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Foundation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M10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Event Command, Control &amp; Live Operations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Foundation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M11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Event Risk, Crisis &amp; Service Recovery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Foundation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M12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The Event Operating System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Foundation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M13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Vendor &amp; Supplier Mastery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Advanced practice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M14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Staffing, Service Culture &amp; the White-Glove Team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Advanced practice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M15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Guest Communication, Concierge &amp; the Art of Personalisation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Advanced practice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M16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Event-Day Command, Control &amp; the Operations Room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Advanced practice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M17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Security, Safety, Privacy &amp; Risk Management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Advanced practice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M18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Vendor Management, Supplier Control &amp; the Delivery Standard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Advanced practice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M19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Staffing, Service Culture &amp; the Guest Experience Team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Advanced practice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M20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The Event Command Centre and AI Layer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Advanced practice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M21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Event Day Execution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Advanced practice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M22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Service Recovery &amp; Guest Psychology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Advanced practice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M23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Discretion, Privacy &amp; Information Control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Advanced practice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M24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Protocol Conflict, Diplomatic Judgement &amp; High-Status Interactions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Advanced practice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M25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The Luxury Service Recovery Lab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Integration/capstone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M26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The Art of Host Management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Integration/capstone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M27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The Architecture of a White-Glove Event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Integration/capstone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M28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Event Intelligence &amp; Live Command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Integration/capstone</w:t>
            </w:r>
          </w:p>
        </w:tc>
      </w:tr>
      <w:tr>
        <w:tc>
          <w:tcPr>
            <w:tcW w:type="dxa" w:w="7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M29</w:t>
            </w:r>
          </w:p>
        </w:tc>
        <w:tc>
          <w:tcPr>
            <w:tcW w:type="dxa" w:w="66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The Art of Discretion, Privacy &amp; Confidentiality</w:t>
            </w:r>
          </w:p>
        </w:tc>
        <w:tc>
          <w:tcPr>
            <w:tcW w:type="dxa" w:w="20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Integration/capstone</w:t>
            </w:r>
          </w:p>
        </w:tc>
      </w:tr>
      <w:tr>
        <w:tc>
          <w:tcPr>
            <w:tcW w:type="dxa" w:w="7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M30</w:t>
            </w:r>
          </w:p>
        </w:tc>
        <w:tc>
          <w:tcPr>
            <w:tcW w:type="dxa" w:w="66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The Maison Doclar Standard</w:t>
            </w:r>
          </w:p>
        </w:tc>
        <w:tc>
          <w:tcPr>
            <w:tcW w:type="dxa" w:w="20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Integration/capstone</w:t>
            </w:r>
          </w:p>
        </w:tc>
      </w:tr>
    </w:tbl>
    <w:p>
      <w:pPr>
        <w:pStyle w:val="Heading2"/>
        <w:widowControl/>
      </w:pPr>
      <w:r>
        <w:rPr>
          <w:rFonts w:ascii="Arial" w:hAnsi="Arial"/>
          <w:b w:val="0"/>
        </w:rPr>
        <w:t>Recommended production order</w:t>
      </w:r>
    </w:p>
    <w:p>
      <w:pPr>
        <w:pStyle w:val="ListBullet"/>
        <w:widowControl/>
      </w:pPr>
      <w:r>
        <w:rPr>
          <w:rFonts w:ascii="Arial" w:hAnsi="Arial"/>
          <w:b w:val="0"/>
        </w:rPr>
        <w:t>Wave 1 — M01, M02, M09 and M23 establish hospitality, journey, service and privacy language.</w:t>
      </w:r>
    </w:p>
    <w:p>
      <w:pPr>
        <w:pStyle w:val="ListBullet"/>
        <w:widowControl/>
      </w:pPr>
      <w:r>
        <w:rPr>
          <w:rFonts w:ascii="Arial" w:hAnsi="Arial"/>
          <w:b w:val="0"/>
        </w:rPr>
        <w:t>Wave 2 — M03–M08 and M10–M12 establish protocol, culture, VIP, command, supplier, ceremony, risk and OS operation.</w:t>
      </w:r>
    </w:p>
    <w:p>
      <w:pPr>
        <w:pStyle w:val="ListBullet"/>
        <w:widowControl/>
      </w:pPr>
      <w:r>
        <w:rPr>
          <w:rFonts w:ascii="Arial" w:hAnsi="Arial"/>
          <w:b w:val="0"/>
        </w:rPr>
        <w:t>Wave 3 — M13–M24 extends leadership, live command, security, recovery and diplomatic judgement.</w:t>
      </w:r>
    </w:p>
    <w:p>
      <w:pPr>
        <w:pStyle w:val="ListBullet"/>
        <w:widowControl/>
      </w:pPr>
      <w:r>
        <w:rPr>
          <w:rFonts w:ascii="Arial" w:hAnsi="Arial"/>
          <w:b w:val="0"/>
        </w:rPr>
        <w:t>Wave 4 — M25–M29 provides advanced practical integration; M30 is produced last as the governed capstone.</w:t>
      </w:r>
    </w:p>
    <w:p>
      <w:pPr>
        <w:pStyle w:val="ListBullet"/>
        <w:widowControl/>
      </w:pPr>
      <w:r>
        <w:rPr>
          <w:rFonts w:ascii="Arial" w:hAnsi="Arial"/>
          <w:b w:val="0"/>
        </w:rPr>
        <w:t>Equivalent content is reused through stable competencies; extension modules assess only added or materially deeper capability.</w:t>
      </w:r>
    </w:p>
    <w:p>
      <w:r>
        <w:br w:type="page"/>
      </w:r>
    </w:p>
    <w:p>
      <w:pPr>
        <w:pStyle w:val="Heading1"/>
        <w:widowControl/>
      </w:pPr>
      <w:r>
        <w:rPr>
          <w:rFonts w:ascii="Arial" w:hAnsi="Arial"/>
          <w:b w:val="0"/>
        </w:rPr>
        <w:t>6. Template A — Course production brief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c>
          <w:tcPr>
            <w:tcW w:type="dxa" w:w="22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Field</w:t>
            </w:r>
          </w:p>
        </w:tc>
        <w:tc>
          <w:tcPr>
            <w:tcW w:type="dxa" w:w="711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Author entry / rule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Course ID / version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Stable ID; semantic version; status Draft/In Review/Approved/Published/Suspended/Superseded.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Title / promise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Plain-language performance promise; no marketing-only objective.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Owner / authors / reviewers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Named people, roles, conflict declarations and approval separation.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Audience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Role profiles, seniority, C/P/A treatment and restricted audiences.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Competencies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Exact IDs, statements, criticality and observable standards.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Prerequisites/equivalence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Published versions; valid reusable evidence; gap-only assignment.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Knowledge/source baseline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Approved KnowledgeItem/SourceReference IDs and exact versions.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Global / Lagos / event treatment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Durable doctrine, approved local overlay, and event facts kept separate.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Duration / modality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Realistic seat/practice time; mobile, facilitated, practical and offline rules.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Completion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Learning activities, acknowledgements and assessment eligibility—not competence by viewing.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Assessment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Blueprint, formats, practical evidence, critical rules and retake plan.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Accessibility/network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WCAG 2.2 AA; transcript/captions; 360px and representative Lagos budget.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Privacy/security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Classification, minimum data, audience, export/offline and retention.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Success measures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Completion quality, competency outcome, transfer, recurring gap and operational signal.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7. Template B — Module and lesson design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Field</w:t>
            </w:r>
          </w:p>
        </w:tc>
        <w:tc>
          <w:tcPr>
            <w:tcW w:type="dxa" w:w="72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Required content</w:t>
            </w:r>
          </w:p>
        </w:tc>
      </w:tr>
      <w:tr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Module objective</w:t>
            </w:r>
          </w:p>
        </w:tc>
        <w:tc>
          <w:tcPr>
            <w:tcW w:type="dxa" w:w="72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“Given [context], learner will [observable decision/action] to [standard] within [authority].”</w:t>
            </w:r>
          </w:p>
        </w:tc>
      </w:tr>
      <w:tr>
        <w:tc>
          <w:tcPr>
            <w:tcW w:type="dxa" w:w="21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Lesson objective</w:t>
            </w:r>
          </w:p>
        </w:tc>
        <w:tc>
          <w:tcPr>
            <w:tcW w:type="dxa" w:w="72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One assessable change; mapped competency and prerequisite.</w:t>
            </w:r>
          </w:p>
        </w:tc>
      </w:tr>
      <w:tr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Opening case</w:t>
            </w:r>
          </w:p>
        </w:tc>
        <w:tc>
          <w:tcPr>
            <w:tcW w:type="dxa" w:w="72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Realistic tension, incomplete information and consequence; no protected real-person detail.</w:t>
            </w:r>
          </w:p>
        </w:tc>
      </w:tr>
      <w:tr>
        <w:tc>
          <w:tcPr>
            <w:tcW w:type="dxa" w:w="21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Doctrine</w:t>
            </w:r>
          </w:p>
        </w:tc>
        <w:tc>
          <w:tcPr>
            <w:tcW w:type="dxa" w:w="72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Minimum approved principle, boundaries, Lagos/global label and source trace.</w:t>
            </w:r>
          </w:p>
        </w:tc>
      </w:tr>
      <w:tr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Decision model</w:t>
            </w:r>
          </w:p>
        </w:tc>
        <w:tc>
          <w:tcPr>
            <w:tcW w:type="dxa" w:w="72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Steps, evidence, authority, stop condition, escalation and recovery.</w:t>
            </w:r>
          </w:p>
        </w:tc>
      </w:tr>
      <w:tr>
        <w:tc>
          <w:tcPr>
            <w:tcW w:type="dxa" w:w="21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Worked example</w:t>
            </w:r>
          </w:p>
        </w:tc>
        <w:tc>
          <w:tcPr>
            <w:tcW w:type="dxa" w:w="72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Correct reasoning and consequences; clearly labelled context-specific facts.</w:t>
            </w:r>
          </w:p>
        </w:tc>
      </w:tr>
      <w:tr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Practice</w:t>
            </w:r>
          </w:p>
        </w:tc>
        <w:tc>
          <w:tcPr>
            <w:tcW w:type="dxa" w:w="72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Active choice, sequencing, classification, calculation, critique, role-play or artefact creation.</w:t>
            </w:r>
          </w:p>
        </w:tc>
      </w:tr>
      <w:tr>
        <w:tc>
          <w:tcPr>
            <w:tcW w:type="dxa" w:w="21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Feedback</w:t>
            </w:r>
          </w:p>
        </w:tc>
        <w:tc>
          <w:tcPr>
            <w:tcW w:type="dxa" w:w="72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Explain why, source/standard, risk, next action; never leak live scored keys.</w:t>
            </w:r>
          </w:p>
        </w:tc>
      </w:tr>
      <w:tr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Summary</w:t>
            </w:r>
          </w:p>
        </w:tc>
        <w:tc>
          <w:tcPr>
            <w:tcW w:type="dxa" w:w="72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Three to seven durable takeaways plus operational cue.</w:t>
            </w:r>
          </w:p>
        </w:tc>
      </w:tr>
      <w:tr>
        <w:tc>
          <w:tcPr>
            <w:tcW w:type="dxa" w:w="21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Accessibility</w:t>
            </w:r>
          </w:p>
        </w:tc>
        <w:tc>
          <w:tcPr>
            <w:tcW w:type="dxa" w:w="72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Semantic structure, plain language, alt text, transcript/captions and non-drag alternative.</w:t>
            </w:r>
          </w:p>
        </w:tc>
      </w:tr>
      <w:tr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Version metadata</w:t>
            </w:r>
          </w:p>
        </w:tc>
        <w:tc>
          <w:tcPr>
            <w:tcW w:type="dxa" w:w="72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Content/knowledge/competency IDs, author, locale, hash and effective dates.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8. Template C — Lesson storyboard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1350"/>
        <w:gridCol w:w="1450"/>
        <w:gridCol w:w="2100"/>
        <w:gridCol w:w="1900"/>
        <w:gridCol w:w="2010"/>
      </w:tblGrid>
      <w:tr>
        <w:tc>
          <w:tcPr>
            <w:tcW w:type="dxa" w:w="5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4"/>
              </w:rPr>
              <w:t>Seq</w:t>
            </w:r>
          </w:p>
        </w:tc>
        <w:tc>
          <w:tcPr>
            <w:tcW w:type="dxa" w:w="13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4"/>
              </w:rPr>
              <w:t>Screen/scene</w:t>
            </w:r>
          </w:p>
        </w:tc>
        <w:tc>
          <w:tcPr>
            <w:tcW w:type="dxa" w:w="14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4"/>
              </w:rPr>
              <w:t>Learner action</w:t>
            </w:r>
          </w:p>
        </w:tc>
        <w:tc>
          <w:tcPr>
            <w:tcW w:type="dxa" w:w="21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4"/>
              </w:rPr>
              <w:t>Teaching/feedback</w:t>
            </w:r>
          </w:p>
        </w:tc>
        <w:tc>
          <w:tcPr>
            <w:tcW w:type="dxa" w:w="19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4"/>
              </w:rPr>
              <w:t>Asset/accessibility</w:t>
            </w:r>
          </w:p>
        </w:tc>
        <w:tc>
          <w:tcPr>
            <w:tcW w:type="dxa" w:w="201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4"/>
              </w:rPr>
              <w:t>Trace</w:t>
            </w:r>
          </w:p>
        </w:tc>
      </w:tr>
      <w:tr>
        <w:tc>
          <w:tcPr>
            <w:tcW w:type="dxa" w:w="5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01</w:t>
            </w:r>
          </w:p>
        </w:tc>
        <w:tc>
          <w:tcPr>
            <w:tcW w:type="dxa" w:w="13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Context and objective</w:t>
            </w:r>
          </w:p>
        </w:tc>
        <w:tc>
          <w:tcPr>
            <w:tcW w:type="dxa" w:w="14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Confirm role/context</w:t>
            </w:r>
          </w:p>
        </w:tc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Why this matters</w:t>
            </w:r>
          </w:p>
        </w:tc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Text + optional audio transcript</w:t>
            </w:r>
          </w:p>
        </w:tc>
        <w:tc>
          <w:tcPr>
            <w:tcW w:type="dxa" w:w="20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Competency</w:t>
            </w:r>
          </w:p>
        </w:tc>
      </w:tr>
      <w:tr>
        <w:tc>
          <w:tcPr>
            <w:tcW w:type="dxa" w:w="5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02</w:t>
            </w:r>
          </w:p>
        </w:tc>
        <w:tc>
          <w:tcPr>
            <w:tcW w:type="dxa" w:w="13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Case signal</w:t>
            </w:r>
          </w:p>
        </w:tc>
        <w:tc>
          <w:tcPr>
            <w:tcW w:type="dxa" w:w="14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Inspect evidence</w:t>
            </w:r>
          </w:p>
        </w:tc>
        <w:tc>
          <w:tcPr>
            <w:tcW w:type="dxa" w:w="21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Facts vs unknowns</w:t>
            </w:r>
          </w:p>
        </w:tc>
        <w:tc>
          <w:tcPr>
            <w:tcW w:type="dxa" w:w="19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Image alt text / low-data</w:t>
            </w:r>
          </w:p>
        </w:tc>
        <w:tc>
          <w:tcPr>
            <w:tcW w:type="dxa" w:w="20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Knowledge</w:t>
            </w:r>
          </w:p>
        </w:tc>
      </w:tr>
      <w:tr>
        <w:tc>
          <w:tcPr>
            <w:tcW w:type="dxa" w:w="5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03</w:t>
            </w:r>
          </w:p>
        </w:tc>
        <w:tc>
          <w:tcPr>
            <w:tcW w:type="dxa" w:w="13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Decision model</w:t>
            </w:r>
          </w:p>
        </w:tc>
        <w:tc>
          <w:tcPr>
            <w:tcW w:type="dxa" w:w="14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Order or classify</w:t>
            </w:r>
          </w:p>
        </w:tc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Rule and boundary</w:t>
            </w:r>
          </w:p>
        </w:tc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Keyboard alternative</w:t>
            </w:r>
          </w:p>
        </w:tc>
        <w:tc>
          <w:tcPr>
            <w:tcW w:type="dxa" w:w="20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Knowledge</w:t>
            </w:r>
          </w:p>
        </w:tc>
      </w:tr>
      <w:tr>
        <w:tc>
          <w:tcPr>
            <w:tcW w:type="dxa" w:w="5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04</w:t>
            </w:r>
          </w:p>
        </w:tc>
        <w:tc>
          <w:tcPr>
            <w:tcW w:type="dxa" w:w="13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Guided practice</w:t>
            </w:r>
          </w:p>
        </w:tc>
        <w:tc>
          <w:tcPr>
            <w:tcW w:type="dxa" w:w="14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Make choice</w:t>
            </w:r>
          </w:p>
        </w:tc>
        <w:tc>
          <w:tcPr>
            <w:tcW w:type="dxa" w:w="21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Specific rationale</w:t>
            </w:r>
          </w:p>
        </w:tc>
        <w:tc>
          <w:tcPr>
            <w:tcW w:type="dxa" w:w="19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No key in telemetry</w:t>
            </w:r>
          </w:p>
        </w:tc>
        <w:tc>
          <w:tcPr>
            <w:tcW w:type="dxa" w:w="20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Objective</w:t>
            </w:r>
          </w:p>
        </w:tc>
      </w:tr>
      <w:tr>
        <w:tc>
          <w:tcPr>
            <w:tcW w:type="dxa" w:w="5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05</w:t>
            </w:r>
          </w:p>
        </w:tc>
        <w:tc>
          <w:tcPr>
            <w:tcW w:type="dxa" w:w="13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Applied scenario</w:t>
            </w:r>
          </w:p>
        </w:tc>
        <w:tc>
          <w:tcPr>
            <w:tcW w:type="dxa" w:w="14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Decide/escalate</w:t>
            </w:r>
          </w:p>
        </w:tc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Consequence/recovery</w:t>
            </w:r>
          </w:p>
        </w:tc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Screen-reader tested</w:t>
            </w:r>
          </w:p>
        </w:tc>
        <w:tc>
          <w:tcPr>
            <w:tcW w:type="dxa" w:w="20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Competency</w:t>
            </w:r>
          </w:p>
        </w:tc>
      </w:tr>
      <w:tr>
        <w:tc>
          <w:tcPr>
            <w:tcW w:type="dxa" w:w="5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06</w:t>
            </w:r>
          </w:p>
        </w:tc>
        <w:tc>
          <w:tcPr>
            <w:tcW w:type="dxa" w:w="13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Reflection/artefact</w:t>
            </w:r>
          </w:p>
        </w:tc>
        <w:tc>
          <w:tcPr>
            <w:tcW w:type="dxa" w:w="14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Explain or submit</w:t>
            </w:r>
          </w:p>
        </w:tc>
        <w:tc>
          <w:tcPr>
            <w:tcW w:type="dxa" w:w="21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Rubric-linked feedback</w:t>
            </w:r>
          </w:p>
        </w:tc>
        <w:tc>
          <w:tcPr>
            <w:tcW w:type="dxa" w:w="19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Private evidence rule</w:t>
            </w:r>
          </w:p>
        </w:tc>
        <w:tc>
          <w:tcPr>
            <w:tcW w:type="dxa" w:w="20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Rubric</w:t>
            </w:r>
          </w:p>
        </w:tc>
      </w:tr>
      <w:tr>
        <w:tc>
          <w:tcPr>
            <w:tcW w:type="dxa" w:w="5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07</w:t>
            </w:r>
          </w:p>
        </w:tc>
        <w:tc>
          <w:tcPr>
            <w:tcW w:type="dxa" w:w="13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Summary/next</w:t>
            </w:r>
          </w:p>
        </w:tc>
        <w:tc>
          <w:tcPr>
            <w:tcW w:type="dxa" w:w="14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Acknowledge</w:t>
            </w:r>
          </w:p>
        </w:tc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Next prerequisite/action</w:t>
            </w:r>
          </w:p>
        </w:tc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Downloadable text</w:t>
            </w:r>
          </w:p>
        </w:tc>
        <w:tc>
          <w:tcPr>
            <w:tcW w:type="dxa" w:w="20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4"/>
              </w:rPr>
              <w:t>Completion</w:t>
            </w:r>
          </w:p>
        </w:tc>
      </w:tr>
    </w:tbl>
    <w:p>
      <w:r>
        <w:br w:type="page"/>
      </w:r>
    </w:p>
    <w:p>
      <w:pPr>
        <w:pStyle w:val="Heading1"/>
        <w:widowControl/>
      </w:pPr>
      <w:r>
        <w:rPr>
          <w:rFonts w:ascii="Arial" w:hAnsi="Arial"/>
          <w:b w:val="0"/>
        </w:rPr>
        <w:t>9. Activity and practical templates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5360"/>
      </w:tblGrid>
      <w:tr>
        <w:tc>
          <w:tcPr>
            <w:tcW w:type="dxa" w:w="17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Activity</w:t>
            </w:r>
          </w:p>
        </w:tc>
        <w:tc>
          <w:tcPr>
            <w:tcW w:type="dxa" w:w="23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Use</w:t>
            </w:r>
          </w:p>
        </w:tc>
        <w:tc>
          <w:tcPr>
            <w:tcW w:type="dxa" w:w="53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Required design</w:t>
            </w:r>
          </w:p>
        </w:tc>
      </w:tr>
      <w:tr>
        <w:tc>
          <w:tcPr>
            <w:tcW w:type="dxa" w:w="17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Branching scenario</w:t>
            </w:r>
          </w:p>
        </w:tc>
        <w:tc>
          <w:tcPr>
            <w:tcW w:type="dxa" w:w="23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Judgement under changing conditions</w:t>
            </w:r>
          </w:p>
        </w:tc>
        <w:tc>
          <w:tcPr>
            <w:tcW w:type="dxa" w:w="53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State, evidence, options, consequence, feedback, critical branch and reproducible version.</w:t>
            </w:r>
          </w:p>
        </w:tc>
      </w:tr>
      <w:tr>
        <w:tc>
          <w:tcPr>
            <w:tcW w:type="dxa" w:w="17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Best/worst response</w:t>
            </w:r>
          </w:p>
        </w:tc>
        <w:tc>
          <w:tcPr>
            <w:tcW w:type="dxa" w:w="23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Nuanced service judgement</w:t>
            </w:r>
          </w:p>
        </w:tc>
        <w:tc>
          <w:tcPr>
            <w:tcW w:type="dxa" w:w="53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Plausible options; distinguish effective, harmful and superficially attractive action.</w:t>
            </w:r>
          </w:p>
        </w:tc>
      </w:tr>
      <w:tr>
        <w:tc>
          <w:tcPr>
            <w:tcW w:type="dxa" w:w="17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Sequencing</w:t>
            </w:r>
          </w:p>
        </w:tc>
        <w:tc>
          <w:tcPr>
            <w:tcW w:type="dxa" w:w="23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Procedure and timing</w:t>
            </w:r>
          </w:p>
        </w:tc>
        <w:tc>
          <w:tcPr>
            <w:tcW w:type="dxa" w:w="53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Order dependencies, parallel actions, latest-safe point and recovery.</w:t>
            </w:r>
          </w:p>
        </w:tc>
      </w:tr>
      <w:tr>
        <w:tc>
          <w:tcPr>
            <w:tcW w:type="dxa" w:w="17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Calculation/data interpretation</w:t>
            </w:r>
          </w:p>
        </w:tc>
        <w:tc>
          <w:tcPr>
            <w:tcW w:type="dxa" w:w="23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Capacity, timing, risk or readiness</w:t>
            </w:r>
          </w:p>
        </w:tc>
        <w:tc>
          <w:tcPr>
            <w:tcW w:type="dxa" w:w="53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Units, tolerances, working, decision consequence and accessible input.</w:t>
            </w:r>
          </w:p>
        </w:tc>
      </w:tr>
      <w:tr>
        <w:tc>
          <w:tcPr>
            <w:tcW w:type="dxa" w:w="17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Evidence critique</w:t>
            </w:r>
          </w:p>
        </w:tc>
        <w:tc>
          <w:tcPr>
            <w:tcW w:type="dxa" w:w="23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Signal vs assertion</w:t>
            </w:r>
          </w:p>
        </w:tc>
        <w:tc>
          <w:tcPr>
            <w:tcW w:type="dxa" w:w="53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Source quality, freshness, uncertainty, authority and next verification.</w:t>
            </w:r>
          </w:p>
        </w:tc>
      </w:tr>
      <w:tr>
        <w:tc>
          <w:tcPr>
            <w:tcW w:type="dxa" w:w="17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Observed simulation</w:t>
            </w:r>
          </w:p>
        </w:tc>
        <w:tc>
          <w:tcPr>
            <w:tcW w:type="dxa" w:w="23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Practical competence</w:t>
            </w:r>
          </w:p>
        </w:tc>
        <w:tc>
          <w:tcPr>
            <w:tcW w:type="dxa" w:w="53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Brief, environment, roles, safety, evidence capture, anchored rubric and stop rule.</w:t>
            </w:r>
          </w:p>
        </w:tc>
      </w:tr>
      <w:tr>
        <w:tc>
          <w:tcPr>
            <w:tcW w:type="dxa" w:w="17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Artefact submission</w:t>
            </w:r>
          </w:p>
        </w:tc>
        <w:tc>
          <w:tcPr>
            <w:tcW w:type="dxa" w:w="23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Plan, brief, map or register</w:t>
            </w:r>
          </w:p>
        </w:tc>
        <w:tc>
          <w:tcPr>
            <w:tcW w:type="dxa" w:w="53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Template, minimum evidence, confidentiality, rubric and versioned submission.</w:t>
            </w:r>
          </w:p>
        </w:tc>
      </w:tr>
      <w:tr>
        <w:tc>
          <w:tcPr>
            <w:tcW w:type="dxa" w:w="17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Oral board</w:t>
            </w:r>
          </w:p>
        </w:tc>
        <w:tc>
          <w:tcPr>
            <w:tcW w:type="dxa" w:w="23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Senior/capstone defence</w:t>
            </w:r>
          </w:p>
        </w:tc>
        <w:tc>
          <w:tcPr>
            <w:tcW w:type="dxa" w:w="53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Standardised prompts, probes, panel conflicts, rationale and moderation.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10. Template D — Assessment blueprint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c>
          <w:tcPr>
            <w:tcW w:type="dxa" w:w="22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Field</w:t>
            </w:r>
          </w:p>
        </w:tc>
        <w:tc>
          <w:tcPr>
            <w:tcW w:type="dxa" w:w="711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Entry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Assessment ID/version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Purpose/role level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Eligible content versions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Competency coverage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ID • weight • critical • format • cognitive level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Difficulty distribution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High-difficulty applied judgement; approved target distribution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Formats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Scenario, best/worst, sequence, calculation, evidence, practical and oral as relevant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Critical rule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Each critical competency must pass independently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Scoring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80% Pass; 90% Distinction; below 80% Retake Required; critical override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Form assembly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Bank depth, similarity groups, exposure limits, randomisation and reproducible seed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Practical/rubric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Criteria, anchors, mandatory evidence, assessor qualification and moderation</w:t>
            </w:r>
          </w:p>
        </w:tc>
      </w:tr>
      <w:tr>
        <w:tc>
          <w:tcPr>
            <w:tcW w:type="dxa" w:w="22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Retake</w:t>
            </w:r>
          </w:p>
        </w:tc>
        <w:tc>
          <w:tcPr>
            <w:tcW w:type="dxa" w:w="71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Remediation, waiting conditions if any, fresh equivalent form, unlimited governed attempts</w:t>
            </w:r>
          </w:p>
        </w:tc>
      </w:tr>
      <w:tr>
        <w:tc>
          <w:tcPr>
            <w:tcW w:type="dxa" w:w="22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Release/appeal</w:t>
            </w:r>
          </w:p>
        </w:tc>
        <w:tc>
          <w:tcPr>
            <w:tcW w:type="dxa" w:w="71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Marking, hold, review, release, appeal and record retention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11. Template E — Question-bank item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c>
          <w:tcPr>
            <w:tcW w:type="dxa" w:w="215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Field</w:t>
            </w:r>
          </w:p>
        </w:tc>
        <w:tc>
          <w:tcPr>
            <w:tcW w:type="dxa" w:w="721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Rule</w:t>
            </w:r>
          </w:p>
        </w:tc>
      </w:tr>
      <w:tr>
        <w:tc>
          <w:tcPr>
            <w:tcW w:type="dxa" w:w="21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Item/version</w:t>
            </w:r>
          </w:p>
        </w:tc>
        <w:tc>
          <w:tcPr>
            <w:tcW w:type="dxa" w:w="72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Stable immutable version; bank and status.</w:t>
            </w:r>
          </w:p>
        </w:tc>
      </w:tr>
      <w:tr>
        <w:tc>
          <w:tcPr>
            <w:tcW w:type="dxa" w:w="21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Competency/source</w:t>
            </w:r>
          </w:p>
        </w:tc>
        <w:tc>
          <w:tcPr>
            <w:tcW w:type="dxa" w:w="72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Exact competency, knowledge and source versions.</w:t>
            </w:r>
          </w:p>
        </w:tc>
      </w:tr>
      <w:tr>
        <w:tc>
          <w:tcPr>
            <w:tcW w:type="dxa" w:w="21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Format/cognitive demand</w:t>
            </w:r>
          </w:p>
        </w:tc>
        <w:tc>
          <w:tcPr>
            <w:tcW w:type="dxa" w:w="72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Named format; applied analysis/evaluation/creation rather than recall dominance.</w:t>
            </w:r>
          </w:p>
        </w:tc>
      </w:tr>
      <w:tr>
        <w:tc>
          <w:tcPr>
            <w:tcW w:type="dxa" w:w="21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Stem/case</w:t>
            </w:r>
          </w:p>
        </w:tc>
        <w:tc>
          <w:tcPr>
            <w:tcW w:type="dxa" w:w="72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Sufficient evidence, authentic ambiguity, no irrelevant language burden or stereotypes.</w:t>
            </w:r>
          </w:p>
        </w:tc>
      </w:tr>
      <w:tr>
        <w:tc>
          <w:tcPr>
            <w:tcW w:type="dxa" w:w="21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Options/expected response</w:t>
            </w:r>
          </w:p>
        </w:tc>
        <w:tc>
          <w:tcPr>
            <w:tcW w:type="dxa" w:w="72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Plausible, independent and free of cueing; structured response schema where relevant.</w:t>
            </w:r>
          </w:p>
        </w:tc>
      </w:tr>
      <w:tr>
        <w:tc>
          <w:tcPr>
            <w:tcW w:type="dxa" w:w="21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Key/rubric</w:t>
            </w:r>
          </w:p>
        </w:tc>
        <w:tc>
          <w:tcPr>
            <w:tcW w:type="dxa" w:w="72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Restricted; exact scoring logic and critical condition.</w:t>
            </w:r>
          </w:p>
        </w:tc>
      </w:tr>
      <w:tr>
        <w:tc>
          <w:tcPr>
            <w:tcW w:type="dxa" w:w="21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Rationale</w:t>
            </w:r>
          </w:p>
        </w:tc>
        <w:tc>
          <w:tcPr>
            <w:tcW w:type="dxa" w:w="72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Why correct/best and why alternatives fail; source trace.</w:t>
            </w:r>
          </w:p>
        </w:tc>
      </w:tr>
      <w:tr>
        <w:tc>
          <w:tcPr>
            <w:tcW w:type="dxa" w:w="21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Difficulty/criticality</w:t>
            </w:r>
          </w:p>
        </w:tc>
        <w:tc>
          <w:tcPr>
            <w:tcW w:type="dxa" w:w="72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Evidence-based target and critical-failure meaning.</w:t>
            </w:r>
          </w:p>
        </w:tc>
      </w:tr>
      <w:tr>
        <w:tc>
          <w:tcPr>
            <w:tcW w:type="dxa" w:w="21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Similarity/exposure</w:t>
            </w:r>
          </w:p>
        </w:tc>
        <w:tc>
          <w:tcPr>
            <w:tcW w:type="dxa" w:w="72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Group, usage, compromise status and retirement/recalibration action.</w:t>
            </w:r>
          </w:p>
        </w:tc>
      </w:tr>
      <w:tr>
        <w:tc>
          <w:tcPr>
            <w:tcW w:type="dxa" w:w="215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Accessibility/fairness</w:t>
            </w:r>
          </w:p>
        </w:tc>
        <w:tc>
          <w:tcPr>
            <w:tcW w:type="dxa" w:w="721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Plain language, accessible interaction and absence of construct-irrelevant bias.</w:t>
            </w:r>
          </w:p>
        </w:tc>
      </w:tr>
      <w:tr>
        <w:tc>
          <w:tcPr>
            <w:tcW w:type="dxa" w:w="215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Reviews</w:t>
            </w:r>
          </w:p>
        </w:tc>
        <w:tc>
          <w:tcPr>
            <w:tcW w:type="dxa" w:w="721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Author, independent reviewers, calibration and exact approval hash.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12. Template F — Practical rubric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Criterion</w:t>
            </w:r>
          </w:p>
        </w:tc>
        <w:tc>
          <w:tcPr>
            <w:tcW w:type="dxa" w:w="71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Observable anchor</w:t>
            </w:r>
          </w:p>
        </w:tc>
      </w:tr>
      <w:tr>
        <w:tc>
          <w:tcPr>
            <w:tcW w:type="dxa" w:w="22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Evidence recognition</w:t>
            </w:r>
          </w:p>
        </w:tc>
        <w:tc>
          <w:tcPr>
            <w:tcW w:type="dxa" w:w="71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Identifies facts, unknowns, source quality and missing evidence.</w:t>
            </w:r>
          </w:p>
        </w:tc>
      </w:tr>
      <w:tr>
        <w:tc>
          <w:tcPr>
            <w:tcW w:type="dxa" w:w="22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Authority</w:t>
            </w:r>
          </w:p>
        </w:tc>
        <w:tc>
          <w:tcPr>
            <w:tcW w:type="dxa" w:w="71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Acts only within role; escalates at the correct threshold.</w:t>
            </w:r>
          </w:p>
        </w:tc>
      </w:tr>
      <w:tr>
        <w:tc>
          <w:tcPr>
            <w:tcW w:type="dxa" w:w="22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Decision quality</w:t>
            </w:r>
          </w:p>
        </w:tc>
        <w:tc>
          <w:tcPr>
            <w:tcW w:type="dxa" w:w="71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Selects proportionate, guest-centred, safe and reversible action where possible.</w:t>
            </w:r>
          </w:p>
        </w:tc>
      </w:tr>
      <w:tr>
        <w:tc>
          <w:tcPr>
            <w:tcW w:type="dxa" w:w="22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Execution</w:t>
            </w:r>
          </w:p>
        </w:tc>
        <w:tc>
          <w:tcPr>
            <w:tcW w:type="dxa" w:w="71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Communicates, sequences, confirms ownership and closes the loop.</w:t>
            </w:r>
          </w:p>
        </w:tc>
      </w:tr>
      <w:tr>
        <w:tc>
          <w:tcPr>
            <w:tcW w:type="dxa" w:w="22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Discretion/privacy</w:t>
            </w:r>
          </w:p>
        </w:tc>
        <w:tc>
          <w:tcPr>
            <w:tcW w:type="dxa" w:w="71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Uses minimum information and protects people, place and association.</w:t>
            </w:r>
          </w:p>
        </w:tc>
      </w:tr>
      <w:tr>
        <w:tc>
          <w:tcPr>
            <w:tcW w:type="dxa" w:w="22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Recovery</w:t>
            </w:r>
          </w:p>
        </w:tc>
        <w:tc>
          <w:tcPr>
            <w:tcW w:type="dxa" w:w="71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Detects failure, contains consequence, communicates truthfully and verifies recovery.</w:t>
            </w:r>
          </w:p>
        </w:tc>
      </w:tr>
      <w:tr>
        <w:tc>
          <w:tcPr>
            <w:tcW w:type="dxa" w:w="22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Reflection</w:t>
            </w:r>
          </w:p>
        </w:tc>
        <w:tc>
          <w:tcPr>
            <w:tcW w:type="dxa" w:w="71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Explains reasoning, limitations and transferable learning without false certainty.</w:t>
            </w:r>
          </w:p>
        </w:tc>
      </w:tr>
      <w:tr>
        <w:tc>
          <w:tcPr>
            <w:tcW w:type="dxa" w:w="22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Critical fail</w:t>
            </w:r>
          </w:p>
        </w:tc>
        <w:tc>
          <w:tcPr>
            <w:tcW w:type="dxa" w:w="71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Define exact unsafe/unauthorised behavior that cannot be averaged away.</w:t>
            </w:r>
          </w:p>
        </w:tc>
      </w:tr>
    </w:tbl>
    <w:p>
      <w:r>
        <w:br w:type="page"/>
      </w:r>
    </w:p>
    <w:p>
      <w:pPr>
        <w:pStyle w:val="Heading1"/>
        <w:widowControl/>
      </w:pPr>
      <w:r>
        <w:rPr>
          <w:rFonts w:ascii="Arial" w:hAnsi="Arial"/>
          <w:b w:val="0"/>
        </w:rPr>
        <w:t>13. Review and approval bundle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Lens</w:t>
            </w:r>
          </w:p>
        </w:tc>
        <w:tc>
          <w:tcPr>
            <w:tcW w:type="dxa" w:w="74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Reviewer questions</w:t>
            </w:r>
          </w:p>
        </w:tc>
      </w:tr>
      <w:tr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Knowledge/source</w:t>
            </w:r>
          </w:p>
        </w:tc>
        <w:tc>
          <w:tcPr>
            <w:tcW w:type="dxa" w:w="74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Accurate, complete, current, cited and free of unresolved contradiction?</w:t>
            </w:r>
          </w:p>
        </w:tc>
      </w:tr>
      <w:tr>
        <w:tc>
          <w:tcPr>
            <w:tcW w:type="dxa" w:w="19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Operational</w:t>
            </w:r>
          </w:p>
        </w:tc>
        <w:tc>
          <w:tcPr>
            <w:tcW w:type="dxa" w:w="74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Usable in real Maison Doclar work; authority, stop and recovery clear?</w:t>
            </w:r>
          </w:p>
        </w:tc>
      </w:tr>
      <w:tr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Instructional</w:t>
            </w:r>
          </w:p>
        </w:tc>
        <w:tc>
          <w:tcPr>
            <w:tcW w:type="dxa" w:w="74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Objectives, practice, feedback and cognitive load produce performance?</w:t>
            </w:r>
          </w:p>
        </w:tc>
      </w:tr>
      <w:tr>
        <w:tc>
          <w:tcPr>
            <w:tcW w:type="dxa" w:w="19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Assessment</w:t>
            </w:r>
          </w:p>
        </w:tc>
        <w:tc>
          <w:tcPr>
            <w:tcW w:type="dxa" w:w="74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Blueprint valid, difficult, fair, reproducible and critical rules protected?</w:t>
            </w:r>
          </w:p>
        </w:tc>
      </w:tr>
      <w:tr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Cultural/Lagos</w:t>
            </w:r>
          </w:p>
        </w:tc>
        <w:tc>
          <w:tcPr>
            <w:tcW w:type="dxa" w:w="74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Verified meaning, contextual limits and no stereotype or decorative invention?</w:t>
            </w:r>
          </w:p>
        </w:tc>
      </w:tr>
      <w:tr>
        <w:tc>
          <w:tcPr>
            <w:tcW w:type="dxa" w:w="19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Privacy/security</w:t>
            </w:r>
          </w:p>
        </w:tc>
        <w:tc>
          <w:tcPr>
            <w:tcW w:type="dxa" w:w="74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Minimum data, safe cases/media, access, export/offline and retention correct?</w:t>
            </w:r>
          </w:p>
        </w:tc>
      </w:tr>
      <w:tr>
        <w:tc>
          <w:tcPr>
            <w:tcW w:type="dxa" w:w="19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Accessibility</w:t>
            </w:r>
          </w:p>
        </w:tc>
        <w:tc>
          <w:tcPr>
            <w:tcW w:type="dxa" w:w="74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WCAG 2.2 AA, mobile, captions/transcripts, alternatives and network budget proven?</w:t>
            </w:r>
          </w:p>
        </w:tc>
      </w:tr>
      <w:tr>
        <w:tc>
          <w:tcPr>
            <w:tcW w:type="dxa" w:w="19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Role/permission</w:t>
            </w:r>
          </w:p>
        </w:tc>
        <w:tc>
          <w:tcPr>
            <w:tcW w:type="dxa" w:w="74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Correct C/P/A depth and no hidden grant of event or administrative authority?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14. Pilot protocol</w:t>
      </w:r>
    </w:p>
    <w:p>
      <w:pPr>
        <w:pStyle w:val="ListNumber"/>
        <w:widowControl/>
      </w:pPr>
      <w:r>
        <w:rPr>
          <w:rFonts w:ascii="Arial" w:hAnsi="Arial"/>
          <w:b w:val="0"/>
        </w:rPr>
        <w:t>Select representative learners by role and experience; exclude authors from independent outcome judgement.</w:t>
      </w:r>
    </w:p>
    <w:p>
      <w:pPr>
        <w:pStyle w:val="ListNumber"/>
        <w:widowControl/>
      </w:pPr>
      <w:r>
        <w:rPr>
          <w:rFonts w:ascii="Arial" w:hAnsi="Arial"/>
          <w:b w:val="0"/>
        </w:rPr>
        <w:t>Freeze exact content, form, rubric, device/network profile and success criteria.</w:t>
      </w:r>
    </w:p>
    <w:p>
      <w:pPr>
        <w:pStyle w:val="ListNumber"/>
        <w:widowControl/>
      </w:pPr>
      <w:r>
        <w:rPr>
          <w:rFonts w:ascii="Arial" w:hAnsi="Arial"/>
          <w:b w:val="0"/>
        </w:rPr>
        <w:t>Observe task completion, confusion, accessibility, timing, misconceptions and support needs.</w:t>
      </w:r>
    </w:p>
    <w:p>
      <w:pPr>
        <w:pStyle w:val="ListNumber"/>
        <w:widowControl/>
      </w:pPr>
      <w:r>
        <w:rPr>
          <w:rFonts w:ascii="Arial" w:hAnsi="Arial"/>
          <w:b w:val="0"/>
        </w:rPr>
        <w:t>Analyse item performance and qualitative reasoning; do not lower valid difficulty simply because results are uncomfortable.</w:t>
      </w:r>
    </w:p>
    <w:p>
      <w:pPr>
        <w:pStyle w:val="ListNumber"/>
        <w:widowControl/>
      </w:pPr>
      <w:r>
        <w:rPr>
          <w:rFonts w:ascii="Arial" w:hAnsi="Arial"/>
          <w:b w:val="0"/>
        </w:rPr>
        <w:t>Classify issue as doctrine, design, assessment, role mapping, technology or learner gap.</w:t>
      </w:r>
    </w:p>
    <w:p>
      <w:pPr>
        <w:pStyle w:val="ListNumber"/>
        <w:widowControl/>
      </w:pPr>
      <w:r>
        <w:rPr>
          <w:rFonts w:ascii="Arial" w:hAnsi="Arial"/>
          <w:b w:val="0"/>
        </w:rPr>
        <w:t>Correct through a new version, repeat affected reviews and rerun acceptance.</w:t>
      </w:r>
    </w:p>
    <w:p>
      <w:pPr>
        <w:pStyle w:val="ListNumber"/>
        <w:widowControl/>
      </w:pPr>
      <w:r>
        <w:rPr>
          <w:rFonts w:ascii="Arial" w:hAnsi="Arial"/>
          <w:b w:val="0"/>
        </w:rPr>
        <w:t>Record pilot decision, residual risk and publication recommendation.</w:t>
      </w:r>
    </w:p>
    <w:p>
      <w:pPr>
        <w:pStyle w:val="Heading1"/>
        <w:widowControl/>
      </w:pPr>
      <w:r>
        <w:rPr>
          <w:rFonts w:ascii="Arial" w:hAnsi="Arial"/>
          <w:b w:val="0"/>
        </w:rPr>
        <w:t>15. Import manifest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Manifest field</w:t>
            </w:r>
          </w:p>
        </w:tc>
        <w:tc>
          <w:tcPr>
            <w:tcW w:type="dxa" w:w="72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5"/>
              </w:rPr>
              <w:t>Requirement</w:t>
            </w:r>
          </w:p>
        </w:tc>
      </w:tr>
      <w:tr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package_id/version/hash</w:t>
            </w:r>
          </w:p>
        </w:tc>
        <w:tc>
          <w:tcPr>
            <w:tcW w:type="dxa" w:w="72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Unique, immutable and signed/checksummed package identity.</w:t>
            </w:r>
          </w:p>
        </w:tc>
      </w:tr>
      <w:tr>
        <w:tc>
          <w:tcPr>
            <w:tcW w:type="dxa" w:w="21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objects</w:t>
            </w:r>
          </w:p>
        </w:tc>
        <w:tc>
          <w:tcPr>
            <w:tcW w:type="dxa" w:w="72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Stable IDs, types, versions, status, locale and file paths.</w:t>
            </w:r>
          </w:p>
        </w:tc>
      </w:tr>
      <w:tr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relationships</w:t>
            </w:r>
          </w:p>
        </w:tc>
        <w:tc>
          <w:tcPr>
            <w:tcW w:type="dxa" w:w="72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Knowledge ↔ competency ↔ role ↔ lesson ↔ item/rubric ↔ scheme.</w:t>
            </w:r>
          </w:p>
        </w:tc>
      </w:tr>
      <w:tr>
        <w:tc>
          <w:tcPr>
            <w:tcW w:type="dxa" w:w="21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assets</w:t>
            </w:r>
          </w:p>
        </w:tc>
        <w:tc>
          <w:tcPr>
            <w:tcW w:type="dxa" w:w="72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Checksum, MIME, size, classification, transcript/caption/alt equivalents.</w:t>
            </w:r>
          </w:p>
        </w:tc>
      </w:tr>
      <w:tr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dependencies</w:t>
            </w:r>
          </w:p>
        </w:tc>
        <w:tc>
          <w:tcPr>
            <w:tcW w:type="dxa" w:w="72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Exact prerequisites and approved equivalence references.</w:t>
            </w:r>
          </w:p>
        </w:tc>
      </w:tr>
      <w:tr>
        <w:tc>
          <w:tcPr>
            <w:tcW w:type="dxa" w:w="21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permissions</w:t>
            </w:r>
          </w:p>
        </w:tc>
        <w:tc>
          <w:tcPr>
            <w:tcW w:type="dxa" w:w="72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Audience, restriction, export/offline and reviewer/assessor access.</w:t>
            </w:r>
          </w:p>
        </w:tc>
      </w:tr>
      <w:tr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effective lifecycle</w:t>
            </w:r>
          </w:p>
        </w:tc>
        <w:tc>
          <w:tcPr>
            <w:tcW w:type="dxa" w:w="72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Publish/suspend/supersede dates and current-pointer instruction.</w:t>
            </w:r>
          </w:p>
        </w:tc>
      </w:tr>
      <w:tr>
        <w:tc>
          <w:tcPr>
            <w:tcW w:type="dxa" w:w="21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validation</w:t>
            </w:r>
          </w:p>
        </w:tc>
        <w:tc>
          <w:tcPr>
            <w:tcW w:type="dxa" w:w="72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Schema, broken link, coverage, duplicate, accessibility and prohibited-field results.</w:t>
            </w:r>
          </w:p>
        </w:tc>
      </w:tr>
      <w:tr>
        <w:tc>
          <w:tcPr>
            <w:tcW w:type="dxa" w:w="21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receipt</w:t>
            </w:r>
          </w:p>
        </w:tc>
        <w:tc>
          <w:tcPr>
            <w:tcW w:type="dxa" w:w="72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5"/>
              </w:rPr>
              <w:t>Preview, approval, commit, created/skipped/failed items and rollback reference.</w:t>
            </w:r>
          </w:p>
        </w:tc>
      </w:tr>
    </w:tbl>
    <w:p>
      <w:pPr>
        <w:pStyle w:val="Heading1"/>
        <w:widowControl/>
      </w:pPr>
      <w:r>
        <w:rPr>
          <w:rFonts w:ascii="Arial" w:hAnsi="Arial"/>
          <w:b w:val="0"/>
        </w:rPr>
        <w:t>16. Pre-publication acceptance checklist</w:t>
      </w:r>
    </w:p>
    <w:p>
      <w:pPr>
        <w:pStyle w:val="ListBullet"/>
        <w:widowControl/>
      </w:pPr>
      <w:r>
        <w:rPr>
          <w:rFonts w:ascii="Arial" w:hAnsi="Arial"/>
          <w:b w:val="0"/>
        </w:rPr>
        <w:t>☐ Every objective maps to a competency and observable standard</w:t>
      </w:r>
    </w:p>
    <w:p>
      <w:pPr>
        <w:pStyle w:val="ListBullet"/>
        <w:widowControl/>
      </w:pPr>
      <w:r>
        <w:rPr>
          <w:rFonts w:ascii="Arial" w:hAnsi="Arial"/>
          <w:b w:val="0"/>
        </w:rPr>
        <w:t>☐ Every competency has sufficient teaching, practice and assessment coverage</w:t>
      </w:r>
    </w:p>
    <w:p>
      <w:pPr>
        <w:pStyle w:val="ListBullet"/>
        <w:widowControl/>
      </w:pPr>
      <w:r>
        <w:rPr>
          <w:rFonts w:ascii="Arial" w:hAnsi="Arial"/>
          <w:b w:val="0"/>
        </w:rPr>
        <w:t>☐ Critical competency and override are explicit</w:t>
      </w:r>
    </w:p>
    <w:p>
      <w:pPr>
        <w:pStyle w:val="ListBullet"/>
        <w:widowControl/>
      </w:pPr>
      <w:r>
        <w:rPr>
          <w:rFonts w:ascii="Arial" w:hAnsi="Arial"/>
          <w:b w:val="0"/>
        </w:rPr>
        <w:t>☐ Published sources and exact versions resolve</w:t>
      </w:r>
    </w:p>
    <w:p>
      <w:pPr>
        <w:pStyle w:val="ListBullet"/>
        <w:widowControl/>
      </w:pPr>
      <w:r>
        <w:rPr>
          <w:rFonts w:ascii="Arial" w:hAnsi="Arial"/>
          <w:b w:val="0"/>
        </w:rPr>
        <w:t>☐ C/P/A role depth and prerequisites/equivalence validate</w:t>
      </w:r>
    </w:p>
    <w:p>
      <w:pPr>
        <w:pStyle w:val="ListBullet"/>
        <w:widowControl/>
      </w:pPr>
      <w:r>
        <w:rPr>
          <w:rFonts w:ascii="Arial" w:hAnsi="Arial"/>
          <w:b w:val="0"/>
        </w:rPr>
        <w:t>☐ No duplication or conflicting doctrine</w:t>
      </w:r>
    </w:p>
    <w:p>
      <w:pPr>
        <w:pStyle w:val="ListBullet"/>
        <w:widowControl/>
      </w:pPr>
      <w:r>
        <w:rPr>
          <w:rFonts w:ascii="Arial" w:hAnsi="Arial"/>
          <w:b w:val="0"/>
        </w:rPr>
        <w:t>☐ 360px, WCAG 2.2 AA and Lagos-network tests pass</w:t>
      </w:r>
    </w:p>
    <w:p>
      <w:pPr>
        <w:pStyle w:val="ListBullet"/>
        <w:widowControl/>
      </w:pPr>
      <w:r>
        <w:rPr>
          <w:rFonts w:ascii="Arial" w:hAnsi="Arial"/>
          <w:b w:val="0"/>
        </w:rPr>
        <w:t>☐ Keys/protected evidence absent from learner payload and telemetry</w:t>
      </w:r>
    </w:p>
    <w:p>
      <w:pPr>
        <w:pStyle w:val="ListBullet"/>
        <w:widowControl/>
      </w:pPr>
      <w:r>
        <w:rPr>
          <w:rFonts w:ascii="Arial" w:hAnsi="Arial"/>
          <w:b w:val="0"/>
        </w:rPr>
        <w:t>☐ Independent reviews and exact-hash approvals complete</w:t>
      </w:r>
    </w:p>
    <w:p>
      <w:pPr>
        <w:pStyle w:val="ListBullet"/>
        <w:widowControl/>
      </w:pPr>
      <w:r>
        <w:rPr>
          <w:rFonts w:ascii="Arial" w:hAnsi="Arial"/>
          <w:b w:val="0"/>
        </w:rPr>
        <w:t>☐ Import preview, atomic publish, rollback and impact graph proven</w:t>
      </w:r>
    </w:p>
    <w:p>
      <w:pPr>
        <w:pStyle w:val="Heading1"/>
        <w:widowControl/>
      </w:pPr>
      <w:r>
        <w:rPr>
          <w:rFonts w:ascii="Arial" w:hAnsi="Arial"/>
          <w:b w:val="0"/>
        </w:rPr>
        <w:t>17. Production approval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Field</w:t>
            </w:r>
          </w:p>
        </w:tc>
        <w:tc>
          <w:tcPr>
            <w:tcW w:type="dxa" w:w="6960"/>
            <w:vAlign w:val="top"/>
            <w:shd w:fill="E8EEF5"/>
          </w:tcPr>
          <w:p>
            <w:pPr>
              <w:spacing w:after="40"/>
            </w:pPr>
            <w:r>
              <w:rPr>
                <w:rFonts w:ascii="Arial" w:hAnsi="Arial"/>
                <w:b/>
                <w:color w:val="10243E"/>
                <w:sz w:val="16"/>
              </w:rPr>
              <w:t>Record</w:t>
            </w:r>
          </w:p>
        </w:tc>
      </w:tr>
      <w:tr>
        <w:tc>
          <w:tcPr>
            <w:tcW w:type="dxa" w:w="24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Course/package</w:t>
            </w:r>
          </w:p>
        </w:tc>
        <w:tc>
          <w:tcPr>
            <w:tcW w:type="dxa" w:w="69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4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Content/assessment versions</w:t>
            </w:r>
          </w:p>
        </w:tc>
        <w:tc>
          <w:tcPr>
            <w:tcW w:type="dxa" w:w="69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4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Coverage result</w:t>
            </w:r>
          </w:p>
        </w:tc>
        <w:tc>
          <w:tcPr>
            <w:tcW w:type="dxa" w:w="69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4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Review bundle</w:t>
            </w:r>
          </w:p>
        </w:tc>
        <w:tc>
          <w:tcPr>
            <w:tcW w:type="dxa" w:w="69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4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Pilot/acceptance</w:t>
            </w:r>
          </w:p>
        </w:tc>
        <w:tc>
          <w:tcPr>
            <w:tcW w:type="dxa" w:w="69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4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Exceptions/risks</w:t>
            </w:r>
          </w:p>
        </w:tc>
        <w:tc>
          <w:tcPr>
            <w:tcW w:type="dxa" w:w="69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4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Publisher decision</w:t>
            </w:r>
          </w:p>
        </w:tc>
        <w:tc>
          <w:tcPr>
            <w:tcW w:type="dxa" w:w="69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APPROVE / RETURN / BLOCK</w:t>
            </w:r>
          </w:p>
        </w:tc>
      </w:tr>
      <w:tr>
        <w:tc>
          <w:tcPr>
            <w:tcW w:type="dxa" w:w="240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CEO reserved decision if required</w:t>
            </w:r>
          </w:p>
        </w:tc>
        <w:tc>
          <w:tcPr>
            <w:tcW w:type="dxa" w:w="6960"/>
            <w:vAlign w:val="top"/>
            <w:shd w:fill="F8FAFC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40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Signatures / dates</w:t>
            </w:r>
          </w:p>
        </w:tc>
        <w:tc>
          <w:tcPr>
            <w:tcW w:type="dxa" w:w="6960"/>
            <w:vAlign w:val="top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7212B"/>
                <w:sz w:val="16"/>
              </w:rPr>
              <w:t>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17D"/>
        <w:sz w:val="16"/>
      </w:rPr>
      <w:t xml:space="preserve">Controlled v1.0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66717D"/>
        <w:sz w:val="16"/>
      </w:rPr>
      <w:t>MAISON DOCLAR ACADEMY  |  COURSE PRODUCTION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278" w:lineRule="auto"/>
    </w:pPr>
    <w:rPr>
      <w:rFonts w:ascii="Arial" w:hAnsi="Arial"/>
      <w:b w:val="0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8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E4B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8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E4B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8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0243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78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243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78" w:lineRule="auto"/>
    </w:pPr>
    <w:rPr>
      <w:rFonts w:asciiTheme="majorHAnsi" w:eastAsiaTheme="majorEastAsia" w:hAnsiTheme="majorHAnsi" w:cstheme="majorBidi" w:ascii="Arial" w:hAnsi="Arial"/>
      <w:b w:val="0"/>
      <w:i/>
      <w:iCs/>
      <w:color w:val="66717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Academy Initial Course Production Pack v1.0.docx</dc:title>
  <dc:subject>Templates and workflow for production of 30-module Academy courses and assessments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