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  <w:r>
        <w:rPr>
          <w:rFonts w:ascii="Arial" w:hAnsi="Arial"/>
          <w:b/>
          <w:color w:val="B79F85"/>
          <w:sz w:val="22"/>
        </w:rPr>
        <w:t>MAISON DOCLAR</w:t>
      </w:r>
    </w:p>
    <w:p>
      <w:pPr>
        <w:spacing w:after="80"/>
      </w:pPr>
      <w:r>
        <w:rPr>
          <w:rFonts w:ascii="Arial" w:hAnsi="Arial"/>
          <w:b/>
          <w:color w:val="10243E"/>
          <w:sz w:val="32"/>
        </w:rPr>
        <w:t>Academy</w:t>
      </w:r>
    </w:p>
    <w:p>
      <w:pPr>
        <w:spacing w:after="200"/>
      </w:pPr>
      <w:r>
        <w:rPr>
          <w:rFonts w:ascii="Arial" w:hAnsi="Arial"/>
          <w:b/>
          <w:color w:val="10243E"/>
          <w:sz w:val="56"/>
        </w:rPr>
        <w:t>30-Module Competency Map</w:t>
      </w:r>
    </w:p>
    <w:p>
      <w:pPr>
        <w:spacing w:after="560"/>
      </w:pPr>
      <w:r>
        <w:rPr>
          <w:rFonts w:ascii="Arial" w:hAnsi="Arial"/>
          <w:b w:val="0"/>
          <w:color w:val="667085"/>
          <w:sz w:val="26"/>
        </w:rPr>
        <w:t>Canonical translation of the Intelligence Specification into role-gated, observable and certifiable capability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c>
          <w:tcPr>
            <w:tcW w:type="dxa" w:w="4680"/>
            <w:shd w:fill="10243E"/>
            <w:tcW w:w="22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4680"/>
            <w:shd w:fill="10243E"/>
            <w:tcW w:w="71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 value</w:t>
            </w:r>
          </w:p>
        </w:tc>
      </w:tr>
      <w:tr>
        <w:tc>
          <w:tcPr>
            <w:tcW w:type="dxa" w:w="4680"/>
            <w:shd w:fill="FFFFFF"/>
            <w:vAlign w:val="top"/>
            <w:tcW w:w="22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Owner</w:t>
            </w:r>
          </w:p>
        </w:tc>
        <w:tc>
          <w:tcPr>
            <w:tcW w:type="dxa" w:w="4680"/>
            <w:shd w:fill="FFFFFF"/>
            <w:vAlign w:val="top"/>
            <w:tcW w:w="71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CEO / Academy Governance</w:t>
            </w:r>
          </w:p>
        </w:tc>
      </w:tr>
      <w:tr>
        <w:tc>
          <w:tcPr>
            <w:tcW w:type="dxa" w:w="4680"/>
            <w:shd w:fill="F6F7F9"/>
            <w:vAlign w:val="top"/>
            <w:tcW w:w="22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Version</w:t>
            </w:r>
          </w:p>
        </w:tc>
        <w:tc>
          <w:tcPr>
            <w:tcW w:type="dxa" w:w="4680"/>
            <w:shd w:fill="F6F7F9"/>
            <w:vAlign w:val="top"/>
            <w:tcW w:w="71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1.0</w:t>
            </w:r>
          </w:p>
        </w:tc>
      </w:tr>
      <w:tr>
        <w:tc>
          <w:tcPr>
            <w:tcW w:type="dxa" w:w="4680"/>
            <w:shd w:fill="FFFFFF"/>
            <w:vAlign w:val="top"/>
            <w:tcW w:w="22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Status</w:t>
            </w:r>
          </w:p>
        </w:tc>
        <w:tc>
          <w:tcPr>
            <w:tcW w:type="dxa" w:w="4680"/>
            <w:shd w:fill="FFFFFF"/>
            <w:vAlign w:val="top"/>
            <w:tcW w:w="71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Draft for ratification</w:t>
            </w:r>
          </w:p>
        </w:tc>
      </w:tr>
      <w:tr>
        <w:tc>
          <w:tcPr>
            <w:tcW w:type="dxa" w:w="4680"/>
            <w:shd w:fill="F6F7F9"/>
            <w:vAlign w:val="top"/>
            <w:tcW w:w="22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Source baseline</w:t>
            </w:r>
          </w:p>
        </w:tc>
        <w:tc>
          <w:tcPr>
            <w:tcW w:type="dxa" w:w="4680"/>
            <w:shd w:fill="F6F7F9"/>
            <w:vAlign w:val="top"/>
            <w:tcW w:w="71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Intelligence Specification v1.0; Academy Canonical Blueprint v1.0; OS-Academy Integration Contract v1.0</w:t>
            </w:r>
          </w:p>
        </w:tc>
      </w:tr>
      <w:tr>
        <w:tc>
          <w:tcPr>
            <w:tcW w:type="dxa" w:w="4680"/>
            <w:shd w:fill="FFFFFF"/>
            <w:vAlign w:val="top"/>
            <w:tcW w:w="22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Effect</w:t>
            </w:r>
          </w:p>
        </w:tc>
        <w:tc>
          <w:tcPr>
            <w:tcW w:type="dxa" w:w="4680"/>
            <w:shd w:fill="FFFFFF"/>
            <w:vAlign w:val="top"/>
            <w:tcW w:w="71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Curriculum-to-role and assessment-coverage authority when ratified</w:t>
            </w:r>
          </w:p>
        </w:tc>
      </w:tr>
    </w:tbl>
    <w:p>
      <w:pPr>
        <w:spacing w:after="240"/>
      </w:pPr>
      <w:r>
        <w:rPr>
          <w:rFonts w:ascii="Arial" w:hAnsi="Arial"/>
          <w:b w:val="0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10243E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GOVERNING RULE</w:t>
            </w:r>
          </w:p>
        </w:tc>
      </w:tr>
      <w:tr>
        <w:tc>
          <w:tcPr>
            <w:tcW w:type="dxa" w:w="9360"/>
            <w:shd w:fill="F7F2EC"/>
            <w:vAlign w:val="top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All 30 source modules remain traceable. Overlapping modules do not become duplicate courses; learners receive the smallest complete pathway required by role, event assignment and current authorisation.</w:t>
            </w:r>
          </w:p>
        </w:tc>
      </w:tr>
    </w:tbl>
    <w:p>
      <w:r>
        <w:br w:type="page"/>
      </w:r>
    </w:p>
    <w:p>
      <w:pPr>
        <w:pStyle w:val="Heading1"/>
      </w:pPr>
      <w:r>
        <w:t>1. Purpose and governing use</w:t>
      </w:r>
    </w:p>
    <w:p>
      <w:pPr>
        <w:spacing w:after="100"/>
      </w:pPr>
      <w:r>
        <w:rPr>
          <w:rFonts w:ascii="Arial" w:hAnsi="Arial"/>
          <w:b w:val="0"/>
        </w:rPr>
        <w:t>This map defines what each Maison Doclar person must know, judge and demonstrate before certification. It connects the 30-module knowledge base to role learning paths, question-bank coverage, practical assessment and event readiness.</w:t>
      </w:r>
    </w:p>
    <w:p>
      <w:pPr>
        <w:pStyle w:val="Heading2"/>
      </w:pPr>
      <w:r>
        <w:t>1.1 Competence and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00"/>
        <w:gridCol w:w="1800"/>
        <w:gridCol w:w="6660"/>
      </w:tblGrid>
      <w:tr>
        <w:tc>
          <w:tcPr>
            <w:tcW w:type="dxa" w:w="3120"/>
            <w:shd w:fill="10243E"/>
            <w:tcW w:w="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3120"/>
            <w:shd w:fill="10243E"/>
            <w:tcW w:w="18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120"/>
            <w:shd w:fill="10243E"/>
            <w:tcW w:w="66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proof</w:t>
            </w:r>
          </w:p>
        </w:tc>
      </w:tr>
      <w:tr>
        <w:tc>
          <w:tcPr>
            <w:tcW w:type="dxa" w:w="3120"/>
            <w:shd w:fill="FFFFFF"/>
            <w:vAlign w:val="top"/>
            <w:tcW w:w="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</w:t>
            </w:r>
          </w:p>
        </w:tc>
        <w:tc>
          <w:tcPr>
            <w:tcW w:type="dxa" w:w="3120"/>
            <w:shd w:fill="FFFFFF"/>
            <w:vAlign w:val="top"/>
            <w:tcW w:w="18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Certify</w:t>
            </w:r>
          </w:p>
        </w:tc>
        <w:tc>
          <w:tcPr>
            <w:tcW w:type="dxa" w:w="3120"/>
            <w:shd w:fill="FFFFFF"/>
            <w:vAlign w:val="top"/>
            <w:tcW w:w="66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Formal scored and practical evidence within certificate scope</w:t>
            </w:r>
          </w:p>
        </w:tc>
      </w:tr>
      <w:tr>
        <w:tc>
          <w:tcPr>
            <w:tcW w:type="dxa" w:w="3120"/>
            <w:shd w:fill="F6F7F9"/>
            <w:vAlign w:val="top"/>
            <w:tcW w:w="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P</w:t>
            </w:r>
          </w:p>
        </w:tc>
        <w:tc>
          <w:tcPr>
            <w:tcW w:type="dxa" w:w="3120"/>
            <w:shd w:fill="F6F7F9"/>
            <w:vAlign w:val="top"/>
            <w:tcW w:w="18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Perform</w:t>
            </w:r>
          </w:p>
        </w:tc>
        <w:tc>
          <w:tcPr>
            <w:tcW w:type="dxa" w:w="3120"/>
            <w:shd w:fill="F6F7F9"/>
            <w:vAlign w:val="top"/>
            <w:tcW w:w="66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Event briefing or supervised evidence; no wider authority</w:t>
            </w:r>
          </w:p>
        </w:tc>
      </w:tr>
      <w:tr>
        <w:tc>
          <w:tcPr>
            <w:tcW w:type="dxa" w:w="3120"/>
            <w:shd w:fill="FFFFFF"/>
            <w:vAlign w:val="top"/>
            <w:tcW w:w="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</w:t>
            </w:r>
          </w:p>
        </w:tc>
        <w:tc>
          <w:tcPr>
            <w:tcW w:type="dxa" w:w="3120"/>
            <w:shd w:fill="FFFFFF"/>
            <w:vAlign w:val="top"/>
            <w:tcW w:w="18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Awareness</w:t>
            </w:r>
          </w:p>
        </w:tc>
        <w:tc>
          <w:tcPr>
            <w:tcW w:type="dxa" w:w="3120"/>
            <w:shd w:fill="FFFFFF"/>
            <w:vAlign w:val="top"/>
            <w:tcW w:w="66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Concise learning and acknowledgement</w:t>
            </w:r>
          </w:p>
        </w:tc>
      </w:tr>
      <w:tr>
        <w:tc>
          <w:tcPr>
            <w:tcW w:type="dxa" w:w="3120"/>
            <w:shd w:fill="F6F7F9"/>
            <w:vAlign w:val="top"/>
            <w:tcW w:w="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-</w:t>
            </w:r>
          </w:p>
        </w:tc>
        <w:tc>
          <w:tcPr>
            <w:tcW w:type="dxa" w:w="3120"/>
            <w:shd w:fill="F6F7F9"/>
            <w:vAlign w:val="top"/>
            <w:tcW w:w="18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Not assigned</w:t>
            </w:r>
          </w:p>
        </w:tc>
        <w:tc>
          <w:tcPr>
            <w:tcW w:type="dxa" w:w="3120"/>
            <w:shd w:fill="F6F7F9"/>
            <w:vAlign w:val="top"/>
            <w:tcW w:w="66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Hidden unless separately enrolled by authorised role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10243E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CRITICALITY LAW</w:t>
            </w:r>
          </w:p>
        </w:tc>
      </w:tr>
      <w:tr>
        <w:tc>
          <w:tcPr>
            <w:tcW w:type="dxa" w:w="9360"/>
            <w:shd w:fill="F7F2EC"/>
            <w:vAlign w:val="top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Any critical competency fail means Retake Required even if the aggregate score is 80% or higher.</w:t>
            </w:r>
          </w:p>
        </w:tc>
      </w:tr>
    </w:tbl>
    <w:p>
      <w:pPr>
        <w:pStyle w:val="Heading2"/>
      </w:pPr>
      <w:r>
        <w:t>1.2 Non-duplication architecture</w:t>
      </w:r>
    </w:p>
    <w:p>
      <w:pPr>
        <w:spacing w:after="100"/>
      </w:pPr>
      <w:r>
        <w:rPr>
          <w:rFonts w:ascii="Arial" w:hAnsi="Arial"/>
          <w:b w:val="0"/>
        </w:rPr>
        <w:t>The system implements twelve reusable domains while retaining module-level traceability: hospitality; protocol/culture; VIP/host/concierge; command/live intelligence; supplier assurance; service delivery; risk/resilience; event architecture; people/culture; privacy/discretion; Academy governance; and capstone readiness.</w:t>
      </w:r>
    </w:p>
    <w:p>
      <w:pPr>
        <w:pStyle w:val="Heading1"/>
      </w:pPr>
      <w:r>
        <w:t>2. Role pathway policy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c>
          <w:tcPr>
            <w:tcW w:type="dxa" w:w="4680"/>
            <w:shd w:fill="10243E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4680"/>
            <w:shd w:fill="10243E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Baseline rule</w:t>
            </w:r>
          </w:p>
        </w:tc>
      </w:tr>
      <w:tr>
        <w:tc>
          <w:tcPr>
            <w:tcW w:type="dxa" w:w="4680"/>
            <w:shd w:fill="FFFFFF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CEO</w:t>
            </w:r>
          </w:p>
        </w:tc>
        <w:tc>
          <w:tcPr>
            <w:tcW w:type="dxa" w:w="4680"/>
            <w:shd w:fill="FFFFFF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All 30 at Certify, including CEO Charter and capstone board</w:t>
            </w:r>
          </w:p>
        </w:tc>
      </w:tr>
      <w:tr>
        <w:tc>
          <w:tcPr>
            <w:tcW w:type="dxa" w:w="4680"/>
            <w:shd w:fill="F6F7F9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Event Director</w:t>
            </w:r>
          </w:p>
        </w:tc>
        <w:tc>
          <w:tcPr>
            <w:tcW w:type="dxa" w:w="4680"/>
            <w:shd w:fill="F6F7F9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All operational domains at Certify</w:t>
            </w:r>
          </w:p>
        </w:tc>
      </w:tr>
      <w:tr>
        <w:tc>
          <w:tcPr>
            <w:tcW w:type="dxa" w:w="4680"/>
            <w:shd w:fill="FFFFFF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Department Lead</w:t>
            </w:r>
          </w:p>
        </w:tc>
        <w:tc>
          <w:tcPr>
            <w:tcW w:type="dxa" w:w="4680"/>
            <w:shd w:fill="FFFFFF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Own domain at Certify plus adjacent command, risk and privacy</w:t>
            </w:r>
          </w:p>
        </w:tc>
      </w:tr>
      <w:tr>
        <w:tc>
          <w:tcPr>
            <w:tcW w:type="dxa" w:w="4680"/>
            <w:shd w:fill="F6F7F9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Concierge / Protocol Lead</w:t>
            </w:r>
          </w:p>
        </w:tc>
        <w:tc>
          <w:tcPr>
            <w:tcW w:type="dxa" w:w="4680"/>
            <w:shd w:fill="F6F7F9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Guest, protocol, culture, VIP, service, recovery and privacy</w:t>
            </w:r>
          </w:p>
        </w:tc>
      </w:tr>
      <w:tr>
        <w:tc>
          <w:tcPr>
            <w:tcW w:type="dxa" w:w="4680"/>
            <w:shd w:fill="FFFFFF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Concierge / Host</w:t>
            </w:r>
          </w:p>
        </w:tc>
        <w:tc>
          <w:tcPr>
            <w:tcW w:type="dxa" w:w="4680"/>
            <w:shd w:fill="FFFFFF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Guest-facing pathway plus event practicals</w:t>
            </w:r>
          </w:p>
        </w:tc>
      </w:tr>
      <w:tr>
        <w:tc>
          <w:tcPr>
            <w:tcW w:type="dxa" w:w="4680"/>
            <w:shd w:fill="F6F7F9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Usher</w:t>
            </w:r>
          </w:p>
        </w:tc>
        <w:tc>
          <w:tcPr>
            <w:tcW w:type="dxa" w:w="4680"/>
            <w:shd w:fill="F6F7F9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Service, transitions, ceremony, recovery, safety and privacy</w:t>
            </w:r>
          </w:p>
        </w:tc>
      </w:tr>
      <w:tr>
        <w:tc>
          <w:tcPr>
            <w:tcW w:type="dxa" w:w="4680"/>
            <w:shd w:fill="FFFFFF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Check-in / Access</w:t>
            </w:r>
          </w:p>
        </w:tc>
        <w:tc>
          <w:tcPr>
            <w:tcW w:type="dxa" w:w="4680"/>
            <w:shd w:fill="FFFFFF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Arrival, recognition limits, communication, access, safety and privacy</w:t>
            </w:r>
          </w:p>
        </w:tc>
      </w:tr>
      <w:tr>
        <w:tc>
          <w:tcPr>
            <w:tcW w:type="dxa" w:w="4680"/>
            <w:shd w:fill="F6F7F9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Vendor / Temporary</w:t>
            </w:r>
          </w:p>
        </w:tc>
        <w:tc>
          <w:tcPr>
            <w:tcW w:type="dxa" w:w="4680"/>
            <w:shd w:fill="F6F7F9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Contracted standards, access, safety, privacy and event duties</w:t>
            </w:r>
          </w:p>
        </w:tc>
      </w:tr>
      <w:tr>
        <w:tc>
          <w:tcPr>
            <w:tcW w:type="dxa" w:w="4680"/>
            <w:shd w:fill="FFFFFF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Administrator</w:t>
            </w:r>
          </w:p>
        </w:tc>
        <w:tc>
          <w:tcPr>
            <w:tcW w:type="dxa" w:w="4680"/>
            <w:shd w:fill="FFFFFF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Governance and data integrity; administration confers no event authority</w:t>
            </w:r>
          </w:p>
        </w:tc>
      </w:tr>
    </w:tbl>
    <w:p>
      <w:pPr>
        <w:pStyle w:val="ListBullet"/>
        <w:spacing w:after="60"/>
        <w:ind w:left="547" w:hanging="274"/>
      </w:pPr>
      <w:r>
        <w:t>Role change triggers gap analysis; valid unexpired equivalent evidence is reused.</w:t>
      </w:r>
    </w:p>
    <w:p>
      <w:pPr>
        <w:pStyle w:val="ListBullet"/>
        <w:spacing w:after="60"/>
        <w:ind w:left="547" w:hanging="274"/>
      </w:pPr>
      <w:r>
        <w:t>Certification, assignment and operational authorisation remain separate.</w:t>
      </w:r>
    </w:p>
    <w:p>
      <w:pPr>
        <w:pStyle w:val="ListBullet"/>
        <w:spacing w:after="60"/>
        <w:ind w:left="547" w:hanging="274"/>
      </w:pPr>
      <w:r>
        <w:t>Every event can add briefing, acknowledgement and practical readiness.</w:t>
      </w:r>
    </w:p>
    <w:p>
      <w:pPr>
        <w:pStyle w:val="ListBullet"/>
        <w:spacing w:after="60"/>
        <w:ind w:left="547" w:hanging="274"/>
      </w:pPr>
      <w:r>
        <w:t>Annual recertification is default; high-risk roles use six months; material changes can trigger earlier reassessment.</w:t>
      </w:r>
    </w:p>
    <w:p>
      <w:r>
        <w:br w:type="page"/>
      </w:r>
    </w:p>
    <w:p>
      <w:pPr>
        <w:pStyle w:val="Heading1"/>
      </w:pPr>
      <w:r>
        <w:t>3. Module traceability register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700"/>
        <w:gridCol w:w="4050"/>
        <w:gridCol w:w="3250"/>
        <w:gridCol w:w="1360"/>
      </w:tblGrid>
      <w:tr>
        <w:tc>
          <w:tcPr>
            <w:tcW w:type="dxa" w:w="2340"/>
            <w:shd w:fill="10243E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2340"/>
            <w:shd w:fill="10243E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2340"/>
            <w:shd w:fill="10243E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Treatment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M01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White-Glove Hospitality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Maison Doclar hospitality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M02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The Guest Journey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Journey design and emotional choreography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M03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Nigerian Protocol &amp; Precedence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Protocol and contextual authority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M04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Nigerian Cultural &amp; Ceremonial Intelligence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Culture, faith and contextual meaning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M05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VIP &amp; High-Net-Worth Guest Management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VIP intelligence and controlled personalisation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M06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Command &amp; Control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Command authority and closed-loop operations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M07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Vendor &amp; Supplier Management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Supplier assurance and delivery control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M08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Protocol, Ceremony &amp; Run-of-Show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Ceremony architecture and cue control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M09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White-Glove Service Operations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Executable standards and service assurance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M10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Command, Control &amp; Live Operations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Live intelligence and decision support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M11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Risk, Crisis &amp; Service Recovery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Risk, crisis and resilience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M12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The Event Operating System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Integrated event operating model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M13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Vendor &amp; Supplier Mastery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Advanced supplier diagnostics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Extends M07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M14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Staffing, Service Culture &amp; the White-Glove Team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People deployment and service culture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M15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Guest Communication, Concierge &amp; the Art of Personalisation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Guest communication and concierge delivery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</w:tbl>
    <w:p>
      <w:r>
        <w:br w:type="page"/>
      </w:r>
    </w:p>
    <w:p>
      <w:pPr>
        <w:pStyle w:val="Heading1"/>
      </w:pPr>
      <w:r>
        <w:t>3. Module traceability register - continued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700"/>
        <w:gridCol w:w="4050"/>
        <w:gridCol w:w="3250"/>
        <w:gridCol w:w="1360"/>
      </w:tblGrid>
      <w:tr>
        <w:tc>
          <w:tcPr>
            <w:tcW w:type="dxa" w:w="2340"/>
            <w:shd w:fill="10243E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2340"/>
            <w:shd w:fill="10243E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2340"/>
            <w:shd w:fill="10243E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Treatment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M16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Event-Day Command, Control &amp; the Operations Room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Event-day leadership discipline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Extends M06/M10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M17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Security, Safety, Privacy &amp; Risk Management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People, place, information and reputation protection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M18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Vendor Management, Supplier Control &amp; the Delivery Standard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Commercial and production assurance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Extends M07/M13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M19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Staffing, Service Culture &amp; the Guest Experience Team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Team continuity and performance evidence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Extends M14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M20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The Event Command Centre and AI Layer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Command information and governed AI assistance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M21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Day Execution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Readiness, flow and whole-event scoring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M22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Service Recovery &amp; Guest Psychology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Psychologically intelligent recovery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M23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Discretion, Privacy &amp; Information Control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Need-to-know information discipline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M24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Protocol Conflict, Diplomatic Judgement &amp; High-Status Interactions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Diplomatic conflict resolution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M25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The Luxury Service Recovery Lab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Applied judgement under ambiguity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M26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The Art of Host Management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Host journey and decision protection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M27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The Architecture of a White-Glove Event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Integrated event architecture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Extends M12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M28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Intelligence &amp; Live Command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Sense-to-learn command intelligence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Extends M10/M20</w:t>
            </w:r>
          </w:p>
        </w:tc>
      </w:tr>
      <w:tr>
        <w:tc>
          <w:tcPr>
            <w:tcW w:type="dxa" w:w="2340"/>
            <w:shd w:fill="F6F7F9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M29</w:t>
            </w:r>
          </w:p>
        </w:tc>
        <w:tc>
          <w:tcPr>
            <w:tcW w:type="dxa" w:w="2340"/>
            <w:shd w:fill="F6F7F9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The Art of Discretion, Privacy &amp; Confidentiality</w:t>
            </w:r>
          </w:p>
        </w:tc>
        <w:tc>
          <w:tcPr>
            <w:tcW w:type="dxa" w:w="2340"/>
            <w:shd w:fill="F6F7F9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Advanced privacy in live hospitality</w:t>
            </w:r>
          </w:p>
        </w:tc>
        <w:tc>
          <w:tcPr>
            <w:tcW w:type="dxa" w:w="2340"/>
            <w:shd w:fill="F6F7F9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Extends M23</w:t>
            </w:r>
          </w:p>
        </w:tc>
      </w:tr>
      <w:tr>
        <w:tc>
          <w:tcPr>
            <w:tcW w:type="dxa" w:w="2340"/>
            <w:shd w:fill="FFFFFF"/>
            <w:vAlign w:val="top"/>
            <w:tcW w:w="7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M30</w:t>
            </w:r>
          </w:p>
        </w:tc>
        <w:tc>
          <w:tcPr>
            <w:tcW w:type="dxa" w:w="2340"/>
            <w:shd w:fill="FFFFFF"/>
            <w:vAlign w:val="top"/>
            <w:tcW w:w="4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The Maison Doclar Standard</w:t>
            </w:r>
          </w:p>
        </w:tc>
        <w:tc>
          <w:tcPr>
            <w:tcW w:type="dxa" w:w="2340"/>
            <w:shd w:fill="FFFFFF"/>
            <w:vAlign w:val="top"/>
            <w:tcW w:w="32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Capstone integration and readiness declaration</w:t>
            </w:r>
          </w:p>
        </w:tc>
        <w:tc>
          <w:tcPr>
            <w:tcW w:type="dxa" w:w="2340"/>
            <w:shd w:fill="FFFFFF"/>
            <w:vAlign w:val="top"/>
            <w:tcW w:w="1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Capstone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667085"/>
          <w:sz w:val="17"/>
        </w:rPr>
        <w:t>Extends means genuine additions are retained inside an earlier domain and valid equivalent evidence is reused.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01</w:t>
      </w:r>
    </w:p>
    <w:p>
      <w:pPr>
        <w:pStyle w:val="Heading1"/>
      </w:pPr>
      <w:r>
        <w:t>White-Glove Hospitality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Maison Doclar hospitality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None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M01-C01, M01-C02, M01-C03, M01-C04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M01-C01, M01-C02, M01-C03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Scenario judgement; friction audit; observed service simulation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M01-C01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Explain the Maison Doclar promise through psychological outcomes and five experience layers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M01-C02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Distinguish reactive, proactive and anticipatory service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M01-C03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Identify visible and invisible guest friction without intrusion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M01-C04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the never-ask principle while preserving consent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02</w:t>
      </w:r>
    </w:p>
    <w:p>
      <w:pPr>
        <w:pStyle w:val="Heading1"/>
      </w:pPr>
      <w:r>
        <w:t>The Guest Journey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Journey design and emotional choreography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M02-C01, M02-C02, M02-C03, M02-C04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M02-C01, M02-C02, M02-C03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Journey-map submission; branching scenario; touchpoint audit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M02-C01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Map the complete journey, touchpoints and transitions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M02-C02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Define intended emotion, owner, evidence and recovery by stage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M02-C03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the seven-question and never-ask tests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M02-C04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Specify controlled handoffs for transition risk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03</w:t>
      </w:r>
    </w:p>
    <w:p>
      <w:pPr>
        <w:pStyle w:val="Heading1"/>
      </w:pPr>
      <w:r>
        <w:t>Nigerian Protocol &amp; Precedence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Protocol and contextual authority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M01-M02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M03-C01, M03-C02, M03-C03, M03-C04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M03-C01, M03-C02, M03-C03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Seating case; title-verification task; observed protocol huddle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M03-C01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Identify authority sources before asserting precedence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M03-C02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Verify titles, address, receiving, seating and speaking requirements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M03-C03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Resolve competing claims through approved escalation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M03-C04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the Protocol Brief and Protocol Master Sheet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04</w:t>
      </w:r>
    </w:p>
    <w:p>
      <w:pPr>
        <w:pStyle w:val="Heading1"/>
      </w:pPr>
      <w:r>
        <w:t>Nigerian Cultural &amp; Ceremonial Intelligence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Culture, faith and contextual meaning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M01-M03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M04-C01, M04-C02, M04-C03, M04-C04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M04-C01, M04-C02, M04-C03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Context-pack review; interfaith scenario; briefing demonstration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M04-C01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the five-question cultural model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M04-C02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Distinguish verified meaning from decoration or stereotype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M04-C03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family, community, faith and ceremonial-object controls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M04-C04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Brief unfamiliar and international guests with dignity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05</w:t>
      </w:r>
    </w:p>
    <w:p>
      <w:pPr>
        <w:pStyle w:val="Heading1"/>
      </w:pPr>
      <w:r>
        <w:t>VIP &amp; High-Net-Worth Guest Management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VIP intelligence and controlled personalisation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M01-M04; M23 before sensitive access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M05-C01, M05-C02, M05-C03, M05-C04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M05-C01, M05-C02, M05-C03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VIP-file classification; arrival disruption; control-desk simulation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M05-C01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Classify and minimise VIP information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M05-C02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Maintain one accountable owner across the VIP journey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M05-C03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Translate verified preferences into discreet personalisation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M05-C04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Operate arrival, seating, movement and recovery controls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06</w:t>
      </w:r>
    </w:p>
    <w:p>
      <w:pPr>
        <w:pStyle w:val="Heading1"/>
      </w:pPr>
      <w:r>
        <w:t>Event Command &amp; Control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Command authority and closed-loop operations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M01-M05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M06-C01, M06-C02, M06-C03, M06-C04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M06-C01, M06-C02, M06-C03, M06-C04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Command simulation; message test; dependency incident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M06-C01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Explain command roles and decision boundaries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M06-C02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Maintain the command picture, programme and dependencies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M06-C03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Issue closed-loop messages with owner, timing and acknowledgement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M06-C04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RAG, priority, contingency and recovery controls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07</w:t>
      </w:r>
    </w:p>
    <w:p>
      <w:pPr>
        <w:pStyle w:val="Heading1"/>
      </w:pPr>
      <w:r>
        <w:t>Vendor &amp; Supplier Management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Supplier assurance and delivery control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M06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M07-C01, M07-C02, M07-C03, M07-C04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M07-C01, M07-C02, M07-C03, M07-C04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Due-diligence case; brief review; guest-ready inspection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M07-C01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 evidence-led supplier due diligence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M07-C02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Release a clear brief with scope, standards and change control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M07-C03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Map dependencies, arrival, setup and acceptance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M07-C04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Contain failure, activate recovery and preserve evidence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08</w:t>
      </w:r>
    </w:p>
    <w:p>
      <w:pPr>
        <w:pStyle w:val="Heading1"/>
      </w:pPr>
      <w:r>
        <w:t>Protocol, Ceremony &amp; Run-of-Show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Ceremony architecture and cue control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M03-M07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M08-C01, M08-C02, M08-C03, M08-C04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M08-C01, M08-C02, M08-C03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Run-of-show build; cue simulation; delay-cascade case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M08-C01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Build the ceremony spine, routes and movement matrix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M08-C02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Operate a versioned run of show and GO/HOLD authority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M08-C03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Control arrivals, holding, speakers, stage and photography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M08-C04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Protect transitions and recover delay without damaging meaning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09</w:t>
      </w:r>
    </w:p>
    <w:p>
      <w:pPr>
        <w:pStyle w:val="Heading1"/>
      </w:pPr>
      <w:r>
        <w:t>White-Glove Service Operations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Executable standards and service assurance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M01-M02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M09-C01, M09-C02, M09-C03, M09-C04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M09-C01, M09-C02, M09-C03, M09-C04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Observed service circuit; standards plan; recovery role-play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M09-C01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Translate doctrine into event-scoped standards with evidence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M09-C02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Demonstrate presence, language, discretion and five-second acknowledgement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M09-C03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greeting, access, dining, comfort and final-touch standards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M09-C04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Record assurance and recover a missed standard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10</w:t>
      </w:r>
    </w:p>
    <w:p>
      <w:pPr>
        <w:pStyle w:val="Heading1"/>
      </w:pPr>
      <w:r>
        <w:t>Event Command, Control &amp; Live Operations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Live intelligence and decision support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M06; M08-M09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M10-C01, M10-C02, M10-C03, M10-C04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M10-C01, M10-C02, M10-C03, M10-C04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Live command simulation; evidence classification; AI critique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M10-C01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Maintain NOW-NEXT-RISK awareness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M10-C02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Separate signal, assertion, forecast, recommendation and decision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M10-C03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Calculate latest-safe action and escalate early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M10-C04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AI only with grounding, confidence and human authority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11</w:t>
      </w:r>
    </w:p>
    <w:p>
      <w:pPr>
        <w:pStyle w:val="Heading1"/>
      </w:pPr>
      <w:r>
        <w:t>Event Risk, Crisis &amp; Service Recovery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Risk, crisis and resilience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M06; M09-M10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M11-C01, M11-C02, M11-C03, M11-C04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M11-C01, M11-C02, M11-C03, M11-C04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Risk-register task; crisis scenario; recovery simulation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M11-C01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Identify, score, own and review event risk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M11-C02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Distinguish incident from crisis and activate correct command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M11-C03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domain response boundaries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M11-C04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Conduct service recovery and after-action learning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12</w:t>
      </w:r>
    </w:p>
    <w:p>
      <w:pPr>
        <w:pStyle w:val="Heading1"/>
      </w:pPr>
      <w:r>
        <w:t>The Event Operating System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Integrated event operating 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M01-M11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M12-C01, M12-C02, M12-C03, M12-C04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M12-C01, M12-C02, M12-C03, M12-C04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Reference-event build; readiness case; debrief review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M12-C01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the Master Event File and Event ID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M12-C02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Maintain principal, priority, dependency, SOP and known-unknown records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M12-C03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Aggregate readiness without hiding missing evidence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M12-C04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Close through debrief, report and governed learning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13</w:t>
      </w:r>
    </w:p>
    <w:p>
      <w:pPr>
        <w:pStyle w:val="Heading1"/>
      </w:pPr>
      <w:r>
        <w:t>Vendor &amp; Supplier Mastery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Advanced supplier diagnostics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M07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M13-C01, M13-C02, M13-C03, M13-C04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M13-C01, M13-C02, M13-C03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Supplier interview; inspection practical; removal case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Extends M07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M13-C01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Test portfolios, claims and total cost of failure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M13-C02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the Vendor Partner Code and removal criteria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M13-C03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final-walk, five-metre and guest-eye inspections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M13-C04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Identify supplier critical path without a parallel scorecard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10243E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ANTI-DUPLICATION CONTROL</w:t>
            </w:r>
          </w:p>
        </w:tc>
      </w:tr>
      <w:tr>
        <w:tc>
          <w:tcPr>
            <w:tcW w:type="dxa" w:w="9360"/>
            <w:shd w:fill="F7F2EC"/>
            <w:vAlign w:val="top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Reuse valid evidence for equivalent competencies and assess only additional or materially changed capability.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14</w:t>
      </w:r>
    </w:p>
    <w:p>
      <w:pPr>
        <w:pStyle w:val="Heading1"/>
      </w:pPr>
      <w:r>
        <w:t>Staffing, Service Culture &amp; the White-Glove Team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People deployment and service culture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M01; M06; M09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M14-C01, M14-C02, M14-C03, M14-C04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M14-C01, M14-C02, M14-C03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Staffing plan; interview simulation; RACI case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M14-C01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Design accountable structure, RACI, role cards and positioning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M14-C02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 character and role fit using evidence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M14-C03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escalation, recognition, wellbeing and confidentiality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M14-C04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maturity as development evidence, not authority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15</w:t>
      </w:r>
    </w:p>
    <w:p>
      <w:pPr>
        <w:pStyle w:val="Heading1"/>
      </w:pPr>
      <w:r>
        <w:t>Guest Communication, Concierge &amp; the Art of Personalisation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Guest communication and concierge delivery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M01-M05; M09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M15-C01, M15-C02, M15-C03, M15-C04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M15-C01, M15-C02, M15-C03, M15-C04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Message test; concierge branching; RSVP exception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M15-C01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Manage invitation, RSVP, confirmation and reminder states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M15-C02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Draft in Action-Time-Location-Context-Detail order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M15-C03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Operate concierge channels within information boundaries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M15-C04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Clarify and recover without overpromising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16</w:t>
      </w:r>
    </w:p>
    <w:p>
      <w:pPr>
        <w:pStyle w:val="Heading1"/>
      </w:pPr>
      <w:r>
        <w:t>Event-Day Command, Control &amp; the Operations Room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Event-day leadership discipline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M06; M08; M10-M12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M16-C01, M16-C02, M16-C03, M16-C04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M16-C01, M16-C02, M16-C03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Operations-room simulation; radio drill; authority case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Extends M06/M10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M16-C01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Protect CEO attention from routine radio operation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M16-C02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the 80 percent rule within delegated authority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M16-C03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concise decision and radio formats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M16-C04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Sustain first-guest to last-guest attention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10243E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ANTI-DUPLICATION CONTROL</w:t>
            </w:r>
          </w:p>
        </w:tc>
      </w:tr>
      <w:tr>
        <w:tc>
          <w:tcPr>
            <w:tcW w:type="dxa" w:w="9360"/>
            <w:shd w:fill="F7F2EC"/>
            <w:vAlign w:val="top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Reuse valid evidence for equivalent competencies and assess only additional or materially changed capability.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17</w:t>
      </w:r>
    </w:p>
    <w:p>
      <w:pPr>
        <w:pStyle w:val="Heading1"/>
      </w:pPr>
      <w:r>
        <w:t>Security, Safety, Privacy &amp; Risk Management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People, place, information and reputation protection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M05-M06; M11; M23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M17-C01, M17-C02, M17-C03, M17-C04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M17-C01, M17-C02, M17-C03, M17-C04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Access-zone exercise; safeguarding simulation; incident case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M17-C01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Separate safety, security and privacy controls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M17-C02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access zones, credentials and override authority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M17-C03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Execute safeguarding and lost-child protocol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M17-C04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Protect medical, mobility, photography and guest information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18</w:t>
      </w:r>
    </w:p>
    <w:p>
      <w:pPr>
        <w:pStyle w:val="Heading1"/>
      </w:pPr>
      <w:r>
        <w:t>Vendor Management, Supplier Control &amp; the Delivery Standard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Commercial and production assurance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M07; M13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M18-C01, M18-C02, M18-C03, M18-C04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M18-C01, M18-C02, M18-C03, M18-C04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Mock-up gate; change-control case; commercial scenario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Extends M07/M13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M18-C01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mock-up or first-article approval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M18-C02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Control subcontractor visibility, changes and no-surprise duties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M18-C03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the recovery ladder proportionately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M18-C04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commercial authority and payment milestones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10243E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ANTI-DUPLICATION CONTROL</w:t>
            </w:r>
          </w:p>
        </w:tc>
      </w:tr>
      <w:tr>
        <w:tc>
          <w:tcPr>
            <w:tcW w:type="dxa" w:w="9360"/>
            <w:shd w:fill="F7F2EC"/>
            <w:vAlign w:val="top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Reuse valid evidence for equivalent competencies and assess only additional or materially changed capability.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19</w:t>
      </w:r>
    </w:p>
    <w:p>
      <w:pPr>
        <w:pStyle w:val="Heading1"/>
      </w:pPr>
      <w:r>
        <w:t>Staffing, Service Culture &amp; the Guest Experience Team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Team continuity and performance evidence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M19-C01, M19-C02, M19-C03, M19-C04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M19-C01, M19-C02, M19-C03, M19-C04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practical; rehearsal; scorecard review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Extends M14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M19-C01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Distinguish durable training from event briefing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M19-C02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Conduct complete position handover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M19-C03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Plan relief through fatigue or rotation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M19-C04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Record fair performance and talent evidence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10243E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ANTI-DUPLICATION CONTROL</w:t>
            </w:r>
          </w:p>
        </w:tc>
      </w:tr>
      <w:tr>
        <w:tc>
          <w:tcPr>
            <w:tcW w:type="dxa" w:w="9360"/>
            <w:shd w:fill="F7F2EC"/>
            <w:vAlign w:val="top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Reuse valid evidence for equivalent competencies and assess only additional or materially changed capability.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20</w:t>
      </w:r>
    </w:p>
    <w:p>
      <w:pPr>
        <w:pStyle w:val="Heading1"/>
      </w:pPr>
      <w:r>
        <w:t>The Event Command Centre and AI Layer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Command information and governed AI assistance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M06; M10-M12; M16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M20-C01, M20-C02, M20-C03, M20-C04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M20-C01, M20-C02, M20-C03, M20-C04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Board triage; AI consult critique; red-line scenario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M20-C01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Classify information, alert, decision and incident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M20-C02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Match decision speed to reversibility and red-line timing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M20-C03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Evaluate grounded AI synthesis without transferring authority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M20-C04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Record sources, confidence, approval and action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21</w:t>
      </w:r>
    </w:p>
    <w:p>
      <w:pPr>
        <w:pStyle w:val="Heading1"/>
      </w:pPr>
      <w:r>
        <w:t>Event Day Execution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Readiness, flow and whole-event scoring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M06; M08-M12; M19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M21-C01, M21-C02, M21-C03, M21-C04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M21-C01, M21-C02, M21-C03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T-24 simulation; pulse case; score audit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M21-C01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Run the T-24 seven-P checkpoint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M21-C02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the First Guest Test and monitor energy and pulse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M21-C03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Triage imperfections by consequence and visibility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M21-C04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Close lost property and audit the Event Score roll-up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22</w:t>
      </w:r>
    </w:p>
    <w:p>
      <w:pPr>
        <w:pStyle w:val="Heading1"/>
      </w:pPr>
      <w:r>
        <w:t>Service Recovery &amp; Guest Psychology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Psychologically intelligent recovery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M01; M09; M11; M21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M22-C01, M22-C02, M22-C03, M22-C04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M22-C01, M22-C02, M22-C03, M22-C04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Recovery role-play; best-worst response; hidden-signal case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M22-C01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Distinguish uncertainty harm from delay harm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M22-C02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Apologise without cancellation, defence or false promise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M22-C03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Select recovery depth by consequence and need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M22-C04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Detect hidden complaints and verify recovery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23</w:t>
      </w:r>
    </w:p>
    <w:p>
      <w:pPr>
        <w:pStyle w:val="Heading1"/>
      </w:pPr>
      <w:r>
        <w:t>Discretion, Privacy &amp; Information Control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Need-to-know information discipline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M01; before sensitive modules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M23-C01, M23-C02, M23-C03, M23-C04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M23-C01, M23-C02, M23-C03, M23-C04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Classification test; conversation scenario; privacy simulation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M23-C01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the information-access-behaviour-retention lifecycle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M23-C02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Classify information through approved sensitivity levels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M23-C03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Control conversation, location, images, devices and association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M23-C04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Respond discreetly and report incidents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24</w:t>
      </w:r>
    </w:p>
    <w:p>
      <w:pPr>
        <w:pStyle w:val="Heading1"/>
      </w:pPr>
      <w:r>
        <w:t>Protocol Conflict, Diplomatic Judgement &amp; High-Status Interactions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Diplomatic conflict resolution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M03-M05; M08; M10; M23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M24-C01, M24-C02, M24-C03, M24-C04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M24-C01, M24-C02, M24-C03, M24-C04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Diplomatic case; entourage map; observed huddle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M24-C01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Classify conflict and correction severity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M24-C02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co-honouring and diplomatic-no within authority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M24-C03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Model entourage access, seating and security needs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M24-C04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Convene a Protocol Huddle and record resolution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25</w:t>
      </w:r>
    </w:p>
    <w:p>
      <w:pPr>
        <w:pStyle w:val="Heading1"/>
      </w:pPr>
      <w:r>
        <w:t>The Luxury Service Recovery Lab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Applied judgement under ambiguity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M09; M11; M22-M23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M25-C01, M25-C02, M25-C03, M25-C04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M25-C01, M25-C02, M25-C03, M25-C04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Judgement cases; oral defence; observed practical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M25-C01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Diagnose facts, unknowns, authority and consequence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M25-C02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Select the smallest effective intervention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M25-C03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Balance visibility, discretion, speed and reversibility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M25-C04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 judgement without treating cases as universal precedent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26</w:t>
      </w:r>
    </w:p>
    <w:p>
      <w:pPr>
        <w:pStyle w:val="Heading1"/>
      </w:pPr>
      <w:r>
        <w:t>The Art of Host Management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Host journey and decision protection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M01-M06; M15; M20; M23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M26-C01, M26-C02, M26-C03, M26-C04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M26-C01, M26-C02, M26-C03, M26-C04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Authority-map case; time-budget task; no-surprise scenario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M26-C01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Map the Host Journey separately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M26-C02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Build and apply an event Authority Map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M26-C03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Protect host time, privacy, rest and decision load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M26-C04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Recommend a controlled option and conduct Host Debrief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27</w:t>
      </w:r>
    </w:p>
    <w:p>
      <w:pPr>
        <w:pStyle w:val="Heading1"/>
      </w:pPr>
      <w:r>
        <w:t>The Architecture of a White-Glove Event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Integrated event architecture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M02; M06-M12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M27-C01, M27-C02, M27-C03, M27-C04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M27-C01, M27-C02, M27-C03, M27-C04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Architecture submission; collision case; design defence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Extends M12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M27-C01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Overlay guest, host, protocol, supplier and production flows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M27-C02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Identify critical paths, buffers and collision points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M27-C03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Design invisible support around visible experience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M27-C04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Validate meaning, safety and recoverability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10243E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ANTI-DUPLICATION CONTROL</w:t>
            </w:r>
          </w:p>
        </w:tc>
      </w:tr>
      <w:tr>
        <w:tc>
          <w:tcPr>
            <w:tcW w:type="dxa" w:w="9360"/>
            <w:shd w:fill="F7F2EC"/>
            <w:vAlign w:val="top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Reuse valid evidence for equivalent competencies and assess only additional or materially changed capability.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28</w:t>
      </w:r>
    </w:p>
    <w:p>
      <w:pPr>
        <w:pStyle w:val="Heading1"/>
      </w:pPr>
      <w:r>
        <w:t>Event Intelligence &amp; Live Command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Sense-to-learn command intelligence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M06; M10; M16; M20-M21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M28-C01, M28-C02, M28-C03, M28-C04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M28-C01, M28-C02, M28-C03, M28-C04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Signal test; live timeline; verification case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Extends M10/M20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M28-C01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Sense subtle signals without turning speculation into fact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M28-C02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Interpret queues, empty spaces, timing and energy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M28-C03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Move through Watch, Prepare, Intervene and Escalate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M28-C04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Verify action and convert approved learning into evidence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10243E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ANTI-DUPLICATION CONTROL</w:t>
            </w:r>
          </w:p>
        </w:tc>
      </w:tr>
      <w:tr>
        <w:tc>
          <w:tcPr>
            <w:tcW w:type="dxa" w:w="9360"/>
            <w:shd w:fill="F7F2EC"/>
            <w:vAlign w:val="top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Reuse valid evidence for equivalent competencies and assess only additional or materially changed capability.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29</w:t>
      </w:r>
    </w:p>
    <w:p>
      <w:pPr>
        <w:pStyle w:val="Heading1"/>
      </w:pPr>
      <w:r>
        <w:t>The Art of Discretion, Privacy &amp; Confidentiality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Advanced privacy in live hospitality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M23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M29-C01, M29-C02, M29-C03, M29-C04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M29-C01, M29-C02, M29-C03, M29-C04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Advanced privacy case; zone decision; incident simulation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Extends M23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M29-C01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need-to-know across all interactions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M29-C02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Recognise disclosure through behaviour, images and digital traces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M29-C03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finer access zones without a competing model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M29-C04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Contain, assess, escalate, protect, document and review incidents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10243E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ANTI-DUPLICATION CONTROL</w:t>
            </w:r>
          </w:p>
        </w:tc>
      </w:tr>
      <w:tr>
        <w:tc>
          <w:tcPr>
            <w:tcW w:type="dxa" w:w="9360"/>
            <w:shd w:fill="F7F2EC"/>
            <w:vAlign w:val="top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Reuse valid evidence for equivalent competencies and assess only additional or materially changed capability.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color w:val="B79F85"/>
          <w:sz w:val="20"/>
        </w:rPr>
        <w:t>MODULE 30</w:t>
      </w:r>
    </w:p>
    <w:p>
      <w:pPr>
        <w:pStyle w:val="Heading1"/>
      </w:pPr>
      <w:r>
        <w:t>The Maison Doclar Standard</w:t>
      </w:r>
    </w:p>
    <w:p>
      <w:pPr>
        <w:spacing w:after="140"/>
      </w:pPr>
      <w:r>
        <w:rPr>
          <w:rFonts w:ascii="Arial" w:hAnsi="Arial"/>
          <w:b/>
          <w:color w:val="1E4B75"/>
          <w:sz w:val="22"/>
        </w:rPr>
        <w:t>Capstone integration and readiness declaration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7510"/>
      </w:tblGrid>
      <w:tr>
        <w:tc>
          <w:tcPr>
            <w:tcW w:type="dxa" w:w="4680"/>
            <w:shd w:fill="10243E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10243E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Prerequisites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M01-M29 for CEO/ED; assigned pathway for others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IDs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M30-C01, M30-C02, M30-C03, M30-C04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competencies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M30-C01, M30-C02, M30-C03, M30-C04</w:t>
            </w:r>
          </w:p>
        </w:tc>
      </w:tr>
      <w:tr>
        <w:tc>
          <w:tcPr>
            <w:tcW w:type="dxa" w:w="4680"/>
            <w:shd w:fill="F6F7F9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evidence</w:t>
            </w:r>
          </w:p>
        </w:tc>
        <w:tc>
          <w:tcPr>
            <w:tcW w:type="dxa" w:w="4680"/>
            <w:shd w:fill="F6F7F9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Capstone branching; Readiness Declaration; practical oral board</w:t>
            </w:r>
          </w:p>
        </w:tc>
      </w:tr>
      <w:tr>
        <w:tc>
          <w:tcPr>
            <w:tcW w:type="dxa" w:w="4680"/>
            <w:shd w:fill="FFFFFF"/>
            <w:vAlign w:val="top"/>
            <w:tcW w:w="18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Treatment</w:t>
            </w:r>
          </w:p>
        </w:tc>
        <w:tc>
          <w:tcPr>
            <w:tcW w:type="dxa" w:w="4680"/>
            <w:shd w:fill="FFFFFF"/>
            <w:vAlign w:val="top"/>
            <w:tcW w:w="751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Capstone</w:t>
            </w:r>
          </w:p>
        </w:tc>
      </w:tr>
    </w:tbl>
    <w:p>
      <w:pPr>
        <w:pStyle w:val="Heading2"/>
      </w:pPr>
      <w:r>
        <w:t>Competencies and observable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50"/>
        <w:gridCol w:w="3090"/>
        <w:gridCol w:w="4220"/>
        <w:gridCol w:w="1000"/>
      </w:tblGrid>
      <w:tr>
        <w:tc>
          <w:tcPr>
            <w:tcW w:type="dxa" w:w="2340"/>
            <w:shd w:fill="10243E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0243E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Competency statement</w:t>
            </w:r>
          </w:p>
        </w:tc>
        <w:tc>
          <w:tcPr>
            <w:tcW w:type="dxa" w:w="2340"/>
            <w:shd w:fill="10243E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observable standard</w:t>
            </w:r>
          </w:p>
        </w:tc>
        <w:tc>
          <w:tcPr>
            <w:tcW w:type="dxa" w:w="2340"/>
            <w:shd w:fill="10243E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M30-C01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the Ten Rules as one operating standard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M30-C02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Determine readiness by referencing domain gates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FFFFF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M30-C03</w:t>
            </w:r>
          </w:p>
        </w:tc>
        <w:tc>
          <w:tcPr>
            <w:tcW w:type="dxa" w:w="2340"/>
            <w:shd w:fill="FFFFFF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State and respect CEO Charter and delegated authority</w:t>
            </w:r>
          </w:p>
        </w:tc>
        <w:tc>
          <w:tcPr>
            <w:tcW w:type="dxa" w:w="2340"/>
            <w:shd w:fill="FFFFFF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FFFFF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  <w:tr>
        <w:tc>
          <w:tcPr>
            <w:tcW w:type="dxa" w:w="2340"/>
            <w:shd w:fill="F6F7F9"/>
            <w:vAlign w:val="top"/>
            <w:tcW w:w="105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M30-C04</w:t>
            </w:r>
          </w:p>
        </w:tc>
        <w:tc>
          <w:tcPr>
            <w:tcW w:type="dxa" w:w="2340"/>
            <w:shd w:fill="F6F7F9"/>
            <w:vAlign w:val="top"/>
            <w:tcW w:w="309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Demonstrate the Creed through a complete event judgement case</w:t>
            </w:r>
          </w:p>
        </w:tc>
        <w:tc>
          <w:tcPr>
            <w:tcW w:type="dxa" w:w="2340"/>
            <w:shd w:fill="F6F7F9"/>
            <w:vAlign w:val="top"/>
            <w:tcW w:w="422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Performs accurately within role authority; identifies missing evidence and escalates rather than assuming.</w:t>
            </w:r>
          </w:p>
        </w:tc>
        <w:tc>
          <w:tcPr>
            <w:tcW w:type="dxa" w:w="2340"/>
            <w:shd w:fill="F6F7F9"/>
            <w:vAlign w:val="top"/>
            <w:tcW w:w="10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</w:tr>
    </w:tbl>
    <w:p>
      <w:pPr>
        <w:pStyle w:val="Heading2"/>
      </w:pPr>
      <w:r>
        <w:t>Role exposure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  <w:tc>
          <w:tcPr>
            <w:tcW w:type="dxa" w:w="1040"/>
            <w:shd w:fill="10243E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</w:t>
            </w:r>
          </w:p>
        </w:tc>
        <w:tc>
          <w:tcPr>
            <w:tcW w:type="dxa" w:w="1040"/>
            <w:shd w:fill="FFFFFF"/>
            <w:vAlign w:val="top"/>
            <w:tcW w:w="104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color w:val="667085"/>
          <w:sz w:val="14"/>
        </w:rPr>
        <w:t>CEO = Chief Executive Officer  |  ED = Event Director  |  DL = Department Lead  |  PL = Concierge / Protocol Lead  |  CH = Concierge / Host  |  US = Usher  |  CA = Check-in / Access  |  VT = Vendor / Temporary Staff  |  AA = Academy / System Administrator</w:t>
      </w:r>
    </w:p>
    <w:p>
      <w:pPr>
        <w:spacing w:after="60"/>
      </w:pPr>
      <w:r>
        <w:rPr>
          <w:rFonts w:ascii="Arial" w:hAnsi="Arial"/>
          <w:b/>
          <w:color w:val="667085"/>
          <w:sz w:val="16"/>
        </w:rPr>
        <w:t>Assessment application: applied judgement is mandatory; event facts narrow application but never rewrite durable doctrine.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10243E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CAPSTONE GATE</w:t>
            </w:r>
          </w:p>
        </w:tc>
      </w:tr>
      <w:tr>
        <w:tc>
          <w:tcPr>
            <w:tcW w:type="dxa" w:w="9360"/>
            <w:shd w:fill="F7F2EC"/>
            <w:vAlign w:val="top"/>
            <w:tcW w:w="93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CEO and Event Director certification requires the capstone at Certify level. Other roles complete the mapped elements of their approved pathway.</w:t>
            </w:r>
          </w:p>
        </w:tc>
      </w:tr>
    </w:tbl>
    <w:p>
      <w:r>
        <w:br w:type="page"/>
      </w:r>
    </w:p>
    <w:p>
      <w:pPr>
        <w:pStyle w:val="Heading1"/>
      </w:pPr>
      <w:r>
        <w:t>4. Assessment and system contract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7460"/>
      </w:tblGrid>
      <w:tr>
        <w:tc>
          <w:tcPr>
            <w:tcW w:type="dxa" w:w="4680"/>
            <w:shd w:fill="10243E"/>
            <w:tcW w:w="1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4680"/>
            <w:shd w:fill="10243E"/>
            <w:tcW w:w="74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Binding rule</w:t>
            </w:r>
          </w:p>
        </w:tc>
      </w:tr>
      <w:tr>
        <w:tc>
          <w:tcPr>
            <w:tcW w:type="dxa" w:w="4680"/>
            <w:shd w:fill="FFFFFF"/>
            <w:vAlign w:val="top"/>
            <w:tcW w:w="1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Coverage</w:t>
            </w:r>
          </w:p>
        </w:tc>
        <w:tc>
          <w:tcPr>
            <w:tcW w:type="dxa" w:w="4680"/>
            <w:shd w:fill="FFFFFF"/>
            <w:vAlign w:val="top"/>
            <w:tcW w:w="74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Every required competency ID appears in the assessment blueprint and traceability report.</w:t>
            </w:r>
          </w:p>
        </w:tc>
      </w:tr>
      <w:tr>
        <w:tc>
          <w:tcPr>
            <w:tcW w:type="dxa" w:w="4680"/>
            <w:shd w:fill="F6F7F9"/>
            <w:vAlign w:val="top"/>
            <w:tcW w:w="1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Difficulty</w:t>
            </w:r>
          </w:p>
        </w:tc>
        <w:tc>
          <w:tcPr>
            <w:tcW w:type="dxa" w:w="4680"/>
            <w:shd w:fill="F6F7F9"/>
            <w:vAlign w:val="top"/>
            <w:tcW w:w="74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High-difficulty applied judgement; recall never dominates.</w:t>
            </w:r>
          </w:p>
        </w:tc>
      </w:tr>
      <w:tr>
        <w:tc>
          <w:tcPr>
            <w:tcW w:type="dxa" w:w="4680"/>
            <w:shd w:fill="FFFFFF"/>
            <w:vAlign w:val="top"/>
            <w:tcW w:w="1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Formats</w:t>
            </w:r>
          </w:p>
        </w:tc>
        <w:tc>
          <w:tcPr>
            <w:tcW w:type="dxa" w:w="4680"/>
            <w:shd w:fill="FFFFFF"/>
            <w:vAlign w:val="top"/>
            <w:tcW w:w="74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Scenario/branching, best/worst, sequencing, calculation, evidence and observed practical.</w:t>
            </w:r>
          </w:p>
        </w:tc>
      </w:tr>
      <w:tr>
        <w:tc>
          <w:tcPr>
            <w:tcW w:type="dxa" w:w="4680"/>
            <w:shd w:fill="F6F7F9"/>
            <w:vAlign w:val="top"/>
            <w:tcW w:w="1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Pass</w:t>
            </w:r>
          </w:p>
        </w:tc>
        <w:tc>
          <w:tcPr>
            <w:tcW w:type="dxa" w:w="4680"/>
            <w:shd w:fill="F6F7F9"/>
            <w:vAlign w:val="top"/>
            <w:tcW w:w="74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80-89% Pass; 90-100% Distinction; below 80% Retake Required.</w:t>
            </w:r>
          </w:p>
        </w:tc>
      </w:tr>
      <w:tr>
        <w:tc>
          <w:tcPr>
            <w:tcW w:type="dxa" w:w="4680"/>
            <w:shd w:fill="FFFFFF"/>
            <w:vAlign w:val="top"/>
            <w:tcW w:w="1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Critical override</w:t>
            </w:r>
          </w:p>
        </w:tc>
        <w:tc>
          <w:tcPr>
            <w:tcW w:type="dxa" w:w="4680"/>
            <w:shd w:fill="FFFFFF"/>
            <w:vAlign w:val="top"/>
            <w:tcW w:w="74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Every critical competency passes independently.</w:t>
            </w:r>
          </w:p>
        </w:tc>
      </w:tr>
      <w:tr>
        <w:tc>
          <w:tcPr>
            <w:tcW w:type="dxa" w:w="4680"/>
            <w:shd w:fill="F6F7F9"/>
            <w:vAlign w:val="top"/>
            <w:tcW w:w="1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Retake</w:t>
            </w:r>
          </w:p>
        </w:tc>
        <w:tc>
          <w:tcPr>
            <w:tcW w:type="dxa" w:w="4680"/>
            <w:shd w:fill="F6F7F9"/>
            <w:vAlign w:val="top"/>
            <w:tcW w:w="74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Unlimited governed attempts with equivalent forms and remediation.</w:t>
            </w:r>
          </w:p>
        </w:tc>
      </w:tr>
      <w:tr>
        <w:tc>
          <w:tcPr>
            <w:tcW w:type="dxa" w:w="4680"/>
            <w:shd w:fill="FFFFFF"/>
            <w:vAlign w:val="top"/>
            <w:tcW w:w="19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Reproducibility</w:t>
            </w:r>
          </w:p>
        </w:tc>
        <w:tc>
          <w:tcPr>
            <w:tcW w:type="dxa" w:w="4680"/>
            <w:shd w:fill="FFFFFF"/>
            <w:vAlign w:val="top"/>
            <w:tcW w:w="74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Version, rubric, form/seed, response, evidence and scorer retained.</w:t>
            </w:r>
          </w:p>
        </w:tc>
      </w:tr>
    </w:tbl>
    <w:p>
      <w:pPr>
        <w:pStyle w:val="Heading2"/>
      </w:pPr>
      <w:r>
        <w:t>4.1 Implementation relationships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c>
          <w:tcPr>
            <w:tcW w:type="dxa" w:w="4680"/>
            <w:shd w:fill="10243E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4680"/>
            <w:shd w:fill="10243E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relationship</w:t>
            </w:r>
          </w:p>
        </w:tc>
      </w:tr>
      <w:tr>
        <w:tc>
          <w:tcPr>
            <w:tcW w:type="dxa" w:w="4680"/>
            <w:shd w:fill="FFFFFF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Competency</w:t>
            </w:r>
          </w:p>
        </w:tc>
        <w:tc>
          <w:tcPr>
            <w:tcW w:type="dxa" w:w="4680"/>
            <w:shd w:fill="FFFFFF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Stable ID, statement, domain, criticality, version, evidence rule</w:t>
            </w:r>
          </w:p>
        </w:tc>
      </w:tr>
      <w:tr>
        <w:tc>
          <w:tcPr>
            <w:tcW w:type="dxa" w:w="4680"/>
            <w:shd w:fill="F6F7F9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Knowledge Item</w:t>
            </w:r>
          </w:p>
        </w:tc>
        <w:tc>
          <w:tcPr>
            <w:tcW w:type="dxa" w:w="4680"/>
            <w:shd w:fill="F6F7F9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One or more competency IDs and approved source</w:t>
            </w:r>
          </w:p>
        </w:tc>
      </w:tr>
      <w:tr>
        <w:tc>
          <w:tcPr>
            <w:tcW w:type="dxa" w:w="4680"/>
            <w:shd w:fill="FFFFFF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Role Profile</w:t>
            </w:r>
          </w:p>
        </w:tc>
        <w:tc>
          <w:tcPr>
            <w:tcW w:type="dxa" w:w="4680"/>
            <w:shd w:fill="FFFFFF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Competency-to-C/P/A exposure and validity</w:t>
            </w:r>
          </w:p>
        </w:tc>
      </w:tr>
      <w:tr>
        <w:tc>
          <w:tcPr>
            <w:tcW w:type="dxa" w:w="4680"/>
            <w:shd w:fill="F6F7F9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Learning Path</w:t>
            </w:r>
          </w:p>
        </w:tc>
        <w:tc>
          <w:tcPr>
            <w:tcW w:type="dxa" w:w="4680"/>
            <w:shd w:fill="F6F7F9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Prerequisites with duplicate equivalence removed</w:t>
            </w:r>
          </w:p>
        </w:tc>
      </w:tr>
      <w:tr>
        <w:tc>
          <w:tcPr>
            <w:tcW w:type="dxa" w:w="4680"/>
            <w:shd w:fill="FFFFFF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Question / Practical</w:t>
            </w:r>
          </w:p>
        </w:tc>
        <w:tc>
          <w:tcPr>
            <w:tcW w:type="dxa" w:w="4680"/>
            <w:shd w:fill="FFFFFF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Competency, difficulty, criticality and rubric</w:t>
            </w:r>
          </w:p>
        </w:tc>
      </w:tr>
      <w:tr>
        <w:tc>
          <w:tcPr>
            <w:tcW w:type="dxa" w:w="4680"/>
            <w:shd w:fill="F6F7F9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Certificate</w:t>
            </w:r>
          </w:p>
        </w:tc>
        <w:tc>
          <w:tcPr>
            <w:tcW w:type="dxa" w:w="4680"/>
            <w:shd w:fill="F6F7F9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Competency scope, result, issue/expiry and versions</w:t>
            </w:r>
          </w:p>
        </w:tc>
      </w:tr>
      <w:tr>
        <w:tc>
          <w:tcPr>
            <w:tcW w:type="dxa" w:w="4680"/>
            <w:shd w:fill="FFFFFF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Event Training Package</w:t>
            </w:r>
          </w:p>
        </w:tc>
        <w:tc>
          <w:tcPr>
            <w:tcW w:type="dxa" w:w="4680"/>
            <w:shd w:fill="FFFFFF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Durable competency references plus approved event facts</w:t>
            </w:r>
          </w:p>
        </w:tc>
      </w:tr>
      <w:tr>
        <w:tc>
          <w:tcPr>
            <w:tcW w:type="dxa" w:w="4680"/>
            <w:shd w:fill="F6F7F9"/>
            <w:vAlign w:val="top"/>
            <w:tcW w:w="2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Readiness</w:t>
            </w:r>
          </w:p>
        </w:tc>
        <w:tc>
          <w:tcPr>
            <w:tcW w:type="dxa" w:w="4680"/>
            <w:shd w:fill="F6F7F9"/>
            <w:vAlign w:val="top"/>
            <w:tcW w:w="7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Competence plus event completion, assignment and authorisation</w:t>
            </w:r>
          </w:p>
        </w:tc>
      </w:tr>
    </w:tbl>
    <w:p>
      <w:r>
        <w:br w:type="page"/>
      </w:r>
    </w:p>
    <w:p>
      <w:pPr>
        <w:pStyle w:val="Heading1"/>
      </w:pPr>
      <w:r>
        <w:t>5. Governance and acceptance</w:t>
      </w:r>
    </w:p>
    <w:p>
      <w:pPr>
        <w:pStyle w:val="ListBullet"/>
        <w:spacing w:after="60"/>
        <w:ind w:left="547" w:hanging="274"/>
      </w:pPr>
      <w:r>
        <w:t>Module changes require impact analysis across competencies, roles, questions, certificates and active Event Training Packages.</w:t>
      </w:r>
    </w:p>
    <w:p>
      <w:pPr>
        <w:pStyle w:val="ListBullet"/>
        <w:spacing w:after="60"/>
        <w:ind w:left="547" w:hanging="274"/>
      </w:pPr>
      <w:r>
        <w:t>Editorial changes do not invalidate evidence; material authority, safety, privacy or knowledge changes may.</w:t>
      </w:r>
    </w:p>
    <w:p>
      <w:pPr>
        <w:pStyle w:val="ListBullet"/>
        <w:spacing w:after="60"/>
        <w:ind w:left="547" w:hanging="274"/>
      </w:pPr>
      <w:r>
        <w:t>Retired duplicates remain traceable but cannot be newly assigned.</w:t>
      </w:r>
    </w:p>
    <w:p>
      <w:pPr>
        <w:pStyle w:val="ListBullet"/>
        <w:spacing w:after="60"/>
        <w:ind w:left="547" w:hanging="274"/>
      </w:pPr>
      <w:r>
        <w:t>CEO ratification is required for promise, reserved authority, certification law, criticality and capstone changes.</w:t>
      </w:r>
    </w:p>
    <w:p>
      <w:pPr>
        <w:pStyle w:val="Heading2"/>
      </w:pPr>
      <w:r>
        <w:t>5.1 Acceptance tests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100"/>
        <w:gridCol w:w="8260"/>
      </w:tblGrid>
      <w:tr>
        <w:tc>
          <w:tcPr>
            <w:tcW w:type="dxa" w:w="4680"/>
            <w:shd w:fill="10243E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shd w:fill="10243E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Acceptance condition</w:t>
            </w:r>
          </w:p>
        </w:tc>
      </w:tr>
      <w:tr>
        <w:tc>
          <w:tcPr>
            <w:tcW w:type="dxa" w:w="4680"/>
            <w:shd w:fill="FFFFFF"/>
            <w:vAlign w:val="top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CM-01</w:t>
            </w:r>
          </w:p>
        </w:tc>
        <w:tc>
          <w:tcPr>
            <w:tcW w:type="dxa" w:w="4680"/>
            <w:shd w:fill="FFFFFF"/>
            <w:vAlign w:val="top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All 30 modules resolve to stable competency IDs</w:t>
            </w:r>
          </w:p>
        </w:tc>
      </w:tr>
      <w:tr>
        <w:tc>
          <w:tcPr>
            <w:tcW w:type="dxa" w:w="4680"/>
            <w:shd w:fill="F6F7F9"/>
            <w:vAlign w:val="top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CM-02</w:t>
            </w:r>
          </w:p>
        </w:tc>
        <w:tc>
          <w:tcPr>
            <w:tcW w:type="dxa" w:w="4680"/>
            <w:shd w:fill="F6F7F9"/>
            <w:vAlign w:val="top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 overlap creates a conflicting duplicate</w:t>
            </w:r>
          </w:p>
        </w:tc>
      </w:tr>
      <w:tr>
        <w:tc>
          <w:tcPr>
            <w:tcW w:type="dxa" w:w="4680"/>
            <w:shd w:fill="FFFFFF"/>
            <w:vAlign w:val="top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CM-03</w:t>
            </w:r>
          </w:p>
        </w:tc>
        <w:tc>
          <w:tcPr>
            <w:tcW w:type="dxa" w:w="4680"/>
            <w:shd w:fill="FFFFFF"/>
            <w:vAlign w:val="top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Every role pathway includes appropriate privacy, escalation and readiness</w:t>
            </w:r>
          </w:p>
        </w:tc>
      </w:tr>
      <w:tr>
        <w:tc>
          <w:tcPr>
            <w:tcW w:type="dxa" w:w="4680"/>
            <w:shd w:fill="F6F7F9"/>
            <w:vAlign w:val="top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CM-04</w:t>
            </w:r>
          </w:p>
        </w:tc>
        <w:tc>
          <w:tcPr>
            <w:tcW w:type="dxa" w:w="4680"/>
            <w:shd w:fill="F6F7F9"/>
            <w:vAlign w:val="top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Critical failure overrides aggregate pass</w:t>
            </w:r>
          </w:p>
        </w:tc>
      </w:tr>
      <w:tr>
        <w:tc>
          <w:tcPr>
            <w:tcW w:type="dxa" w:w="4680"/>
            <w:shd w:fill="FFFFFF"/>
            <w:vAlign w:val="top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CM-05</w:t>
            </w:r>
          </w:p>
        </w:tc>
        <w:tc>
          <w:tcPr>
            <w:tcW w:type="dxa" w:w="4680"/>
            <w:shd w:fill="FFFFFF"/>
            <w:vAlign w:val="top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Horizontal role change assigns only the gap</w:t>
            </w:r>
          </w:p>
        </w:tc>
      </w:tr>
      <w:tr>
        <w:tc>
          <w:tcPr>
            <w:tcW w:type="dxa" w:w="4680"/>
            <w:shd w:fill="F6F7F9"/>
            <w:vAlign w:val="top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CM-06</w:t>
            </w:r>
          </w:p>
        </w:tc>
        <w:tc>
          <w:tcPr>
            <w:tcW w:type="dxa" w:w="4680"/>
            <w:shd w:fill="F6F7F9"/>
            <w:vAlign w:val="top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Vertical role change adds authority evidence without discarding shared competence</w:t>
            </w:r>
          </w:p>
        </w:tc>
      </w:tr>
      <w:tr>
        <w:tc>
          <w:tcPr>
            <w:tcW w:type="dxa" w:w="4680"/>
            <w:shd w:fill="FFFFFF"/>
            <w:vAlign w:val="top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CM-07</w:t>
            </w:r>
          </w:p>
        </w:tc>
        <w:tc>
          <w:tcPr>
            <w:tcW w:type="dxa" w:w="4680"/>
            <w:shd w:fill="FFFFFF"/>
            <w:vAlign w:val="top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Event facts do not mutate durable doctrine</w:t>
            </w:r>
          </w:p>
        </w:tc>
      </w:tr>
      <w:tr>
        <w:tc>
          <w:tcPr>
            <w:tcW w:type="dxa" w:w="4680"/>
            <w:shd w:fill="F6F7F9"/>
            <w:vAlign w:val="top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CM-08</w:t>
            </w:r>
          </w:p>
        </w:tc>
        <w:tc>
          <w:tcPr>
            <w:tcW w:type="dxa" w:w="4680"/>
            <w:shd w:fill="F6F7F9"/>
            <w:vAlign w:val="top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Material event change makes only affected readiness pending</w:t>
            </w:r>
          </w:p>
        </w:tc>
      </w:tr>
      <w:tr>
        <w:tc>
          <w:tcPr>
            <w:tcW w:type="dxa" w:w="4680"/>
            <w:shd w:fill="FFFFFF"/>
            <w:vAlign w:val="top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CM-09</w:t>
            </w:r>
          </w:p>
        </w:tc>
        <w:tc>
          <w:tcPr>
            <w:tcW w:type="dxa" w:w="4680"/>
            <w:shd w:fill="FFFFFF"/>
            <w:vAlign w:val="top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Expired evidence cannot satisfy readiness</w:t>
            </w:r>
          </w:p>
        </w:tc>
      </w:tr>
      <w:tr>
        <w:tc>
          <w:tcPr>
            <w:tcW w:type="dxa" w:w="4680"/>
            <w:shd w:fill="F6F7F9"/>
            <w:vAlign w:val="top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CM-10</w:t>
            </w:r>
          </w:p>
        </w:tc>
        <w:tc>
          <w:tcPr>
            <w:tcW w:type="dxa" w:w="4680"/>
            <w:shd w:fill="F6F7F9"/>
            <w:vAlign w:val="top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administration cannot confer event authority</w:t>
            </w:r>
          </w:p>
        </w:tc>
      </w:tr>
      <w:tr>
        <w:tc>
          <w:tcPr>
            <w:tcW w:type="dxa" w:w="4680"/>
            <w:shd w:fill="FFFFFF"/>
            <w:vAlign w:val="top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CM-11</w:t>
            </w:r>
          </w:p>
        </w:tc>
        <w:tc>
          <w:tcPr>
            <w:tcW w:type="dxa" w:w="4680"/>
            <w:shd w:fill="FFFFFF"/>
            <w:vAlign w:val="top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Coverage report exposes missing competency or criticality</w:t>
            </w:r>
          </w:p>
        </w:tc>
      </w:tr>
      <w:tr>
        <w:tc>
          <w:tcPr>
            <w:tcW w:type="dxa" w:w="4680"/>
            <w:shd w:fill="F6F7F9"/>
            <w:vAlign w:val="top"/>
            <w:tcW w:w="11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CM-12</w:t>
            </w:r>
          </w:p>
        </w:tc>
        <w:tc>
          <w:tcPr>
            <w:tcW w:type="dxa" w:w="4680"/>
            <w:shd w:fill="F6F7F9"/>
            <w:vAlign w:val="top"/>
            <w:tcW w:w="82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CEO and Event Director capstone requires every critical component</w:t>
            </w:r>
          </w:p>
        </w:tc>
      </w:tr>
    </w:tbl>
    <w:p>
      <w:pPr>
        <w:pStyle w:val="Heading2"/>
      </w:pPr>
      <w:r>
        <w:t>5.2 Ratification record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c>
          <w:tcPr>
            <w:tcW w:type="dxa" w:w="4680"/>
            <w:shd w:fill="10243E"/>
            <w:tcW w:w="22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10243E"/>
            <w:tcW w:w="71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680"/>
            <w:shd w:fill="FFFFFF"/>
            <w:vAlign w:val="top"/>
            <w:tcW w:w="22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Document / version</w:t>
            </w:r>
          </w:p>
        </w:tc>
        <w:tc>
          <w:tcPr>
            <w:tcW w:type="dxa" w:w="4680"/>
            <w:shd w:fill="FFFFFF"/>
            <w:vAlign w:val="top"/>
            <w:tcW w:w="71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Maison Doclar Academy 30-Module Competency Map / v1.0</w:t>
            </w:r>
          </w:p>
        </w:tc>
      </w:tr>
      <w:tr>
        <w:tc>
          <w:tcPr>
            <w:tcW w:type="dxa" w:w="4680"/>
            <w:shd w:fill="F6F7F9"/>
            <w:vAlign w:val="top"/>
            <w:tcW w:w="22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Decision</w:t>
            </w:r>
          </w:p>
        </w:tc>
        <w:tc>
          <w:tcPr>
            <w:tcW w:type="dxa" w:w="4680"/>
            <w:shd w:fill="F6F7F9"/>
            <w:vAlign w:val="top"/>
            <w:tcW w:w="71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Approve / Approve with amendments / Return for revision</w:t>
            </w:r>
          </w:p>
        </w:tc>
      </w:tr>
      <w:tr>
        <w:tc>
          <w:tcPr>
            <w:tcW w:type="dxa" w:w="4680"/>
            <w:shd w:fill="FFFFFF"/>
            <w:vAlign w:val="top"/>
            <w:tcW w:w="22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CEO signature / date</w:t>
            </w:r>
          </w:p>
        </w:tc>
        <w:tc>
          <w:tcPr>
            <w:tcW w:type="dxa" w:w="4680"/>
            <w:shd w:fill="FFFFFF"/>
            <w:vAlign w:val="top"/>
            <w:tcW w:w="71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680"/>
            <w:shd w:fill="F6F7F9"/>
            <w:vAlign w:val="top"/>
            <w:tcW w:w="220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Effective from</w:t>
            </w:r>
          </w:p>
        </w:tc>
        <w:tc>
          <w:tcPr>
            <w:tcW w:type="dxa" w:w="4680"/>
            <w:shd w:fill="F6F7F9"/>
            <w:vAlign w:val="top"/>
            <w:tcW w:w="7160" w:type="dx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____________________________________________</w:t>
            </w:r>
          </w:p>
        </w:tc>
      </w:tr>
    </w:tbl>
    <w:p>
      <w:pPr>
        <w:spacing w:after="0"/>
        <w:jc w:val="center"/>
      </w:pPr>
      <w:r>
        <w:rPr>
          <w:rFonts w:ascii="Arial" w:hAnsi="Arial"/>
          <w:b/>
          <w:color w:val="667085"/>
          <w:sz w:val="17"/>
        </w:rPr>
        <w:t>End of controlled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6"/>
      </w:rPr>
      <w:t xml:space="preserve">Controlled document  | 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667085"/>
        <w:sz w:val="17"/>
      </w:rPr>
      <w:t>MAISON DOCLAR  /  ACADEMY COMPETENCY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E4B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243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Academy 30-Module Competency Map</dc:title>
  <dc:subject/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