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  <w:r>
        <w:rPr>
          <w:rFonts w:ascii="Arial" w:hAnsi="Arial"/>
          <w:b/>
          <w:color w:val="B79F85"/>
          <w:sz w:val="22"/>
        </w:rPr>
        <w:t>MAISON DOCLAR</w:t>
      </w:r>
    </w:p>
    <w:p>
      <w:pPr>
        <w:spacing w:after="80"/>
      </w:pPr>
      <w:r>
        <w:rPr>
          <w:rFonts w:ascii="Arial" w:hAnsi="Arial"/>
          <w:b/>
          <w:color w:val="10243E"/>
          <w:sz w:val="32"/>
        </w:rPr>
        <w:t>Academy</w:t>
      </w:r>
    </w:p>
    <w:p>
      <w:pPr>
        <w:spacing w:after="200"/>
      </w:pPr>
      <w:r>
        <w:rPr>
          <w:rFonts w:ascii="Arial" w:hAnsi="Arial"/>
          <w:b/>
          <w:color w:val="10243E"/>
          <w:sz w:val="54"/>
        </w:rPr>
        <w:t>Role and Learning-Path Matrix</w:t>
      </w:r>
    </w:p>
    <w:p>
      <w:pPr>
        <w:spacing w:after="560"/>
      </w:pPr>
      <w:r>
        <w:rPr>
          <w:rFonts w:ascii="Arial" w:hAnsi="Arial"/>
          <w:b w:val="0"/>
          <w:color w:val="667085"/>
          <w:sz w:val="26"/>
        </w:rPr>
        <w:t>Mandatory, optional and restricted training for every canonical staff role and seniority level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71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value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Owner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CEO / Academy Governance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Version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1.0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Status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Draft for ratification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Controlling sources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Academy Canonical Blueprint v1.0; 30-Module Competency Map v1.0; OS-Academy Integration Contract v1.0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Effect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Authoritative enrolment, pathway and training-access policy when ratified</w:t>
            </w:r>
          </w:p>
        </w:tc>
      </w:tr>
    </w:tbl>
    <w:p>
      <w:pPr>
        <w:spacing w:after="240"/>
      </w:pPr>
      <w:r>
        <w:rPr>
          <w:rFonts w:ascii="Arial" w:hAnsi="Arial"/>
          <w:b w:val="0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CORE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Training entitlement, certification, event assignment and operational permission are separate. Completing a course never grants access to sensitive event data or authority to act.</w:t>
            </w:r>
          </w:p>
        </w:tc>
      </w:tr>
    </w:tbl>
    <w:p>
      <w:r>
        <w:br w:type="page"/>
      </w:r>
    </w:p>
    <w:p>
      <w:pPr>
        <w:pStyle w:val="Heading1"/>
      </w:pPr>
      <w:r>
        <w:t>1. Purpose and status language</w:t>
      </w:r>
    </w:p>
    <w:p>
      <w:pPr>
        <w:spacing w:after="100"/>
      </w:pPr>
      <w:r>
        <w:rPr>
          <w:rFonts w:ascii="Arial" w:hAnsi="Arial"/>
          <w:b w:val="0"/>
        </w:rPr>
        <w:t>This document tells the Academy what to assign, display, recommend or withhold for each role profile. It is the system-readable policy for enrolment, role changes and event-specific learning overlays.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450"/>
        <w:gridCol w:w="5510"/>
      </w:tblGrid>
      <w:tr>
        <w:tc>
          <w:tcPr>
            <w:tcW w:type="dxa" w:w="14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55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System behaviour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M - Mandatory</w:t>
            </w:r>
          </w:p>
        </w:tc>
        <w:tc>
          <w:tcPr>
            <w:tcW w:type="dxa" w:w="24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Required for the role or seniority</w:t>
            </w:r>
          </w:p>
        </w:tc>
        <w:tc>
          <w:tcPr>
            <w:tcW w:type="dxa" w:w="55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Auto-enrol; due date; readiness/certification effect; cannot be self-removed</w:t>
            </w:r>
          </w:p>
        </w:tc>
      </w:tr>
      <w:tr>
        <w:tc>
          <w:tcPr>
            <w:tcW w:type="dxa" w:w="14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O - Optional</w:t>
            </w:r>
          </w:p>
        </w:tc>
        <w:tc>
          <w:tcPr>
            <w:tcW w:type="dxa" w:w="24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Useful development outside the minimum role path</w:t>
            </w:r>
          </w:p>
        </w:tc>
        <w:tc>
          <w:tcPr>
            <w:tcW w:type="dxa" w:w="55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Visible in catalogue; self-request or manager assign; no readiness block unless promoted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R - Restricted</w:t>
            </w:r>
          </w:p>
        </w:tc>
        <w:tc>
          <w:tcPr>
            <w:tcW w:type="dxa" w:w="24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Outside normal need-to-know or authority</w:t>
            </w:r>
          </w:p>
        </w:tc>
        <w:tc>
          <w:tcPr>
            <w:tcW w:type="dxa" w:w="55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Hidden by default; reason and authorised approval required; time/scope bound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EVENT CONDITION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 mandatory module can still require an event-specific briefing or practical. The durable certificate is reused, but current event facts, changes and local authority must be acknowledged before readiness.</w:t>
            </w:r>
          </w:p>
        </w:tc>
      </w:tr>
    </w:tbl>
    <w:p>
      <w:pPr>
        <w:pStyle w:val="Heading2"/>
      </w:pPr>
      <w:r>
        <w:t>1.1 Restricted does not mean forbidden forever</w:t>
      </w:r>
    </w:p>
    <w:p>
      <w:pPr>
        <w:pStyle w:val="ListBullet"/>
        <w:spacing w:after="60"/>
        <w:ind w:left="547" w:hanging="274"/>
      </w:pPr>
      <w:r>
        <w:t>Restricted content may be released for a verified role change, acting assignment, succession development, audit duty or named event need.</w:t>
      </w:r>
    </w:p>
    <w:p>
      <w:pPr>
        <w:pStyle w:val="ListBullet"/>
        <w:spacing w:after="60"/>
        <w:ind w:left="547" w:hanging="274"/>
      </w:pPr>
      <w:r>
        <w:t>Release does not expose guest records, assessment answers or unrestricted event information.</w:t>
      </w:r>
    </w:p>
    <w:p>
      <w:pPr>
        <w:pStyle w:val="ListBullet"/>
        <w:spacing w:after="60"/>
        <w:ind w:left="547" w:hanging="274"/>
      </w:pPr>
      <w:r>
        <w:t>Every restricted enrolment records approver, purpose, scope, expiry and revocation.</w:t>
      </w:r>
    </w:p>
    <w:p>
      <w:r>
        <w:br w:type="page"/>
      </w:r>
    </w:p>
    <w:p>
      <w:pPr>
        <w:pStyle w:val="Heading1"/>
      </w:pPr>
      <w:r>
        <w:t>2. Seniority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3420"/>
        <w:gridCol w:w="2740"/>
      </w:tblGrid>
      <w:tr>
        <w:tc>
          <w:tcPr>
            <w:tcW w:type="dxa" w:w="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3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Population</w:t>
            </w:r>
          </w:p>
        </w:tc>
        <w:tc>
          <w:tcPr>
            <w:tcW w:type="dxa" w:w="34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Expected competence</w:t>
            </w:r>
          </w:p>
        </w:tc>
        <w:tc>
          <w:tcPr>
            <w:tcW w:type="dxa" w:w="274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Authority effect</w:t>
            </w:r>
          </w:p>
        </w:tc>
      </w:tr>
      <w:tr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L0</w:t>
            </w:r>
          </w:p>
        </w:tc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Vendor / temporary associate</w:t>
            </w:r>
          </w:p>
        </w:tc>
        <w:tc>
          <w:tcPr>
            <w:tcW w:type="dxa" w:w="34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Safe, discreet execution of contracted tasks</w:t>
            </w:r>
          </w:p>
        </w:tc>
        <w:tc>
          <w:tcPr>
            <w:tcW w:type="dxa" w:w="27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Maison Doclar command authority</w:t>
            </w:r>
          </w:p>
        </w:tc>
      </w:tr>
      <w:tr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L1</w:t>
            </w:r>
          </w:p>
        </w:tc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Frontline practitioner</w:t>
            </w:r>
          </w:p>
        </w:tc>
        <w:tc>
          <w:tcPr>
            <w:tcW w:type="dxa" w:w="34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Reliable task performance and escalation</w:t>
            </w:r>
          </w:p>
        </w:tc>
        <w:tc>
          <w:tcPr>
            <w:tcW w:type="dxa" w:w="27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Acts within role card and event assignment</w:t>
            </w:r>
          </w:p>
        </w:tc>
      </w:tr>
      <w:tr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L2</w:t>
            </w:r>
          </w:p>
        </w:tc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Team lead / senior practitioner</w:t>
            </w:r>
          </w:p>
        </w:tc>
        <w:tc>
          <w:tcPr>
            <w:tcW w:type="dxa" w:w="34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Supervision, handover, local recovery and reporting</w:t>
            </w:r>
          </w:p>
        </w:tc>
        <w:tc>
          <w:tcPr>
            <w:tcW w:type="dxa" w:w="27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Delegated team authority only</w:t>
            </w:r>
          </w:p>
        </w:tc>
      </w:tr>
      <w:tr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L3</w:t>
            </w:r>
          </w:p>
        </w:tc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Department lead</w:t>
            </w:r>
          </w:p>
        </w:tc>
        <w:tc>
          <w:tcPr>
            <w:tcW w:type="dxa" w:w="34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Domain planning, readiness, evidence and escalation</w:t>
            </w:r>
          </w:p>
        </w:tc>
        <w:tc>
          <w:tcPr>
            <w:tcW w:type="dxa" w:w="27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Department authority within approved event map</w:t>
            </w:r>
          </w:p>
        </w:tc>
      </w:tr>
      <w:tr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L4</w:t>
            </w:r>
          </w:p>
        </w:tc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 Director</w:t>
            </w:r>
          </w:p>
        </w:tc>
        <w:tc>
          <w:tcPr>
            <w:tcW w:type="dxa" w:w="34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Whole-event integration, command and go/no-go readiness</w:t>
            </w:r>
          </w:p>
        </w:tc>
        <w:tc>
          <w:tcPr>
            <w:tcW w:type="dxa" w:w="27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 authority subject to CEO reserved matters</w:t>
            </w:r>
          </w:p>
        </w:tc>
      </w:tr>
      <w:tr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L5</w:t>
            </w:r>
          </w:p>
        </w:tc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CEO</w:t>
            </w:r>
          </w:p>
        </w:tc>
        <w:tc>
          <w:tcPr>
            <w:tcW w:type="dxa" w:w="34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Enterprise doctrine, reserved judgement and governance</w:t>
            </w:r>
          </w:p>
        </w:tc>
        <w:tc>
          <w:tcPr>
            <w:tcW w:type="dxa" w:w="27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Final business and reserved authority</w:t>
            </w:r>
          </w:p>
        </w:tc>
      </w:tr>
      <w:tr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A1</w:t>
            </w:r>
          </w:p>
        </w:tc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Administrator</w:t>
            </w:r>
          </w:p>
        </w:tc>
        <w:tc>
          <w:tcPr>
            <w:tcW w:type="dxa" w:w="34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Accurate enrolment and record administration</w:t>
            </w:r>
          </w:p>
        </w:tc>
        <w:tc>
          <w:tcPr>
            <w:tcW w:type="dxa" w:w="27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training-authoring or event authority</w:t>
            </w:r>
          </w:p>
        </w:tc>
      </w:tr>
      <w:tr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A2</w:t>
            </w:r>
          </w:p>
        </w:tc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Governor / Author / Assessor</w:t>
            </w:r>
          </w:p>
        </w:tc>
        <w:tc>
          <w:tcPr>
            <w:tcW w:type="dxa" w:w="34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Governed content, assessment and certification decisions</w:t>
            </w:r>
          </w:p>
        </w:tc>
        <w:tc>
          <w:tcPr>
            <w:tcW w:type="dxa" w:w="27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authority only unless separately assigned</w:t>
            </w:r>
          </w:p>
        </w:tc>
      </w:tr>
    </w:tbl>
    <w:p>
      <w:pPr>
        <w:pStyle w:val="Heading2"/>
      </w:pPr>
      <w:r>
        <w:t>2.1 Progression law</w:t>
      </w:r>
    </w:p>
    <w:p>
      <w:pPr>
        <w:pStyle w:val="ListBullet"/>
        <w:spacing w:after="60"/>
        <w:ind w:left="547" w:hanging="274"/>
      </w:pPr>
      <w:r>
        <w:t>Seniority is not inferred from completion percentage. It is an approved role assignment.</w:t>
      </w:r>
    </w:p>
    <w:p>
      <w:pPr>
        <w:pStyle w:val="ListBullet"/>
        <w:spacing w:after="60"/>
        <w:ind w:left="547" w:hanging="274"/>
      </w:pPr>
      <w:r>
        <w:t>Promotion adds leadership, judgement and authority-boundary evidence; it does not discard valid shared competence.</w:t>
      </w:r>
    </w:p>
    <w:p>
      <w:pPr>
        <w:pStyle w:val="ListBullet"/>
        <w:spacing w:after="60"/>
        <w:ind w:left="547" w:hanging="274"/>
      </w:pPr>
      <w:r>
        <w:t>Lateral moves reuse equivalent evidence and enrol only the gap.</w:t>
      </w:r>
    </w:p>
    <w:p>
      <w:pPr>
        <w:pStyle w:val="ListBullet"/>
        <w:spacing w:after="60"/>
        <w:ind w:left="547" w:hanging="274"/>
      </w:pPr>
      <w:r>
        <w:t>Acting-up access expires with the acting assignment unless the CEO confirms a permanent role change.</w:t>
      </w:r>
    </w:p>
    <w:p>
      <w:pPr>
        <w:pStyle w:val="ListBullet"/>
        <w:spacing w:after="60"/>
        <w:ind w:left="547" w:hanging="274"/>
      </w:pPr>
      <w:r>
        <w:t>A person holding multiple event roles must satisfy each role independently; the least-ready assigned role controls deployment readiness.</w:t>
      </w:r>
    </w:p>
    <w:p>
      <w:r>
        <w:br w:type="page"/>
      </w:r>
    </w:p>
    <w:p>
      <w:pPr>
        <w:pStyle w:val="Heading1"/>
      </w:pPr>
      <w:r>
        <w:t>3. Canonical role catalogue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620"/>
        <w:gridCol w:w="2860"/>
        <w:gridCol w:w="1200"/>
        <w:gridCol w:w="4060"/>
      </w:tblGrid>
      <w:tr>
        <w:tc>
          <w:tcPr>
            <w:tcW w:type="dxa" w:w="6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8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2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0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learning purpose</w:t>
            </w:r>
          </w:p>
        </w:tc>
      </w:tr>
      <w:tr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</w:t>
            </w:r>
          </w:p>
        </w:tc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L5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Chief Executive Officer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Executive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All-domain mastery, reserved authority and Academy ratification</w:t>
            </w:r>
          </w:p>
        </w:tc>
      </w:tr>
      <w:tr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ED</w:t>
            </w:r>
          </w:p>
        </w:tc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L4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Director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Executive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Whole-event delivery, command and readiness authority</w:t>
            </w:r>
          </w:p>
        </w:tc>
      </w:tr>
      <w:tr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GX</w:t>
            </w:r>
          </w:p>
        </w:tc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L3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Guest Experience Department Lead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Department lead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Guest journey, service, concierge and recovery</w:t>
            </w:r>
          </w:p>
        </w:tc>
      </w:tr>
      <w:tr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PC</w:t>
            </w:r>
          </w:p>
        </w:tc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L3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Protocol &amp; Culture Department Lead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Department lead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Protocol, culture, ceremony and high-status interaction</w:t>
            </w:r>
          </w:p>
        </w:tc>
      </w:tr>
      <w:tr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OC</w:t>
            </w:r>
          </w:p>
        </w:tc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L3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Operations &amp; Command Department Lead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Department lead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Command, dependencies, execution and live intelligence</w:t>
            </w:r>
          </w:p>
        </w:tc>
      </w:tr>
      <w:tr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VP</w:t>
            </w:r>
          </w:p>
        </w:tc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L3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Vendor &amp; Production Department Lead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Department lead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Supplier, production, setup and delivery assurance</w:t>
            </w:r>
          </w:p>
        </w:tc>
      </w:tr>
      <w:tr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SS</w:t>
            </w:r>
          </w:p>
        </w:tc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L3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Safety &amp; Security Department Lead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Department lead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Safety, security, safeguarding, privacy and crisis</w:t>
            </w:r>
          </w:p>
        </w:tc>
      </w:tr>
      <w:tr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CPL</w:t>
            </w:r>
          </w:p>
        </w:tc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L2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Concierge / Protocol Team Lead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Team lead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Guest-facing protocol, VIP, communication and escalation</w:t>
            </w:r>
          </w:p>
        </w:tc>
      </w:tr>
      <w:tr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CHL</w:t>
            </w:r>
          </w:p>
        </w:tc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L2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Concierge / Host Team Lead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Team lead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Host protection, concierge service and recovery</w:t>
            </w:r>
          </w:p>
        </w:tc>
      </w:tr>
      <w:tr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UL</w:t>
            </w:r>
          </w:p>
        </w:tc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L2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Usher Team Lead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Team lead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Usher deployment, ceremony movement and service standards</w:t>
            </w:r>
          </w:p>
        </w:tc>
      </w:tr>
      <w:tr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CAL</w:t>
            </w:r>
          </w:p>
        </w:tc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L2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Check-in / Access Team Lead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Team lead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Arrival, credentials, access and escalation</w:t>
            </w:r>
          </w:p>
        </w:tc>
      </w:tr>
      <w:tr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</w:t>
            </w:r>
          </w:p>
        </w:tc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L1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Concierge / Host Practitioner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Frontline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Guest communication, personalisation and recovery</w:t>
            </w:r>
          </w:p>
        </w:tc>
      </w:tr>
      <w:tr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</w:t>
            </w:r>
          </w:p>
        </w:tc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L1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Usher Practitioner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Frontline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Wayfinding, transitions, service and escalation</w:t>
            </w:r>
          </w:p>
        </w:tc>
      </w:tr>
      <w:tr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</w:t>
            </w:r>
          </w:p>
        </w:tc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L1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Check-in / Access Practitioner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Frontline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Guest intake, credential checks and arrival flow</w:t>
            </w:r>
          </w:p>
        </w:tc>
      </w:tr>
      <w:tr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VT</w:t>
            </w:r>
          </w:p>
        </w:tc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L0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Vendor / Temporary Associate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Temporary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Contracted duty, safe conduct, privacy and event standards</w:t>
            </w:r>
          </w:p>
        </w:tc>
      </w:tr>
      <w:tr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</w:t>
            </w:r>
          </w:p>
        </w:tc>
        <w:tc>
          <w:tcPr>
            <w:tcW w:type="dxa" w:w="6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A2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Governor / Author / Assessor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Content, assessment, certification and governance authority</w:t>
            </w:r>
          </w:p>
        </w:tc>
      </w:tr>
      <w:tr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AA</w:t>
            </w:r>
          </w:p>
        </w:tc>
        <w:tc>
          <w:tcPr>
            <w:tcW w:type="dxa" w:w="6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A1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Administrator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Enrolment and records administration without event authority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667085"/>
          <w:sz w:val="17"/>
        </w:rPr>
        <w:t>Role codes are stable system identifiers. Display names may be refined without changing pathway meaning.</w:t>
      </w:r>
    </w:p>
    <w:p>
      <w:r>
        <w:br w:type="page"/>
      </w:r>
    </w:p>
    <w:p>
      <w:pPr>
        <w:pStyle w:val="Heading1"/>
      </w:pPr>
      <w:r>
        <w:t>4. Executive learning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140"/>
        <w:gridCol w:w="2250"/>
        <w:gridCol w:w="2250"/>
      </w:tblGrid>
      <w:tr>
        <w:tc>
          <w:tcPr>
            <w:tcW w:type="dxa" w:w="7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14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Training</w:t>
            </w:r>
          </w:p>
        </w:tc>
        <w:tc>
          <w:tcPr>
            <w:tcW w:type="dxa" w:w="22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22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Hospitality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Guest Journey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Protocol &amp; Precedence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Cultural &amp; Ceremonial Intelligence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VIP &amp; High-Net-Worth Guest Management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&amp; Control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Management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Protocol, Ceremony &amp; Run-of-Show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Service Operations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Command, Control &amp; Live Operations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Risk, Crisis &amp; Service Recovery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Event Operating System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Mastery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Staffing, Service Culture &amp; the White-Glove Team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Guest Communication, Concierge &amp; Personalisation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Event-Day Command, Control &amp; the Operations Room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Security, Safety, Privacy &amp; Risk Management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Control &amp; the Delivery Standard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 &amp; the Guest Experience Team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Centre &amp; AI Layer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Day Execution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Service Recovery &amp; Guest Psychology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Information Control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 Conflict &amp; Diplomatic Judgement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Luxury Service Recovery Lab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Art of Host Management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Architecture of a White-Glove Event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Intelligence &amp; Live Command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Confidentiality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M30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Maison Doclar Standard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667085"/>
          <w:sz w:val="16"/>
        </w:rPr>
        <w:t>M = Mandatory  |  O = Optional  |  R = Restricted</w:t>
      </w:r>
    </w:p>
    <w:p>
      <w:pPr>
        <w:spacing w:after="0"/>
      </w:pPr>
      <w:r>
        <w:rPr>
          <w:rFonts w:ascii="Arial" w:hAnsi="Arial"/>
          <w:b w:val="0"/>
          <w:color w:val="667085"/>
          <w:sz w:val="15"/>
        </w:rPr>
        <w:t>Columns: CEO = Chief Executive Officer  |  ED = Event Director</w:t>
      </w:r>
    </w:p>
    <w:p>
      <w:r>
        <w:br w:type="page"/>
      </w:r>
    </w:p>
    <w:p>
      <w:pPr>
        <w:pStyle w:val="Heading1"/>
      </w:pPr>
      <w:r>
        <w:t>5. Department-lead learning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140"/>
        <w:gridCol w:w="900"/>
        <w:gridCol w:w="900"/>
        <w:gridCol w:w="900"/>
        <w:gridCol w:w="900"/>
        <w:gridCol w:w="900"/>
      </w:tblGrid>
      <w:tr>
        <w:tc>
          <w:tcPr>
            <w:tcW w:type="dxa" w:w="7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14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Training</w:t>
            </w:r>
          </w:p>
        </w:tc>
        <w:tc>
          <w:tcPr>
            <w:tcW w:type="dxa" w:w="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GX</w:t>
            </w:r>
          </w:p>
        </w:tc>
        <w:tc>
          <w:tcPr>
            <w:tcW w:type="dxa" w:w="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PC</w:t>
            </w:r>
          </w:p>
        </w:tc>
        <w:tc>
          <w:tcPr>
            <w:tcW w:type="dxa" w:w="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OC</w:t>
            </w:r>
          </w:p>
        </w:tc>
        <w:tc>
          <w:tcPr>
            <w:tcW w:type="dxa" w:w="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VP</w:t>
            </w:r>
          </w:p>
        </w:tc>
        <w:tc>
          <w:tcPr>
            <w:tcW w:type="dxa" w:w="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SS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Hospitality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Guest Journey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Protocol &amp; Precedence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Cultural &amp; Ceremonial Intelligence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VIP &amp; High-Net-Worth Guest Management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&amp; Control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Management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Protocol, Ceremony &amp; Run-of-Show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Service Operations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Command, Control &amp; Live Operations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Risk, Crisis &amp; Service Recovery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Event Operating System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Mastery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Staffing, Service Culture &amp; the White-Glove Team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Guest Communication, Concierge &amp; Personalisation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Event-Day Command, Control &amp; the Operations Room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Security, Safety, Privacy &amp; Risk Management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Control &amp; the Delivery Standard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 &amp; the Guest Experience Team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Centre &amp; AI Layer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Day Execution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Service Recovery &amp; Guest Psychology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Information Control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 Conflict &amp; Diplomatic Judgement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Luxury Service Recovery Lab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Art of Host Management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Architecture of a White-Glove Event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Intelligence &amp; Live Command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Confidentiality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M30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Maison Doclar Standard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667085"/>
          <w:sz w:val="16"/>
        </w:rPr>
        <w:t>M = Mandatory  |  O = Optional  |  R = Restricted</w:t>
      </w:r>
    </w:p>
    <w:p>
      <w:pPr>
        <w:spacing w:after="0"/>
      </w:pPr>
      <w:r>
        <w:rPr>
          <w:rFonts w:ascii="Arial" w:hAnsi="Arial"/>
          <w:b w:val="0"/>
          <w:color w:val="667085"/>
          <w:sz w:val="15"/>
        </w:rPr>
        <w:t>Columns: GX = Guest Experience Department Lead  |  PC = Protocol &amp; Culture Department Lead  |  OC = Operations &amp; Command Department Lead  |  VP = Vendor &amp; Production Department Lead  |  SS = Safety &amp; Security Department Lead</w:t>
      </w:r>
    </w:p>
    <w:p>
      <w:r>
        <w:br w:type="page"/>
      </w:r>
    </w:p>
    <w:p>
      <w:pPr>
        <w:pStyle w:val="Heading1"/>
      </w:pPr>
      <w:r>
        <w:t>6. Team-lead learning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140"/>
        <w:gridCol w:w="1125"/>
        <w:gridCol w:w="1125"/>
        <w:gridCol w:w="1125"/>
        <w:gridCol w:w="1125"/>
      </w:tblGrid>
      <w:tr>
        <w:tc>
          <w:tcPr>
            <w:tcW w:type="dxa" w:w="7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14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Training</w:t>
            </w:r>
          </w:p>
        </w:tc>
        <w:tc>
          <w:tcPr>
            <w:tcW w:type="dxa" w:w="1125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CPL</w:t>
            </w:r>
          </w:p>
        </w:tc>
        <w:tc>
          <w:tcPr>
            <w:tcW w:type="dxa" w:w="1125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CHL</w:t>
            </w:r>
          </w:p>
        </w:tc>
        <w:tc>
          <w:tcPr>
            <w:tcW w:type="dxa" w:w="1125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UL</w:t>
            </w:r>
          </w:p>
        </w:tc>
        <w:tc>
          <w:tcPr>
            <w:tcW w:type="dxa" w:w="1125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CAL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Hospitality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Guest Journey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Protocol &amp; Precedence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Cultural &amp; Ceremonial Intelligence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VIP &amp; High-Net-Worth Guest Management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&amp; Control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Management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Protocol, Ceremony &amp; Run-of-Show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Service Operations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Command, Control &amp; Live Operations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Risk, Crisis &amp; Service Recovery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Event Operating System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Mastery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Staffing, Service Culture &amp; the White-Glove Team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Guest Communication, Concierge &amp; Personalisation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Event-Day Command, Control &amp; the Operations Room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Security, Safety, Privacy &amp; Risk Management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Control &amp; the Delivery Standard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 &amp; the Guest Experience Team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Centre &amp; AI Layer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Day Execution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Service Recovery &amp; Guest Psychology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Information Control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 Conflict &amp; Diplomatic Judgement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Luxury Service Recovery Lab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Art of Host Management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Architecture of a White-Glove Event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Intelligence &amp; Live Command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Confidentiality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M30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Maison Doclar Standard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667085"/>
          <w:sz w:val="16"/>
        </w:rPr>
        <w:t>M = Mandatory  |  O = Optional  |  R = Restricted</w:t>
      </w:r>
    </w:p>
    <w:p>
      <w:pPr>
        <w:spacing w:after="0"/>
      </w:pPr>
      <w:r>
        <w:rPr>
          <w:rFonts w:ascii="Arial" w:hAnsi="Arial"/>
          <w:b w:val="0"/>
          <w:color w:val="667085"/>
          <w:sz w:val="15"/>
        </w:rPr>
        <w:t>Columns: CPL = Concierge / Protocol Team Lead  |  CHL = Concierge / Host Team Lead  |  UL = Usher Team Lead  |  CAL = Check-in / Access Team Lead</w:t>
      </w:r>
    </w:p>
    <w:p>
      <w:r>
        <w:br w:type="page"/>
      </w:r>
    </w:p>
    <w:p>
      <w:pPr>
        <w:pStyle w:val="Heading1"/>
      </w:pPr>
      <w:r>
        <w:t>7. Frontline and temporary learning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140"/>
        <w:gridCol w:w="1125"/>
        <w:gridCol w:w="1125"/>
        <w:gridCol w:w="1125"/>
        <w:gridCol w:w="1125"/>
      </w:tblGrid>
      <w:tr>
        <w:tc>
          <w:tcPr>
            <w:tcW w:type="dxa" w:w="7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14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Training</w:t>
            </w:r>
          </w:p>
        </w:tc>
        <w:tc>
          <w:tcPr>
            <w:tcW w:type="dxa" w:w="1125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</w:t>
            </w:r>
          </w:p>
        </w:tc>
        <w:tc>
          <w:tcPr>
            <w:tcW w:type="dxa" w:w="1125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</w:t>
            </w:r>
          </w:p>
        </w:tc>
        <w:tc>
          <w:tcPr>
            <w:tcW w:type="dxa" w:w="1125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</w:t>
            </w:r>
          </w:p>
        </w:tc>
        <w:tc>
          <w:tcPr>
            <w:tcW w:type="dxa" w:w="1125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VT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Hospitality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Guest Journey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Protocol &amp; Precedence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Cultural &amp; Ceremonial Intelligence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VIP &amp; High-Net-Worth Guest Management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&amp; Control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Management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Protocol, Ceremony &amp; Run-of-Show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Service Operations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Command, Control &amp; Live Operations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Risk, Crisis &amp; Service Recovery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Event Operating System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Mastery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Staffing, Service Culture &amp; the White-Glove Team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Guest Communication, Concierge &amp; Personalisation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Event-Day Command, Control &amp; the Operations Room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Security, Safety, Privacy &amp; Risk Management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Control &amp; the Delivery Standard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 &amp; the Guest Experience Team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Centre &amp; AI Layer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Day Execution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Service Recovery &amp; Guest Psychology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Information Control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 Conflict &amp; Diplomatic Judgement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Luxury Service Recovery Lab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Art of Host Management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R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Architecture of a White-Glove Event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Intelligence &amp; Live Command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Confidentiality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M30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Maison Doclar Standard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1125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667085"/>
          <w:sz w:val="16"/>
        </w:rPr>
        <w:t>M = Mandatory  |  O = Optional  |  R = Restricted</w:t>
      </w:r>
    </w:p>
    <w:p>
      <w:pPr>
        <w:spacing w:after="0"/>
      </w:pPr>
      <w:r>
        <w:rPr>
          <w:rFonts w:ascii="Arial" w:hAnsi="Arial"/>
          <w:b w:val="0"/>
          <w:color w:val="667085"/>
          <w:sz w:val="15"/>
        </w:rPr>
        <w:t>Columns: CH = Concierge / Host Practitioner  |  US = Usher Practitioner  |  CA = Check-in / Access Practitioner  |  VT = Vendor / Temporary Associate</w:t>
      </w:r>
    </w:p>
    <w:p>
      <w:r>
        <w:br w:type="page"/>
      </w:r>
    </w:p>
    <w:p>
      <w:pPr>
        <w:pStyle w:val="Heading1"/>
      </w:pPr>
      <w:r>
        <w:t>8. Academy-role learning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140"/>
        <w:gridCol w:w="2250"/>
        <w:gridCol w:w="2250"/>
      </w:tblGrid>
      <w:tr>
        <w:tc>
          <w:tcPr>
            <w:tcW w:type="dxa" w:w="7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14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Training</w:t>
            </w:r>
          </w:p>
        </w:tc>
        <w:tc>
          <w:tcPr>
            <w:tcW w:type="dxa" w:w="22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AG</w:t>
            </w:r>
          </w:p>
        </w:tc>
        <w:tc>
          <w:tcPr>
            <w:tcW w:type="dxa" w:w="22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AA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Hospitality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Guest Journey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Protocol &amp; Precedence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Nigerian Cultural &amp; Ceremonial Intelligence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VIP &amp; High-Net-Worth Guest Management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&amp; Control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Management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Protocol, Ceremony &amp; Run-of-Show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M09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White-Glove Service Operations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Command, Control &amp; Live Operations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Risk, Crisis &amp; Service Recovery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Event Operating System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&amp; Supplier Mastery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Staffing, Service Culture &amp; the White-Glove Team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Guest Communication, Concierge &amp; Personalisation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Event-Day Command, Control &amp; the Operations Room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Security, Safety, Privacy &amp; Risk Management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Vendor Control &amp; the Delivery Standard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M19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Staffing &amp; the Guest Experience Team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Command Centre &amp; AI Layer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M21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Day Execution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M22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Service Recovery &amp; Guest Psychology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M23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Information Control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M24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Protocol Conflict &amp; Diplomatic Judgement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M25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Luxury Service Recovery Lab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M26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Art of Host Management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M27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Architecture of a White-Glove Event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M28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Event Intelligence &amp; Live Command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O</w:t>
            </w:r>
          </w:p>
        </w:tc>
      </w:tr>
      <w:tr>
        <w:tc>
          <w:tcPr>
            <w:tcW w:type="dxa" w:w="7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M29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Discretion, Privacy &amp; Confidentiality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  <w:tr>
        <w:tc>
          <w:tcPr>
            <w:tcW w:type="dxa" w:w="7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M30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72033"/>
                <w:sz w:val="14"/>
              </w:rPr>
              <w:t>The Maison Doclar Standard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  <w:tc>
          <w:tcPr>
            <w:tcW w:type="dxa" w:w="2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172033"/>
                <w:sz w:val="14"/>
              </w:rPr>
              <w:t>M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667085"/>
          <w:sz w:val="16"/>
        </w:rPr>
        <w:t>M = Mandatory  |  O = Optional  |  R = Restricted</w:t>
      </w:r>
    </w:p>
    <w:p>
      <w:pPr>
        <w:spacing w:after="0"/>
      </w:pPr>
      <w:r>
        <w:rPr>
          <w:rFonts w:ascii="Arial" w:hAnsi="Arial"/>
          <w:b w:val="0"/>
          <w:color w:val="667085"/>
          <w:sz w:val="15"/>
        </w:rPr>
        <w:t>Columns: AG = Academy Governor / Author / Assessor  |  AA = Academy Administrator</w:t>
      </w:r>
    </w:p>
    <w:p>
      <w:r>
        <w:br w:type="page"/>
      </w:r>
    </w:p>
    <w:p>
      <w:pPr>
        <w:pStyle w:val="Heading1"/>
      </w:pPr>
      <w:r>
        <w:t>9. Canonical learning-path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c>
          <w:tcPr>
            <w:tcW w:type="dxa" w:w="12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1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6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Default module families</w:t>
            </w:r>
          </w:p>
        </w:tc>
        <w:tc>
          <w:tcPr>
            <w:tcW w:type="dxa" w:w="23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1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P0 - Identity and induction</w:t>
            </w:r>
          </w:p>
        </w:tc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Confirm person, organisation, role and policies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Employment/contract induction; platform and privacy notice</w:t>
            </w:r>
          </w:p>
        </w:tc>
        <w:tc>
          <w:tcPr>
            <w:tcW w:type="dxa" w:w="2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Identity and role assignment verified</w:t>
            </w:r>
          </w:p>
        </w:tc>
      </w:tr>
      <w:tr>
        <w:tc>
          <w:tcPr>
            <w:tcW w:type="dxa" w:w="1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P1 - Maison foundations</w:t>
            </w:r>
          </w:p>
        </w:tc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Create common service language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M01-M02, M09, M23, M29</w:t>
            </w:r>
          </w:p>
        </w:tc>
        <w:tc>
          <w:tcPr>
            <w:tcW w:type="dxa" w:w="2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Critical foundation assessment</w:t>
            </w:r>
          </w:p>
        </w:tc>
      </w:tr>
      <w:tr>
        <w:tc>
          <w:tcPr>
            <w:tcW w:type="dxa" w:w="1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P2 - Role core</w:t>
            </w:r>
          </w:p>
        </w:tc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Build durable domain competence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All modules marked M for the assigned role</w:t>
            </w:r>
          </w:p>
        </w:tc>
        <w:tc>
          <w:tcPr>
            <w:tcW w:type="dxa" w:w="2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Each critical competency passed</w:t>
            </w:r>
          </w:p>
        </w:tc>
      </w:tr>
      <w:tr>
        <w:tc>
          <w:tcPr>
            <w:tcW w:type="dxa" w:w="1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P3 - Leadership / authority</w:t>
            </w:r>
          </w:p>
        </w:tc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Add supervisory or decision capability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L2-L5 command, people, risk and judgement modules</w:t>
            </w:r>
          </w:p>
        </w:tc>
        <w:tc>
          <w:tcPr>
            <w:tcW w:type="dxa" w:w="2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Observed practical plus authority-boundary assessment</w:t>
            </w:r>
          </w:p>
        </w:tc>
      </w:tr>
      <w:tr>
        <w:tc>
          <w:tcPr>
            <w:tcW w:type="dxa" w:w="1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P4 - Event overlay</w:t>
            </w:r>
          </w:p>
        </w:tc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Apply competence to one event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 Training Package, briefings, changes and local practicals</w:t>
            </w:r>
          </w:p>
        </w:tc>
        <w:tc>
          <w:tcPr>
            <w:tcW w:type="dxa" w:w="2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Event-specific readiness</w:t>
            </w:r>
          </w:p>
        </w:tc>
      </w:tr>
      <w:tr>
        <w:tc>
          <w:tcPr>
            <w:tcW w:type="dxa" w:w="12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P5 - Certification</w:t>
            </w:r>
          </w:p>
        </w:tc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Issue scope- and time-bound proof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assessment blueprint and practical evidence</w:t>
            </w:r>
          </w:p>
        </w:tc>
        <w:tc>
          <w:tcPr>
            <w:tcW w:type="dxa" w:w="2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80% pass; 90% distinction; every critical competency passed</w:t>
            </w:r>
          </w:p>
        </w:tc>
      </w:tr>
      <w:tr>
        <w:tc>
          <w:tcPr>
            <w:tcW w:type="dxa" w:w="12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P6 - Sustain and renew</w:t>
            </w:r>
          </w:p>
        </w:tc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Maintain competence after change and expiry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Targeted remediation, material-change learning, recertification</w:t>
            </w:r>
          </w:p>
        </w:tc>
        <w:tc>
          <w:tcPr>
            <w:tcW w:type="dxa" w:w="2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Current unexpired evidence</w:t>
            </w:r>
          </w:p>
        </w:tc>
      </w:tr>
    </w:tbl>
    <w:p>
      <w:pPr>
        <w:pStyle w:val="Heading2"/>
      </w:pPr>
      <w:r>
        <w:t>9.1 Ordering controls</w:t>
      </w:r>
    </w:p>
    <w:p>
      <w:pPr>
        <w:pStyle w:val="ListBullet"/>
        <w:spacing w:after="60"/>
        <w:ind w:left="547" w:hanging="274"/>
      </w:pPr>
      <w:r>
        <w:t>M23 privacy is completed before any sensitive-content pathway or event information.</w:t>
      </w:r>
    </w:p>
    <w:p>
      <w:pPr>
        <w:pStyle w:val="ListBullet"/>
        <w:spacing w:after="60"/>
        <w:ind w:left="547" w:hanging="274"/>
      </w:pPr>
      <w:r>
        <w:t>M01, M02 and M09 precede specialised guest-facing practicals.</w:t>
      </w:r>
    </w:p>
    <w:p>
      <w:pPr>
        <w:pStyle w:val="ListBullet"/>
        <w:spacing w:after="60"/>
        <w:ind w:left="547" w:hanging="274"/>
      </w:pPr>
      <w:r>
        <w:t>M06 command foundations precede live-command modules M10, M16, M20 and M28.</w:t>
      </w:r>
    </w:p>
    <w:p>
      <w:pPr>
        <w:pStyle w:val="ListBullet"/>
        <w:spacing w:after="60"/>
        <w:ind w:left="547" w:hanging="274"/>
      </w:pPr>
      <w:r>
        <w:t>M07 precedes M13 and M18; M14 precedes M19; M23 precedes M29.</w:t>
      </w:r>
    </w:p>
    <w:p>
      <w:pPr>
        <w:pStyle w:val="ListBullet"/>
        <w:spacing w:after="60"/>
        <w:ind w:left="547" w:hanging="274"/>
      </w:pPr>
      <w:r>
        <w:t>M30 is taken only after the learner completes the mandatory scope of the assigned pathway.</w:t>
      </w:r>
    </w:p>
    <w:p>
      <w:r>
        <w:br w:type="page"/>
      </w:r>
    </w:p>
    <w:p>
      <w:pPr>
        <w:pStyle w:val="Heading1"/>
      </w:pPr>
      <w:r>
        <w:t>10. Role-specific pathway definitions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2380"/>
        <w:gridCol w:w="1880"/>
      </w:tblGrid>
      <w:tr>
        <w:tc>
          <w:tcPr>
            <w:tcW w:type="dxa" w:w="18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33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Sequence</w:t>
            </w:r>
          </w:p>
        </w:tc>
        <w:tc>
          <w:tcPr>
            <w:tcW w:type="dxa" w:w="238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scope</w:t>
            </w:r>
          </w:p>
        </w:tc>
        <w:tc>
          <w:tcPr>
            <w:tcW w:type="dxa" w:w="188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Renewal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 - L5</w:t>
            </w:r>
          </w:p>
        </w:tc>
        <w:tc>
          <w:tcPr>
            <w:tcW w:type="dxa" w:w="3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P1 foundations -&gt; all domains -&gt; reserved-authority cases -&gt; M30 capstone board</w:t>
            </w:r>
          </w:p>
        </w:tc>
        <w:tc>
          <w:tcPr>
            <w:tcW w:type="dxa" w:w="23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M01-M30</w:t>
            </w:r>
          </w:p>
        </w:tc>
        <w:tc>
          <w:tcPr>
            <w:tcW w:type="dxa" w:w="18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Annual; six-month cycle where CEO performs a designated high-risk operational role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Director - L4</w:t>
            </w:r>
          </w:p>
        </w:tc>
        <w:tc>
          <w:tcPr>
            <w:tcW w:type="dxa" w:w="3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P1 -&gt; protocol/VIP/service -&gt; command/risk -&gt; people/vendor -&gt; architecture/intelligence -&gt; M30</w:t>
            </w:r>
          </w:p>
        </w:tc>
        <w:tc>
          <w:tcPr>
            <w:tcW w:type="dxa" w:w="23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M01-M30</w:t>
            </w:r>
          </w:p>
        </w:tc>
        <w:tc>
          <w:tcPr>
            <w:tcW w:type="dxa" w:w="18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Annual plus every-event readiness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Department Lead - L3</w:t>
            </w:r>
          </w:p>
        </w:tc>
        <w:tc>
          <w:tcPr>
            <w:tcW w:type="dxa" w:w="3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P1 -&gt; own-domain M modules -&gt; command/risk/privacy -&gt; cross-domain optional study -&gt; M30</w:t>
            </w:r>
          </w:p>
        </w:tc>
        <w:tc>
          <w:tcPr>
            <w:tcW w:type="dxa" w:w="23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matrix controls specialisation</w:t>
            </w:r>
          </w:p>
        </w:tc>
        <w:tc>
          <w:tcPr>
            <w:tcW w:type="dxa" w:w="18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Annual; safety/security lead six months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Team Lead - L2</w:t>
            </w:r>
          </w:p>
        </w:tc>
        <w:tc>
          <w:tcPr>
            <w:tcW w:type="dxa" w:w="3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P1 -&gt; practitioner core -&gt; supervision, handover and recovery -&gt; event practical -&gt; M30</w:t>
            </w:r>
          </w:p>
        </w:tc>
        <w:tc>
          <w:tcPr>
            <w:tcW w:type="dxa" w:w="23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Team-lead matrix</w:t>
            </w:r>
          </w:p>
        </w:tc>
        <w:tc>
          <w:tcPr>
            <w:tcW w:type="dxa" w:w="18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Annual; check-in/access or other high-risk designation may be six months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Frontline Practitioner - L1</w:t>
            </w:r>
          </w:p>
        </w:tc>
        <w:tc>
          <w:tcPr>
            <w:tcW w:type="dxa" w:w="3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P1 -&gt; role core -&gt; supervised simulation -&gt; event briefing/practical -&gt; M30</w:t>
            </w:r>
          </w:p>
        </w:tc>
        <w:tc>
          <w:tcPr>
            <w:tcW w:type="dxa" w:w="23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Frontline matrix</w:t>
            </w:r>
          </w:p>
        </w:tc>
        <w:tc>
          <w:tcPr>
            <w:tcW w:type="dxa" w:w="18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Annual unless high-risk policy shortens it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Vendor / Temporary - L0</w:t>
            </w:r>
          </w:p>
        </w:tc>
        <w:tc>
          <w:tcPr>
            <w:tcW w:type="dxa" w:w="3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Identity/contract -&gt; M01/M09/M23/M29 -&gt; safety and duty modules -&gt; event acknowledgement</w:t>
            </w:r>
          </w:p>
        </w:tc>
        <w:tc>
          <w:tcPr>
            <w:tcW w:type="dxa" w:w="23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Only contracted and approved scope</w:t>
            </w:r>
          </w:p>
        </w:tc>
        <w:tc>
          <w:tcPr>
            <w:tcW w:type="dxa" w:w="18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Assignment-bound; expires no later than engagement/event end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Governor / Author / Assessor - A2</w:t>
            </w:r>
          </w:p>
        </w:tc>
        <w:tc>
          <w:tcPr>
            <w:tcW w:type="dxa" w:w="3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Governance foundations -&gt; assessment/content controls -&gt; privacy/security -&gt; supervised authoring/assessment</w:t>
            </w:r>
          </w:p>
        </w:tc>
        <w:tc>
          <w:tcPr>
            <w:tcW w:type="dxa" w:w="23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matrix; operational modules only by need</w:t>
            </w:r>
          </w:p>
        </w:tc>
        <w:tc>
          <w:tcPr>
            <w:tcW w:type="dxa" w:w="18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Annual; assessor calibration at least annually and after rubric change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Administrator - A1</w:t>
            </w:r>
          </w:p>
        </w:tc>
        <w:tc>
          <w:tcPr>
            <w:tcW w:type="dxa" w:w="3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Platform/records -&gt; privacy/security -&gt; enrolment and exception workflow</w:t>
            </w:r>
          </w:p>
        </w:tc>
        <w:tc>
          <w:tcPr>
            <w:tcW w:type="dxa" w:w="23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administration scope only</w:t>
            </w:r>
          </w:p>
        </w:tc>
        <w:tc>
          <w:tcPr>
            <w:tcW w:type="dxa" w:w="18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Annual; access reviewed more frequently under security policy</w:t>
            </w:r>
          </w:p>
        </w:tc>
      </w:tr>
    </w:tbl>
    <w:p>
      <w:r>
        <w:br w:type="page"/>
      </w:r>
    </w:p>
    <w:p>
      <w:pPr>
        <w:pStyle w:val="Heading1"/>
      </w:pPr>
      <w:r>
        <w:t>11. Specialisation packs for L3 department leads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50"/>
        <w:gridCol w:w="4310"/>
      </w:tblGrid>
      <w:tr>
        <w:tc>
          <w:tcPr>
            <w:tcW w:type="dxa" w:w="1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Lead pack</w:t>
            </w:r>
          </w:p>
        </w:tc>
        <w:tc>
          <w:tcPr>
            <w:tcW w:type="dxa" w:w="31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Concentration</w:t>
            </w:r>
          </w:p>
        </w:tc>
        <w:tc>
          <w:tcPr>
            <w:tcW w:type="dxa" w:w="43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applied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Guest Experience</w:t>
            </w:r>
          </w:p>
        </w:tc>
        <w:tc>
          <w:tcPr>
            <w:tcW w:type="dxa" w:w="3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M05, M14-M15, M19, M21-M22, M25-M26</w:t>
            </w:r>
          </w:p>
        </w:tc>
        <w:tc>
          <w:tcPr>
            <w:tcW w:type="dxa" w:w="4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Guest experience plan, concierge simulation, recovery and performance evidence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Protocol &amp; Culture</w:t>
            </w:r>
          </w:p>
        </w:tc>
        <w:tc>
          <w:tcPr>
            <w:tcW w:type="dxa" w:w="3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M03-M05, M08, M24, M26</w:t>
            </w:r>
          </w:p>
        </w:tc>
        <w:tc>
          <w:tcPr>
            <w:tcW w:type="dxa" w:w="4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Verified protocol brief, cultural context case and Protocol Huddle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Operations &amp; Command</w:t>
            </w:r>
          </w:p>
        </w:tc>
        <w:tc>
          <w:tcPr>
            <w:tcW w:type="dxa" w:w="3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M06, M08, M10-M12, M16-M17, M20-M21, M27-M28</w:t>
            </w:r>
          </w:p>
        </w:tc>
        <w:tc>
          <w:tcPr>
            <w:tcW w:type="dxa" w:w="4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Command simulation, dependency map, readiness and live intelligence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Vendor &amp; Production</w:t>
            </w:r>
          </w:p>
        </w:tc>
        <w:tc>
          <w:tcPr>
            <w:tcW w:type="dxa" w:w="3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M07, M11, M13, M17-M18, M21, M27</w:t>
            </w:r>
          </w:p>
        </w:tc>
        <w:tc>
          <w:tcPr>
            <w:tcW w:type="dxa" w:w="4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Due diligence, commercial authority, production gate and failure recovery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Safety &amp; Security</w:t>
            </w:r>
          </w:p>
        </w:tc>
        <w:tc>
          <w:tcPr>
            <w:tcW w:type="dxa" w:w="3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M05-M06, M10-M12, M16-M17, M20-M21, M23, M28-M29</w:t>
            </w:r>
          </w:p>
        </w:tc>
        <w:tc>
          <w:tcPr>
            <w:tcW w:type="dxa" w:w="4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Access zoning, crisis/safeguarding simulation and privacy evidence</w:t>
            </w:r>
          </w:p>
        </w:tc>
      </w:tr>
    </w:tbl>
    <w:p>
      <w:pPr>
        <w:pStyle w:val="Heading2"/>
      </w:pPr>
      <w:r>
        <w:t>11.1 Department lead common core</w:t>
      </w:r>
    </w:p>
    <w:p>
      <w:pPr>
        <w:spacing w:after="100"/>
      </w:pPr>
      <w:r>
        <w:rPr>
          <w:rFonts w:ascii="Arial" w:hAnsi="Arial"/>
          <w:b w:val="0"/>
        </w:rPr>
        <w:t>Every L3 lead completes M01, M02, M06, M09-M12, M14, M17, M19-M23, M27-M30 where marked mandatory in the matrix. Specialisation changes emphasis and evidence; it does not weaken shared command, privacy or readiness law.</w:t>
      </w:r>
    </w:p>
    <w:p>
      <w:r>
        <w:br w:type="page"/>
      </w:r>
    </w:p>
    <w:p>
      <w:pPr>
        <w:pStyle w:val="Heading1"/>
      </w:pPr>
      <w:r>
        <w:t>12. Event-specific learning overlay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140"/>
        <w:gridCol w:w="3220"/>
      </w:tblGrid>
      <w:tr>
        <w:tc>
          <w:tcPr>
            <w:tcW w:type="dxa" w:w="20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414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Academy action</w:t>
            </w:r>
          </w:p>
        </w:tc>
        <w:tc>
          <w:tcPr>
            <w:tcW w:type="dxa" w:w="32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Readiness effect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New event assignment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Compare role path, current certificates and Event Training Package</w:t>
            </w:r>
          </w:p>
        </w:tc>
        <w:tc>
          <w:tcPr>
            <w:tcW w:type="dxa" w:w="32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Assign only missing event requirements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Material package change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Calculate affected roles, competencies and learners</w:t>
            </w:r>
          </w:p>
        </w:tc>
        <w:tc>
          <w:tcPr>
            <w:tcW w:type="dxa" w:w="32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Affected readiness returns to Pending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reassignment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Run multi-role gap analysis</w:t>
            </w:r>
          </w:p>
        </w:tc>
        <w:tc>
          <w:tcPr>
            <w:tcW w:type="dxa" w:w="32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New role cannot become Ready until its gap closes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Sensitive event duty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Require approved restricted enrolment and scoped event access</w:t>
            </w:r>
          </w:p>
        </w:tc>
        <w:tc>
          <w:tcPr>
            <w:tcW w:type="dxa" w:w="32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Expiry tied to duty/event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Practical duty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Schedule observation or simulation with authorised assessor</w:t>
            </w:r>
          </w:p>
        </w:tc>
        <w:tc>
          <w:tcPr>
            <w:tcW w:type="dxa" w:w="32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completion from acknowledgement alone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Certificate expiry before event</w:t>
            </w:r>
          </w:p>
        </w:tc>
        <w:tc>
          <w:tcPr>
            <w:tcW w:type="dxa" w:w="41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Assign recertification before deployment deadline</w:t>
            </w:r>
          </w:p>
        </w:tc>
        <w:tc>
          <w:tcPr>
            <w:tcW w:type="dxa" w:w="32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Block controlled assignment when policy requires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unavailable</w:t>
            </w:r>
          </w:p>
        </w:tc>
        <w:tc>
          <w:tcPr>
            <w:tcW w:type="dxa" w:w="41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OS shows unavailable/stale state and follows fail policy</w:t>
            </w:r>
          </w:p>
        </w:tc>
        <w:tc>
          <w:tcPr>
            <w:tcW w:type="dxa" w:w="32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silent Ready result</w:t>
            </w:r>
          </w:p>
        </w:tc>
      </w:tr>
    </w:tbl>
    <w:p>
      <w:pPr>
        <w:pStyle w:val="Heading2"/>
      </w:pPr>
      <w:r>
        <w:t>12.1 Event overlay contents</w:t>
      </w:r>
    </w:p>
    <w:p>
      <w:pPr>
        <w:pStyle w:val="ListBullet"/>
        <w:spacing w:after="60"/>
        <w:ind w:left="547" w:hanging="274"/>
      </w:pPr>
      <w:r>
        <w:t>Event promise and objectives; role assignment and reporting line; approved standards; run-of-show excerpts; access and zone rules; relevant guest-safe information; risks and contingencies; escalation contacts; material-change summary; acknowledgements and practical requirements.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DATA MINIMISATION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The Academy receives training-relevant event facts, not the guest database. Guest roster, private preferences, facial images, biometric templates, unrestricted VIP files and credential secrets remain outside the default package.</w:t>
            </w:r>
          </w:p>
        </w:tc>
      </w:tr>
    </w:tbl>
    <w:p>
      <w:r>
        <w:br w:type="page"/>
      </w:r>
    </w:p>
    <w:p>
      <w:pPr>
        <w:pStyle w:val="Heading1"/>
      </w:pPr>
      <w:r>
        <w:t>13. Vertical, lateral and multi-role changes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350"/>
        <w:gridCol w:w="3540"/>
        <w:gridCol w:w="1820"/>
      </w:tblGrid>
      <w:tr>
        <w:tc>
          <w:tcPr>
            <w:tcW w:type="dxa" w:w="16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23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Reuse</w:t>
            </w:r>
          </w:p>
        </w:tc>
        <w:tc>
          <w:tcPr>
            <w:tcW w:type="dxa" w:w="354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New requirement</w:t>
            </w:r>
          </w:p>
        </w:tc>
        <w:tc>
          <w:tcPr>
            <w:tcW w:type="dxa" w:w="18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Approval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L1 -&gt; L2 in same function</w:t>
            </w:r>
          </w:p>
        </w:tc>
        <w:tc>
          <w:tcPr>
            <w:tcW w:type="dxa" w:w="23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shared competencies and event evidence</w:t>
            </w:r>
          </w:p>
        </w:tc>
        <w:tc>
          <w:tcPr>
            <w:tcW w:type="dxa" w:w="35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Supervision, handover, local recovery and authority-boundary practical</w:t>
            </w:r>
          </w:p>
        </w:tc>
        <w:tc>
          <w:tcPr>
            <w:tcW w:type="dxa" w:w="18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Department Lead; Academy evidence approval</w:t>
            </w:r>
          </w:p>
        </w:tc>
      </w:tr>
      <w:tr>
        <w:tc>
          <w:tcPr>
            <w:tcW w:type="dxa" w:w="1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L2 -&gt; L3</w:t>
            </w:r>
          </w:p>
        </w:tc>
        <w:tc>
          <w:tcPr>
            <w:tcW w:type="dxa" w:w="23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domain competence</w:t>
            </w:r>
          </w:p>
        </w:tc>
        <w:tc>
          <w:tcPr>
            <w:tcW w:type="dxa" w:w="35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Planning, readiness ownership, cross-domain command and judgement</w:t>
            </w:r>
          </w:p>
        </w:tc>
        <w:tc>
          <w:tcPr>
            <w:tcW w:type="dxa" w:w="18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Director / CEO under delegation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L3 -&gt; L4</w:t>
            </w:r>
          </w:p>
        </w:tc>
        <w:tc>
          <w:tcPr>
            <w:tcW w:type="dxa" w:w="23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valid operational competence</w:t>
            </w:r>
          </w:p>
        </w:tc>
        <w:tc>
          <w:tcPr>
            <w:tcW w:type="dxa" w:w="35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Whole-event integration, go/no-go, CEO boundary and capstone</w:t>
            </w:r>
          </w:p>
        </w:tc>
        <w:tc>
          <w:tcPr>
            <w:tcW w:type="dxa" w:w="18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</w:t>
            </w:r>
          </w:p>
        </w:tc>
      </w:tr>
      <w:tr>
        <w:tc>
          <w:tcPr>
            <w:tcW w:type="dxa" w:w="1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L4 -&gt; L5</w:t>
            </w:r>
          </w:p>
        </w:tc>
        <w:tc>
          <w:tcPr>
            <w:tcW w:type="dxa" w:w="23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Valid shared competence</w:t>
            </w:r>
          </w:p>
        </w:tc>
        <w:tc>
          <w:tcPr>
            <w:tcW w:type="dxa" w:w="35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Reserved authority, enterprise governance and CEO capstone board</w:t>
            </w:r>
          </w:p>
        </w:tc>
        <w:tc>
          <w:tcPr>
            <w:tcW w:type="dxa" w:w="18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 ratification / governance record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Lateral function move</w:t>
            </w:r>
          </w:p>
        </w:tc>
        <w:tc>
          <w:tcPr>
            <w:tcW w:type="dxa" w:w="23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Equivalent foundation, privacy and common service evidence</w:t>
            </w:r>
          </w:p>
        </w:tc>
        <w:tc>
          <w:tcPr>
            <w:tcW w:type="dxa" w:w="35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Only destination-domain gap</w:t>
            </w:r>
          </w:p>
        </w:tc>
        <w:tc>
          <w:tcPr>
            <w:tcW w:type="dxa" w:w="18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Receiving lead plus Academy</w:t>
            </w:r>
          </w:p>
        </w:tc>
      </w:tr>
      <w:tr>
        <w:tc>
          <w:tcPr>
            <w:tcW w:type="dxa" w:w="1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Temporary acting-up</w:t>
            </w:r>
          </w:p>
        </w:tc>
        <w:tc>
          <w:tcPr>
            <w:tcW w:type="dxa" w:w="23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Valid base competence</w:t>
            </w:r>
          </w:p>
        </w:tc>
        <w:tc>
          <w:tcPr>
            <w:tcW w:type="dxa" w:w="35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gap and time-bound practical</w:t>
            </w:r>
          </w:p>
        </w:tc>
        <w:tc>
          <w:tcPr>
            <w:tcW w:type="dxa" w:w="18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owner; explicit expiry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Multiple simultaneous roles</w:t>
            </w:r>
          </w:p>
        </w:tc>
        <w:tc>
          <w:tcPr>
            <w:tcW w:type="dxa" w:w="23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reusable where equivalent</w:t>
            </w:r>
          </w:p>
        </w:tc>
        <w:tc>
          <w:tcPr>
            <w:tcW w:type="dxa" w:w="35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non-equivalent mandatory item for each role</w:t>
            </w:r>
          </w:p>
        </w:tc>
        <w:tc>
          <w:tcPr>
            <w:tcW w:type="dxa" w:w="18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Director; CEO for reserved roles</w:t>
            </w:r>
          </w:p>
        </w:tc>
      </w:tr>
    </w:tbl>
    <w:p>
      <w:pPr>
        <w:pStyle w:val="Heading2"/>
      </w:pPr>
      <w:r>
        <w:t>13.1 Gap-analysis algorithm</w:t>
      </w:r>
    </w:p>
    <w:p>
      <w:pPr>
        <w:pStyle w:val="ListBullet"/>
        <w:spacing w:after="60"/>
        <w:ind w:left="547" w:hanging="274"/>
      </w:pPr>
      <w:r>
        <w:t>Resolve approved destination Role Profile version.</w:t>
      </w:r>
    </w:p>
    <w:p>
      <w:pPr>
        <w:pStyle w:val="ListBullet"/>
        <w:spacing w:after="60"/>
        <w:ind w:left="547" w:hanging="274"/>
      </w:pPr>
      <w:r>
        <w:t>List its mandatory competency and module requirements.</w:t>
      </w:r>
    </w:p>
    <w:p>
      <w:pPr>
        <w:pStyle w:val="ListBullet"/>
        <w:spacing w:after="60"/>
        <w:ind w:left="547" w:hanging="274"/>
      </w:pPr>
      <w:r>
        <w:t>Remove valid, unexpired and non-superseded equivalent evidence.</w:t>
      </w:r>
    </w:p>
    <w:p>
      <w:pPr>
        <w:pStyle w:val="ListBullet"/>
        <w:spacing w:after="60"/>
        <w:ind w:left="547" w:hanging="274"/>
      </w:pPr>
      <w:r>
        <w:t>Add requirements triggered by authority, risk, event or material change.</w:t>
      </w:r>
    </w:p>
    <w:p>
      <w:pPr>
        <w:pStyle w:val="ListBullet"/>
        <w:spacing w:after="60"/>
        <w:ind w:left="547" w:hanging="274"/>
      </w:pPr>
      <w:r>
        <w:t>Generate enrolments in prerequisite order.</w:t>
      </w:r>
    </w:p>
    <w:p>
      <w:pPr>
        <w:pStyle w:val="ListBullet"/>
        <w:spacing w:after="60"/>
        <w:ind w:left="547" w:hanging="274"/>
      </w:pPr>
      <w:r>
        <w:t>Keep destination readiness Pending until all controlled gates pass.</w:t>
      </w:r>
    </w:p>
    <w:p>
      <w:pPr>
        <w:pStyle w:val="ListBullet"/>
        <w:spacing w:after="60"/>
        <w:ind w:left="547" w:hanging="274"/>
      </w:pPr>
      <w:r>
        <w:t>Retain the audit record of reused, assigned, waived, expired and restricted items.</w:t>
      </w:r>
    </w:p>
    <w:p>
      <w:r>
        <w:br w:type="page"/>
      </w:r>
    </w:p>
    <w:p>
      <w:pPr>
        <w:pStyle w:val="Heading1"/>
      </w:pPr>
      <w:r>
        <w:t>14. Access, approval and exception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c>
          <w:tcPr>
            <w:tcW w:type="dxa" w:w="23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0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Default approver</w:t>
            </w:r>
          </w:p>
        </w:tc>
        <w:tc>
          <w:tcPr>
            <w:tcW w:type="dxa" w:w="40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Additional control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Assign mandatory role path</w:t>
            </w:r>
          </w:p>
        </w:tc>
        <w:tc>
          <w:tcPr>
            <w:tcW w:type="dxa" w:w="3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CEO or delegated Academy/people authority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assignment must already exist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Assign optional learning</w:t>
            </w:r>
          </w:p>
        </w:tc>
        <w:tc>
          <w:tcPr>
            <w:tcW w:type="dxa" w:w="3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Learner request, manager or Academy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operational authority effect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Release restricted learning</w:t>
            </w:r>
          </w:p>
        </w:tc>
        <w:tc>
          <w:tcPr>
            <w:tcW w:type="dxa" w:w="3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CEO or named delegated authority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Purpose, scope, expiry and revocation required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Waive mandatory item</w:t>
            </w:r>
          </w:p>
        </w:tc>
        <w:tc>
          <w:tcPr>
            <w:tcW w:type="dxa" w:w="3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Not permitted by ordinary manager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Only documented equivalence or CEO-ratified policy exception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Mark practical passed</w:t>
            </w:r>
          </w:p>
        </w:tc>
        <w:tc>
          <w:tcPr>
            <w:tcW w:type="dxa" w:w="3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Authorised assessor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Rubric, evidence and reasoned result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Issue certificate</w:t>
            </w:r>
          </w:p>
        </w:tc>
        <w:tc>
          <w:tcPr>
            <w:tcW w:type="dxa" w:w="3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Certification service under approved policy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Criticality, score, scope and validity checks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Grant event authority</w:t>
            </w:r>
          </w:p>
        </w:tc>
        <w:tc>
          <w:tcPr>
            <w:tcW w:type="dxa" w:w="3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OS-authorised operational owner</w:t>
            </w:r>
          </w:p>
        </w:tc>
        <w:tc>
          <w:tcPr>
            <w:tcW w:type="dxa" w:w="4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Never granted by Academy completion alone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View assessment answers</w:t>
            </w:r>
          </w:p>
        </w:tc>
        <w:tc>
          <w:tcPr>
            <w:tcW w:type="dxa" w:w="3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Restricted assessment role</w:t>
            </w:r>
          </w:p>
        </w:tc>
        <w:tc>
          <w:tcPr>
            <w:tcW w:type="dxa" w:w="4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line-manager default access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 SILENT WAIVER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Managers may change deadlines within policy but cannot silently remove a mandatory module, override a critical failure or turn restricted content into catalogue access.</w:t>
            </w:r>
          </w:p>
        </w:tc>
      </w:tr>
    </w:tbl>
    <w:p>
      <w:r>
        <w:br w:type="page"/>
      </w:r>
    </w:p>
    <w:p>
      <w:pPr>
        <w:pStyle w:val="Heading1"/>
      </w:pPr>
      <w:r>
        <w:t>15. System implementation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72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fields / behaviour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Profile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Stable code, level, responsibilities, authority class, version, status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Requirement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version, module/competency, M/O/R status, evidence type, validity, prerequisite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Learning Path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Ordered stages, equivalences, gates, due-date policy and owner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Restricted Grant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Learner, item, purpose, approver, scope, start, expiry, revocation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Change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From/to profiles, effective date, acting/permanent, approver and gap result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Equivalence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Source/target requirement, limits, approver and validity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 Overlay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Event/package version, affected roles, items, deadline and materiality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Pathway Snapshot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Immutable requirement set used for one enrolment/certificate decision</w:t>
            </w:r>
          </w:p>
        </w:tc>
      </w:tr>
    </w:tbl>
    <w:p>
      <w:pPr>
        <w:pStyle w:val="Heading2"/>
      </w:pPr>
      <w:r>
        <w:t>15.1 Frontend requirements</w:t>
      </w:r>
    </w:p>
    <w:p>
      <w:pPr>
        <w:pStyle w:val="ListBullet"/>
        <w:spacing w:after="60"/>
        <w:ind w:left="547" w:hanging="274"/>
      </w:pPr>
      <w:r>
        <w:t>CEO view: role catalogue, matrix diff, restricted approvals, expiring competence and pathway impact before publication.</w:t>
      </w:r>
    </w:p>
    <w:p>
      <w:pPr>
        <w:pStyle w:val="ListBullet"/>
        <w:spacing w:after="60"/>
        <w:ind w:left="547" w:hanging="274"/>
      </w:pPr>
      <w:r>
        <w:t>Manager view: team readiness by role, outstanding requirements, safe evidence summary and escalation actions.</w:t>
      </w:r>
    </w:p>
    <w:p>
      <w:pPr>
        <w:pStyle w:val="ListBullet"/>
        <w:spacing w:after="60"/>
        <w:ind w:left="547" w:hanging="274"/>
      </w:pPr>
      <w:r>
        <w:t>Learner view: only assigned mandatory, available optional and explicitly granted restricted items; clear reason and deadline.</w:t>
      </w:r>
    </w:p>
    <w:p>
      <w:pPr>
        <w:pStyle w:val="ListBullet"/>
        <w:spacing w:after="60"/>
        <w:ind w:left="547" w:hanging="274"/>
      </w:pPr>
      <w:r>
        <w:t>Role-change view: reused evidence, new gaps, prerequisites, estimated sequence and readiness consequence before approval.</w:t>
      </w:r>
    </w:p>
    <w:p>
      <w:pPr>
        <w:pStyle w:val="ListBullet"/>
        <w:spacing w:after="60"/>
        <w:ind w:left="547" w:hanging="274"/>
      </w:pPr>
      <w:r>
        <w:t>No screen implies that course completion equals deployment authority.</w:t>
      </w:r>
    </w:p>
    <w:p>
      <w:r>
        <w:br w:type="page"/>
      </w:r>
    </w:p>
    <w:p>
      <w:pPr>
        <w:pStyle w:val="Heading1"/>
      </w:pPr>
      <w:r>
        <w:t>16.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c>
          <w:tcPr>
            <w:tcW w:type="dxa" w:w="11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Acceptance condition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RP-01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Every active role has one versioned learning path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RP-02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Every M/O/R cell resolves to a valid module and role version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RP-03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Mandatory items auto-enrol and cannot be self-removed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RP-04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Optional items do not block readiness unless formally promoted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RP-05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Restricted content stays hidden without a current grant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RP-06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Restricted grant expiry removes access without deleting audit history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RP-07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Lateral move assigns only the proven gap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RP-08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Vertical move adds authority evidence and preserves valid equivalence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RP-09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Multi-role readiness evaluates every assigned role independently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RP-10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Material event change resets only affected readiness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RP-11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Certificate expiry before event prevents false Ready status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RP-12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Critical failure cannot be waived by manager or aggregate score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RP-13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completion never grants OS event authority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RP-14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Temporary pathway expires with assignment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RP-15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CEO can preview pathway impact before publishing a role-policy change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RP-16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Learner never sees restricted guest or assessment data through course access</w:t>
            </w:r>
          </w:p>
        </w:tc>
      </w:tr>
    </w:tbl>
    <w:p>
      <w:pPr>
        <w:pStyle w:val="Heading2"/>
      </w:pPr>
      <w:r>
        <w:t>16.1 Ratification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1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Document / version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Maison Doclar Academy Role and Learning-Path Matrix / v1.0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Decision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Approve / Approve with amendments / Return for revision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CEO signature / date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Effective from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</w:tbl>
    <w:p>
      <w:pPr>
        <w:spacing w:after="0"/>
        <w:jc w:val="center"/>
      </w:pPr>
      <w:r>
        <w:rPr>
          <w:rFonts w:ascii="Arial" w:hAnsi="Arial"/>
          <w:b/>
          <w:color w:val="667085"/>
          <w:sz w:val="17"/>
        </w:rPr>
        <w:t>End of controlled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t xml:space="preserve">Controlled document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085"/>
        <w:sz w:val="17"/>
      </w:rPr>
      <w:t>MAISON DOCLAR  /  ACADEMY ROLE &amp; LEARNING-PATH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4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9F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43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Academy Role and Learning-Path Matrix</dc:title>
  <dc:subject>Mandatory, optional and restricted training by role and seniority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