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80"/>
      </w:pPr>
      <w:r>
        <w:rPr>
          <w:rFonts w:ascii="Arial" w:hAnsi="Arial"/>
          <w:b/>
          <w:color w:val="B79F85"/>
          <w:sz w:val="22"/>
        </w:rPr>
        <w:t>MAISON DOCLAR</w:t>
      </w:r>
    </w:p>
    <w:p>
      <w:pPr>
        <w:spacing w:after="80"/>
      </w:pPr>
      <w:r>
        <w:rPr>
          <w:rFonts w:ascii="Arial" w:hAnsi="Arial"/>
          <w:b/>
          <w:color w:val="10243E"/>
          <w:sz w:val="32"/>
        </w:rPr>
        <w:t>Academy</w:t>
      </w:r>
    </w:p>
    <w:p>
      <w:pPr>
        <w:spacing w:after="200"/>
      </w:pPr>
      <w:r>
        <w:rPr>
          <w:rFonts w:ascii="Arial" w:hAnsi="Arial"/>
          <w:b/>
          <w:color w:val="10243E"/>
          <w:sz w:val="56"/>
        </w:rPr>
        <w:t>Curriculum Specification</w:t>
      </w:r>
    </w:p>
    <w:p>
      <w:pPr>
        <w:spacing w:after="560"/>
      </w:pPr>
      <w:r>
        <w:rPr>
          <w:rFonts w:ascii="Arial" w:hAnsi="Arial"/>
          <w:b w:val="0"/>
          <w:color w:val="667085"/>
          <w:sz w:val="26"/>
        </w:rPr>
        <w:t>Courses, modules, lessons, prerequisites, progression, event-specific training and refresher learning</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10" w:type="dxa"/>
              <w:bottom w:w="70" w:type="dxa"/>
              <w:end w:w="110" w:type="dxa"/>
            </w:tcMar>
          </w:tcPr>
          <w:p>
            <w:r>
              <w:rPr>
                <w:rFonts w:ascii="Arial" w:hAnsi="Arial"/>
                <w:b/>
                <w:color w:val="FFFFFF"/>
                <w:sz w:val="17"/>
              </w:rPr>
              <w:t>Document</w:t>
            </w:r>
          </w:p>
        </w:tc>
        <w:tc>
          <w:tcPr>
            <w:tcW w:type="dxa" w:w="7160"/>
            <w:shd w:fill="10243E"/>
            <w:tcMar>
              <w:top w:w="70" w:type="dxa"/>
              <w:start w:w="110" w:type="dxa"/>
              <w:bottom w:w="70" w:type="dxa"/>
              <w:end w:w="110" w:type="dxa"/>
            </w:tcMar>
          </w:tcPr>
          <w:p>
            <w:r>
              <w:rPr>
                <w:rFonts w:ascii="Arial" w:hAnsi="Arial"/>
                <w:b/>
                <w:color w:val="FFFFFF"/>
                <w:sz w:val="17"/>
              </w:rPr>
              <w:t>Control value</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Owner</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CEO / Academy Governance</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Version</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1.0</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Status</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Draft for ratification</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Controlling sources</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Academy Canonical Blueprint v1.0; 30-Module Competency Map v1.0; Role and Learning-Path Matrix v1.0</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Effect</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Authoritative curriculum structure and publication contract when ratified</w:t>
            </w:r>
          </w:p>
        </w:tc>
      </w:tr>
    </w:tbl>
    <w:p>
      <w:pPr>
        <w:spacing w:after="240"/>
      </w:pPr>
      <w:r>
        <w:rPr>
          <w:rFonts w:ascii="Arial" w:hAnsi="Arial"/>
          <w:b w:val="0"/>
        </w:rPr>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CURRICULUM LAW</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The 30 knowledge modules are preserved as traceable source modules inside 12 coherent courses. Shared competence is taught once, reused across roles and reassessed only when required by criticality, expiry or material change.</w:t>
            </w:r>
          </w:p>
        </w:tc>
      </w:tr>
    </w:tbl>
    <w:p>
      <w:r>
        <w:br w:type="page"/>
      </w:r>
    </w:p>
    <w:p>
      <w:pPr>
        <w:pStyle w:val="Heading1"/>
      </w:pPr>
      <w:r>
        <w:t>1. Purpose, scope and boundaries</w:t>
      </w:r>
    </w:p>
    <w:p>
      <w:pPr>
        <w:spacing w:after="100"/>
      </w:pPr>
      <w:r>
        <w:rPr>
          <w:rFonts w:ascii="Arial" w:hAnsi="Arial"/>
          <w:b w:val="0"/>
        </w:rPr>
        <w:t>This specification defines the Academy content hierarchy and the rules by which a learner progresses from durable doctrine to role competence and event readiness. It governs curriculum design; it does not replace the role matrix, question-bank specification or OS operational authority.</w:t>
      </w:r>
    </w:p>
    <w:p>
      <w:pPr>
        <w:pStyle w:val="Heading2"/>
      </w:pPr>
      <w:r>
        <w:t>1.1 Content hierarchy</w:t>
      </w:r>
    </w:p>
    <w:tbl>
      <w:tblPr>
        <w:tblStyle w:val="TableGrid"/>
        <w:tblW w:type="dxa" w:w="9360"/>
        <w:jc w:val="left"/>
        <w:tblLayout w:type="fixed"/>
        <w:tblLook w:firstColumn="1" w:firstRow="1" w:lastColumn="0" w:lastRow="0" w:noHBand="0" w:noVBand="1" w:val="04A0"/>
        <w:tblInd w:w="120" w:type="dxa"/>
      </w:tblPr>
      <w:tblGrid>
        <w:gridCol w:w="1300"/>
        <w:gridCol w:w="1500"/>
        <w:gridCol w:w="3890"/>
        <w:gridCol w:w="2670"/>
      </w:tblGrid>
      <w:tr>
        <w:tc>
          <w:tcPr>
            <w:tcW w:type="dxa" w:w="1300"/>
            <w:shd w:fill="10243E"/>
            <w:tcMar>
              <w:top w:w="70" w:type="dxa"/>
              <w:start w:w="110" w:type="dxa"/>
              <w:bottom w:w="70" w:type="dxa"/>
              <w:end w:w="110" w:type="dxa"/>
            </w:tcMar>
          </w:tcPr>
          <w:p>
            <w:r>
              <w:rPr>
                <w:rFonts w:ascii="Arial" w:hAnsi="Arial"/>
                <w:b/>
                <w:color w:val="FFFFFF"/>
                <w:sz w:val="17"/>
              </w:rPr>
              <w:t>Level</w:t>
            </w:r>
          </w:p>
        </w:tc>
        <w:tc>
          <w:tcPr>
            <w:tcW w:type="dxa" w:w="1500"/>
            <w:shd w:fill="10243E"/>
            <w:tcMar>
              <w:top w:w="70" w:type="dxa"/>
              <w:start w:w="110" w:type="dxa"/>
              <w:bottom w:w="70" w:type="dxa"/>
              <w:end w:w="110" w:type="dxa"/>
            </w:tcMar>
          </w:tcPr>
          <w:p>
            <w:r>
              <w:rPr>
                <w:rFonts w:ascii="Arial" w:hAnsi="Arial"/>
                <w:b/>
                <w:color w:val="FFFFFF"/>
                <w:sz w:val="17"/>
              </w:rPr>
              <w:t>Stable ID</w:t>
            </w:r>
          </w:p>
        </w:tc>
        <w:tc>
          <w:tcPr>
            <w:tcW w:type="dxa" w:w="3890"/>
            <w:shd w:fill="10243E"/>
            <w:tcMar>
              <w:top w:w="70" w:type="dxa"/>
              <w:start w:w="110" w:type="dxa"/>
              <w:bottom w:w="70" w:type="dxa"/>
              <w:end w:w="110" w:type="dxa"/>
            </w:tcMar>
          </w:tcPr>
          <w:p>
            <w:r>
              <w:rPr>
                <w:rFonts w:ascii="Arial" w:hAnsi="Arial"/>
                <w:b/>
                <w:color w:val="FFFFFF"/>
                <w:sz w:val="17"/>
              </w:rPr>
              <w:t>Purpose</w:t>
            </w:r>
          </w:p>
        </w:tc>
        <w:tc>
          <w:tcPr>
            <w:tcW w:type="dxa" w:w="2670"/>
            <w:shd w:fill="10243E"/>
            <w:tcMar>
              <w:top w:w="70" w:type="dxa"/>
              <w:start w:w="110" w:type="dxa"/>
              <w:bottom w:w="70" w:type="dxa"/>
              <w:end w:w="110" w:type="dxa"/>
            </w:tcMar>
          </w:tcPr>
          <w:p>
            <w:r>
              <w:rPr>
                <w:rFonts w:ascii="Arial" w:hAnsi="Arial"/>
                <w:b/>
                <w:color w:val="FFFFFF"/>
                <w:sz w:val="17"/>
              </w:rPr>
              <w:t>Version rule</w:t>
            </w:r>
          </w:p>
        </w:tc>
      </w:tr>
      <w:tr>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7"/>
              </w:rPr>
              <w:t>Programme</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PRG-MD-01</w:t>
            </w:r>
          </w:p>
        </w:tc>
        <w:tc>
          <w:tcPr>
            <w:tcW w:type="dxa" w:w="3890"/>
            <w:shd w:fill="FFFFFF"/>
            <w:vAlign w:val="top"/>
            <w:tcMar>
              <w:top w:w="70" w:type="dxa"/>
              <w:start w:w="110" w:type="dxa"/>
              <w:bottom w:w="70" w:type="dxa"/>
              <w:end w:w="110" w:type="dxa"/>
            </w:tcMar>
          </w:tcPr>
          <w:p>
            <w:pPr>
              <w:spacing w:after="20" w:line="240" w:lineRule="auto"/>
            </w:pPr>
            <w:r>
              <w:rPr>
                <w:rFonts w:ascii="Arial" w:hAnsi="Arial"/>
                <w:color w:val="172033"/>
                <w:sz w:val="17"/>
              </w:rPr>
              <w:t>The complete Maison Doclar Academy</w:t>
            </w:r>
          </w:p>
        </w:tc>
        <w:tc>
          <w:tcPr>
            <w:tcW w:type="dxa" w:w="2670"/>
            <w:shd w:fill="FFFFFF"/>
            <w:vAlign w:val="top"/>
            <w:tcMar>
              <w:top w:w="70" w:type="dxa"/>
              <w:start w:w="110" w:type="dxa"/>
              <w:bottom w:w="70" w:type="dxa"/>
              <w:end w:w="110" w:type="dxa"/>
            </w:tcMar>
          </w:tcPr>
          <w:p>
            <w:pPr>
              <w:spacing w:after="20" w:line="240" w:lineRule="auto"/>
            </w:pPr>
            <w:r>
              <w:rPr>
                <w:rFonts w:ascii="Arial" w:hAnsi="Arial"/>
                <w:color w:val="172033"/>
                <w:sz w:val="17"/>
              </w:rPr>
              <w:t>Major governance version</w:t>
            </w:r>
          </w:p>
        </w:tc>
      </w:tr>
      <w:tr>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7"/>
              </w:rPr>
              <w:t>Course</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CRS-01 to CRS-12</w:t>
            </w:r>
          </w:p>
        </w:tc>
        <w:tc>
          <w:tcPr>
            <w:tcW w:type="dxa" w:w="3890"/>
            <w:shd w:fill="F6F7F9"/>
            <w:vAlign w:val="top"/>
            <w:tcMar>
              <w:top w:w="70" w:type="dxa"/>
              <w:start w:w="110" w:type="dxa"/>
              <w:bottom w:w="70" w:type="dxa"/>
              <w:end w:w="110" w:type="dxa"/>
            </w:tcMar>
          </w:tcPr>
          <w:p>
            <w:pPr>
              <w:spacing w:after="20" w:line="240" w:lineRule="auto"/>
            </w:pPr>
            <w:r>
              <w:rPr>
                <w:rFonts w:ascii="Arial" w:hAnsi="Arial"/>
                <w:color w:val="172033"/>
                <w:sz w:val="17"/>
              </w:rPr>
              <w:t>Coherent competency domain</w:t>
            </w:r>
          </w:p>
        </w:tc>
        <w:tc>
          <w:tcPr>
            <w:tcW w:type="dxa" w:w="2670"/>
            <w:shd w:fill="F6F7F9"/>
            <w:vAlign w:val="top"/>
            <w:tcMar>
              <w:top w:w="70" w:type="dxa"/>
              <w:start w:w="110" w:type="dxa"/>
              <w:bottom w:w="70" w:type="dxa"/>
              <w:end w:w="110" w:type="dxa"/>
            </w:tcMar>
          </w:tcPr>
          <w:p>
            <w:pPr>
              <w:spacing w:after="20" w:line="240" w:lineRule="auto"/>
            </w:pPr>
            <w:r>
              <w:rPr>
                <w:rFonts w:ascii="Arial" w:hAnsi="Arial"/>
                <w:color w:val="172033"/>
                <w:sz w:val="17"/>
              </w:rPr>
              <w:t>Independent semantic version</w:t>
            </w:r>
          </w:p>
        </w:tc>
      </w:tr>
      <w:tr>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M01 to M30</w:t>
            </w:r>
          </w:p>
        </w:tc>
        <w:tc>
          <w:tcPr>
            <w:tcW w:type="dxa" w:w="3890"/>
            <w:shd w:fill="FFFFFF"/>
            <w:vAlign w:val="top"/>
            <w:tcMar>
              <w:top w:w="70" w:type="dxa"/>
              <w:start w:w="110" w:type="dxa"/>
              <w:bottom w:w="70" w:type="dxa"/>
              <w:end w:w="110" w:type="dxa"/>
            </w:tcMar>
          </w:tcPr>
          <w:p>
            <w:pPr>
              <w:spacing w:after="20" w:line="240" w:lineRule="auto"/>
            </w:pPr>
            <w:r>
              <w:rPr>
                <w:rFonts w:ascii="Arial" w:hAnsi="Arial"/>
                <w:color w:val="172033"/>
                <w:sz w:val="17"/>
              </w:rPr>
              <w:t>Traceability to Intelligence Specification</w:t>
            </w:r>
          </w:p>
        </w:tc>
        <w:tc>
          <w:tcPr>
            <w:tcW w:type="dxa" w:w="2670"/>
            <w:shd w:fill="FFFFFF"/>
            <w:vAlign w:val="top"/>
            <w:tcMar>
              <w:top w:w="70" w:type="dxa"/>
              <w:start w:w="110" w:type="dxa"/>
              <w:bottom w:w="70" w:type="dxa"/>
              <w:end w:w="110" w:type="dxa"/>
            </w:tcMar>
          </w:tcPr>
          <w:p>
            <w:pPr>
              <w:spacing w:after="20" w:line="240" w:lineRule="auto"/>
            </w:pPr>
            <w:r>
              <w:rPr>
                <w:rFonts w:ascii="Arial" w:hAnsi="Arial"/>
                <w:color w:val="172033"/>
                <w:sz w:val="17"/>
              </w:rPr>
              <w:t>Immutable published version</w:t>
            </w:r>
          </w:p>
        </w:tc>
      </w:tr>
      <w:tr>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7"/>
              </w:rPr>
              <w:t>Lesson</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CRSxx-Mxx-Lxx</w:t>
            </w:r>
          </w:p>
        </w:tc>
        <w:tc>
          <w:tcPr>
            <w:tcW w:type="dxa" w:w="3890"/>
            <w:shd w:fill="F6F7F9"/>
            <w:vAlign w:val="top"/>
            <w:tcMar>
              <w:top w:w="70" w:type="dxa"/>
              <w:start w:w="110" w:type="dxa"/>
              <w:bottom w:w="70" w:type="dxa"/>
              <w:end w:w="110" w:type="dxa"/>
            </w:tcMar>
          </w:tcPr>
          <w:p>
            <w:pPr>
              <w:spacing w:after="20" w:line="240" w:lineRule="auto"/>
            </w:pPr>
            <w:r>
              <w:rPr>
                <w:rFonts w:ascii="Arial" w:hAnsi="Arial"/>
                <w:color w:val="172033"/>
                <w:sz w:val="17"/>
              </w:rPr>
              <w:t>One teachable objective and evidence unit</w:t>
            </w:r>
          </w:p>
        </w:tc>
        <w:tc>
          <w:tcPr>
            <w:tcW w:type="dxa" w:w="2670"/>
            <w:shd w:fill="F6F7F9"/>
            <w:vAlign w:val="top"/>
            <w:tcMar>
              <w:top w:w="70" w:type="dxa"/>
              <w:start w:w="110" w:type="dxa"/>
              <w:bottom w:w="70" w:type="dxa"/>
              <w:end w:w="110" w:type="dxa"/>
            </w:tcMar>
          </w:tcPr>
          <w:p>
            <w:pPr>
              <w:spacing w:after="20" w:line="240" w:lineRule="auto"/>
            </w:pPr>
            <w:r>
              <w:rPr>
                <w:rFonts w:ascii="Arial" w:hAnsi="Arial"/>
                <w:color w:val="172033"/>
                <w:sz w:val="17"/>
              </w:rPr>
              <w:t>Independent version within course</w:t>
            </w:r>
          </w:p>
        </w:tc>
      </w:tr>
      <w:tr>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7"/>
              </w:rPr>
              <w:t>Activity</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ACT-*</w:t>
            </w:r>
          </w:p>
        </w:tc>
        <w:tc>
          <w:tcPr>
            <w:tcW w:type="dxa" w:w="3890"/>
            <w:shd w:fill="FFFFFF"/>
            <w:vAlign w:val="top"/>
            <w:tcMar>
              <w:top w:w="70" w:type="dxa"/>
              <w:start w:w="110" w:type="dxa"/>
              <w:bottom w:w="70" w:type="dxa"/>
              <w:end w:w="110" w:type="dxa"/>
            </w:tcMar>
          </w:tcPr>
          <w:p>
            <w:pPr>
              <w:spacing w:after="20" w:line="240" w:lineRule="auto"/>
            </w:pPr>
            <w:r>
              <w:rPr>
                <w:rFonts w:ascii="Arial" w:hAnsi="Arial"/>
                <w:color w:val="172033"/>
                <w:sz w:val="17"/>
              </w:rPr>
              <w:t>Scenario, reflection, practice or evidence task</w:t>
            </w:r>
          </w:p>
        </w:tc>
        <w:tc>
          <w:tcPr>
            <w:tcW w:type="dxa" w:w="2670"/>
            <w:shd w:fill="FFFFFF"/>
            <w:vAlign w:val="top"/>
            <w:tcMar>
              <w:top w:w="70" w:type="dxa"/>
              <w:start w:w="110" w:type="dxa"/>
              <w:bottom w:w="70" w:type="dxa"/>
              <w:end w:w="110" w:type="dxa"/>
            </w:tcMar>
          </w:tcPr>
          <w:p>
            <w:pPr>
              <w:spacing w:after="20" w:line="240" w:lineRule="auto"/>
            </w:pPr>
            <w:r>
              <w:rPr>
                <w:rFonts w:ascii="Arial" w:hAnsi="Arial"/>
                <w:color w:val="172033"/>
                <w:sz w:val="17"/>
              </w:rPr>
              <w:t>Versioned where scored</w:t>
            </w:r>
          </w:p>
        </w:tc>
      </w:tr>
      <w:tr>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7"/>
              </w:rPr>
              <w:t>Assessment</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ASM-*</w:t>
            </w:r>
          </w:p>
        </w:tc>
        <w:tc>
          <w:tcPr>
            <w:tcW w:type="dxa" w:w="3890"/>
            <w:shd w:fill="F6F7F9"/>
            <w:vAlign w:val="top"/>
            <w:tcMar>
              <w:top w:w="70" w:type="dxa"/>
              <w:start w:w="110" w:type="dxa"/>
              <w:bottom w:w="70" w:type="dxa"/>
              <w:end w:w="110" w:type="dxa"/>
            </w:tcMar>
          </w:tcPr>
          <w:p>
            <w:pPr>
              <w:spacing w:after="20" w:line="240" w:lineRule="auto"/>
            </w:pPr>
            <w:r>
              <w:rPr>
                <w:rFonts w:ascii="Arial" w:hAnsi="Arial"/>
                <w:color w:val="172033"/>
                <w:sz w:val="17"/>
              </w:rPr>
              <w:t>Objective and practical measurement</w:t>
            </w:r>
          </w:p>
        </w:tc>
        <w:tc>
          <w:tcPr>
            <w:tcW w:type="dxa" w:w="2670"/>
            <w:shd w:fill="F6F7F9"/>
            <w:vAlign w:val="top"/>
            <w:tcMar>
              <w:top w:w="70" w:type="dxa"/>
              <w:start w:w="110" w:type="dxa"/>
              <w:bottom w:w="70" w:type="dxa"/>
              <w:end w:w="110" w:type="dxa"/>
            </w:tcMar>
          </w:tcPr>
          <w:p>
            <w:pPr>
              <w:spacing w:after="20" w:line="240" w:lineRule="auto"/>
            </w:pPr>
            <w:r>
              <w:rPr>
                <w:rFonts w:ascii="Arial" w:hAnsi="Arial"/>
                <w:color w:val="172033"/>
                <w:sz w:val="17"/>
              </w:rPr>
              <w:t>Immutable published form</w:t>
            </w:r>
          </w:p>
        </w:tc>
      </w:tr>
      <w:tr>
        <w:tc>
          <w:tcPr>
            <w:tcW w:type="dxa" w:w="1300"/>
            <w:shd w:fill="FFFFFF"/>
            <w:vAlign w:val="top"/>
            <w:tcMar>
              <w:top w:w="70" w:type="dxa"/>
              <w:start w:w="110" w:type="dxa"/>
              <w:bottom w:w="70" w:type="dxa"/>
              <w:end w:w="110" w:type="dxa"/>
            </w:tcMar>
          </w:tcPr>
          <w:p>
            <w:pPr>
              <w:spacing w:after="20" w:line="240" w:lineRule="auto"/>
            </w:pPr>
            <w:r>
              <w:rPr>
                <w:rFonts w:ascii="Arial" w:hAnsi="Arial"/>
                <w:color w:val="172033"/>
                <w:sz w:val="17"/>
              </w:rPr>
              <w:t>Event unit</w:t>
            </w:r>
          </w:p>
        </w:tc>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EVT-*</w:t>
            </w:r>
          </w:p>
        </w:tc>
        <w:tc>
          <w:tcPr>
            <w:tcW w:type="dxa" w:w="3890"/>
            <w:shd w:fill="FFFFFF"/>
            <w:vAlign w:val="top"/>
            <w:tcMar>
              <w:top w:w="70" w:type="dxa"/>
              <w:start w:w="110" w:type="dxa"/>
              <w:bottom w:w="70" w:type="dxa"/>
              <w:end w:w="110" w:type="dxa"/>
            </w:tcMar>
          </w:tcPr>
          <w:p>
            <w:pPr>
              <w:spacing w:after="20" w:line="240" w:lineRule="auto"/>
            </w:pPr>
            <w:r>
              <w:rPr>
                <w:rFonts w:ascii="Arial" w:hAnsi="Arial"/>
                <w:color w:val="172033"/>
                <w:sz w:val="17"/>
              </w:rPr>
              <w:t>Event-specific fact, briefing, acknowledgement or practical</w:t>
            </w:r>
          </w:p>
        </w:tc>
        <w:tc>
          <w:tcPr>
            <w:tcW w:type="dxa" w:w="2670"/>
            <w:shd w:fill="FFFFFF"/>
            <w:vAlign w:val="top"/>
            <w:tcMar>
              <w:top w:w="70" w:type="dxa"/>
              <w:start w:w="110" w:type="dxa"/>
              <w:bottom w:w="70" w:type="dxa"/>
              <w:end w:w="110" w:type="dxa"/>
            </w:tcMar>
          </w:tcPr>
          <w:p>
            <w:pPr>
              <w:spacing w:after="20" w:line="240" w:lineRule="auto"/>
            </w:pPr>
            <w:r>
              <w:rPr>
                <w:rFonts w:ascii="Arial" w:hAnsi="Arial"/>
                <w:color w:val="172033"/>
                <w:sz w:val="17"/>
              </w:rPr>
              <w:t>Bound to Event Training Package version</w:t>
            </w:r>
          </w:p>
        </w:tc>
      </w:tr>
      <w:tr>
        <w:tc>
          <w:tcPr>
            <w:tcW w:type="dxa" w:w="1300"/>
            <w:shd w:fill="F6F7F9"/>
            <w:vAlign w:val="top"/>
            <w:tcMar>
              <w:top w:w="70" w:type="dxa"/>
              <w:start w:w="110" w:type="dxa"/>
              <w:bottom w:w="70" w:type="dxa"/>
              <w:end w:w="110" w:type="dxa"/>
            </w:tcMar>
          </w:tcPr>
          <w:p>
            <w:pPr>
              <w:spacing w:after="20" w:line="240" w:lineRule="auto"/>
            </w:pPr>
            <w:r>
              <w:rPr>
                <w:rFonts w:ascii="Arial" w:hAnsi="Arial"/>
                <w:color w:val="172033"/>
                <w:sz w:val="17"/>
              </w:rPr>
              <w:t>Refresher</w:t>
            </w:r>
          </w:p>
        </w:tc>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REF-*</w:t>
            </w:r>
          </w:p>
        </w:tc>
        <w:tc>
          <w:tcPr>
            <w:tcW w:type="dxa" w:w="3890"/>
            <w:shd w:fill="F6F7F9"/>
            <w:vAlign w:val="top"/>
            <w:tcMar>
              <w:top w:w="70" w:type="dxa"/>
              <w:start w:w="110" w:type="dxa"/>
              <w:bottom w:w="70" w:type="dxa"/>
              <w:end w:w="110" w:type="dxa"/>
            </w:tcMar>
          </w:tcPr>
          <w:p>
            <w:pPr>
              <w:spacing w:after="20" w:line="240" w:lineRule="auto"/>
            </w:pPr>
            <w:r>
              <w:rPr>
                <w:rFonts w:ascii="Arial" w:hAnsi="Arial"/>
                <w:color w:val="172033"/>
                <w:sz w:val="17"/>
              </w:rPr>
              <w:t>Targeted renewal or material-change learning</w:t>
            </w:r>
          </w:p>
        </w:tc>
        <w:tc>
          <w:tcPr>
            <w:tcW w:type="dxa" w:w="2670"/>
            <w:shd w:fill="F6F7F9"/>
            <w:vAlign w:val="top"/>
            <w:tcMar>
              <w:top w:w="70" w:type="dxa"/>
              <w:start w:w="110" w:type="dxa"/>
              <w:bottom w:w="70" w:type="dxa"/>
              <w:end w:w="110" w:type="dxa"/>
            </w:tcMar>
          </w:tcPr>
          <w:p>
            <w:pPr>
              <w:spacing w:after="20" w:line="240" w:lineRule="auto"/>
            </w:pPr>
            <w:r>
              <w:rPr>
                <w:rFonts w:ascii="Arial" w:hAnsi="Arial"/>
                <w:color w:val="172033"/>
                <w:sz w:val="17"/>
              </w:rPr>
              <w:t>Bound to trigger and superseded content</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SEPARATION RULE</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A source module is not automatically a standalone course. A lesson may serve several role paths, but every publication retains source-module and competency traceability.</w:t>
            </w:r>
          </w:p>
        </w:tc>
      </w:tr>
    </w:tbl>
    <w:p>
      <w:r>
        <w:br w:type="page"/>
      </w:r>
    </w:p>
    <w:p>
      <w:pPr>
        <w:pStyle w:val="Heading1"/>
      </w:pPr>
      <w:r>
        <w:t>2. Course catalogue</w:t>
      </w:r>
    </w:p>
    <w:tbl>
      <w:tblPr>
        <w:tblStyle w:val="TableGrid"/>
        <w:tblW w:type="dxa" w:w="9360"/>
        <w:jc w:val="left"/>
        <w:tblLayout w:type="fixed"/>
        <w:tblLook w:firstColumn="1" w:firstRow="1" w:lastColumn="0" w:lastRow="0" w:noHBand="0" w:noVBand="1" w:val="04A0"/>
        <w:tblInd w:w="120" w:type="dxa"/>
      </w:tblPr>
      <w:tblGrid>
        <w:gridCol w:w="1100"/>
        <w:gridCol w:w="3880"/>
        <w:gridCol w:w="2050"/>
        <w:gridCol w:w="2330"/>
      </w:tblGrid>
      <w:tr>
        <w:tc>
          <w:tcPr>
            <w:tcW w:type="dxa" w:w="1100"/>
            <w:shd w:fill="10243E"/>
            <w:tcMar>
              <w:top w:w="70" w:type="dxa"/>
              <w:start w:w="110" w:type="dxa"/>
              <w:bottom w:w="70" w:type="dxa"/>
              <w:end w:w="110" w:type="dxa"/>
            </w:tcMar>
          </w:tcPr>
          <w:p>
            <w:r>
              <w:rPr>
                <w:rFonts w:ascii="Arial" w:hAnsi="Arial"/>
                <w:b/>
                <w:color w:val="FFFFFF"/>
                <w:sz w:val="17"/>
              </w:rPr>
              <w:t>ID</w:t>
            </w:r>
          </w:p>
        </w:tc>
        <w:tc>
          <w:tcPr>
            <w:tcW w:type="dxa" w:w="3880"/>
            <w:shd w:fill="10243E"/>
            <w:tcMar>
              <w:top w:w="70" w:type="dxa"/>
              <w:start w:w="110" w:type="dxa"/>
              <w:bottom w:w="70" w:type="dxa"/>
              <w:end w:w="110" w:type="dxa"/>
            </w:tcMar>
          </w:tcPr>
          <w:p>
            <w:r>
              <w:rPr>
                <w:rFonts w:ascii="Arial" w:hAnsi="Arial"/>
                <w:b/>
                <w:color w:val="FFFFFF"/>
                <w:sz w:val="17"/>
              </w:rPr>
              <w:t>Course</w:t>
            </w:r>
          </w:p>
        </w:tc>
        <w:tc>
          <w:tcPr>
            <w:tcW w:type="dxa" w:w="2050"/>
            <w:shd w:fill="10243E"/>
            <w:tcMar>
              <w:top w:w="70" w:type="dxa"/>
              <w:start w:w="110" w:type="dxa"/>
              <w:bottom w:w="70" w:type="dxa"/>
              <w:end w:w="110" w:type="dxa"/>
            </w:tcMar>
          </w:tcPr>
          <w:p>
            <w:r>
              <w:rPr>
                <w:rFonts w:ascii="Arial" w:hAnsi="Arial"/>
                <w:b/>
                <w:color w:val="FFFFFF"/>
                <w:sz w:val="17"/>
              </w:rPr>
              <w:t>Source modules</w:t>
            </w:r>
          </w:p>
        </w:tc>
        <w:tc>
          <w:tcPr>
            <w:tcW w:type="dxa" w:w="2330"/>
            <w:shd w:fill="10243E"/>
            <w:tcMar>
              <w:top w:w="70" w:type="dxa"/>
              <w:start w:w="110" w:type="dxa"/>
              <w:bottom w:w="70" w:type="dxa"/>
              <w:end w:w="110" w:type="dxa"/>
            </w:tcMar>
          </w:tcPr>
          <w:p>
            <w:r>
              <w:rPr>
                <w:rFonts w:ascii="Arial" w:hAnsi="Arial"/>
                <w:b/>
                <w:color w:val="FFFFFF"/>
                <w:sz w:val="17"/>
              </w:rPr>
              <w:t>Prerequisite</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6"/>
              </w:rPr>
              <w:t>CRS-01</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6"/>
              </w:rPr>
              <w:t>Maison Doclar Hospitality Foundations</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M01, M02</w:t>
            </w:r>
          </w:p>
        </w:tc>
        <w:tc>
          <w:tcPr>
            <w:tcW w:type="dxa" w:w="2330"/>
            <w:shd w:fill="FFFFFF"/>
            <w:vAlign w:val="top"/>
            <w:tcMar>
              <w:top w:w="70" w:type="dxa"/>
              <w:start w:w="110" w:type="dxa"/>
              <w:bottom w:w="70" w:type="dxa"/>
              <w:end w:w="110" w:type="dxa"/>
            </w:tcMar>
          </w:tcPr>
          <w:p>
            <w:pPr>
              <w:spacing w:after="20" w:line="240" w:lineRule="auto"/>
            </w:pPr>
            <w:r>
              <w:rPr>
                <w:rFonts w:ascii="Arial" w:hAnsi="Arial"/>
                <w:color w:val="172033"/>
                <w:sz w:val="16"/>
              </w:rPr>
              <w:t>-</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6"/>
              </w:rPr>
              <w:t>CRS-02</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6"/>
              </w:rPr>
              <w:t>Protocol, Culture &amp; Ceremony</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M03, M04, M08, M24</w:t>
            </w:r>
          </w:p>
        </w:tc>
        <w:tc>
          <w:tcPr>
            <w:tcW w:type="dxa" w:w="2330"/>
            <w:shd w:fill="F6F7F9"/>
            <w:vAlign w:val="top"/>
            <w:tcMar>
              <w:top w:w="70" w:type="dxa"/>
              <w:start w:w="110" w:type="dxa"/>
              <w:bottom w:w="70" w:type="dxa"/>
              <w:end w:w="110" w:type="dxa"/>
            </w:tcMar>
          </w:tcPr>
          <w:p>
            <w:pPr>
              <w:spacing w:after="20" w:line="240" w:lineRule="auto"/>
            </w:pPr>
            <w:r>
              <w:rPr>
                <w:rFonts w:ascii="Arial" w:hAnsi="Arial"/>
                <w:color w:val="172033"/>
                <w:sz w:val="16"/>
              </w:rPr>
              <w:t>CRS-01</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6"/>
              </w:rPr>
              <w:t>CRS-03</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6"/>
              </w:rPr>
              <w:t>VIP, Host &amp; Concierge Intelligence</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M05, M15, M26</w:t>
            </w:r>
          </w:p>
        </w:tc>
        <w:tc>
          <w:tcPr>
            <w:tcW w:type="dxa" w:w="2330"/>
            <w:shd w:fill="FFFFFF"/>
            <w:vAlign w:val="top"/>
            <w:tcMar>
              <w:top w:w="70" w:type="dxa"/>
              <w:start w:w="110" w:type="dxa"/>
              <w:bottom w:w="70" w:type="dxa"/>
              <w:end w:w="110" w:type="dxa"/>
            </w:tcMar>
          </w:tcPr>
          <w:p>
            <w:pPr>
              <w:spacing w:after="20" w:line="240" w:lineRule="auto"/>
            </w:pPr>
            <w:r>
              <w:rPr>
                <w:rFonts w:ascii="Arial" w:hAnsi="Arial"/>
                <w:color w:val="172033"/>
                <w:sz w:val="16"/>
              </w:rPr>
              <w:t>CRS-01, CRS-11</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6"/>
              </w:rPr>
              <w:t>CRS-04</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6"/>
              </w:rPr>
              <w:t>Command &amp; Live Intelligence</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M06, M10, M16, M20, M28</w:t>
            </w:r>
          </w:p>
        </w:tc>
        <w:tc>
          <w:tcPr>
            <w:tcW w:type="dxa" w:w="2330"/>
            <w:shd w:fill="F6F7F9"/>
            <w:vAlign w:val="top"/>
            <w:tcMar>
              <w:top w:w="70" w:type="dxa"/>
              <w:start w:w="110" w:type="dxa"/>
              <w:bottom w:w="70" w:type="dxa"/>
              <w:end w:w="110" w:type="dxa"/>
            </w:tcMar>
          </w:tcPr>
          <w:p>
            <w:pPr>
              <w:spacing w:after="20" w:line="240" w:lineRule="auto"/>
            </w:pPr>
            <w:r>
              <w:rPr>
                <w:rFonts w:ascii="Arial" w:hAnsi="Arial"/>
                <w:color w:val="172033"/>
                <w:sz w:val="16"/>
              </w:rPr>
              <w:t>CRS-01</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6"/>
              </w:rPr>
              <w:t>CRS-05</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6"/>
              </w:rPr>
              <w:t>Supplier &amp; Production Assurance</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M07, M13, M18</w:t>
            </w:r>
          </w:p>
        </w:tc>
        <w:tc>
          <w:tcPr>
            <w:tcW w:type="dxa" w:w="2330"/>
            <w:shd w:fill="FFFFFF"/>
            <w:vAlign w:val="top"/>
            <w:tcMar>
              <w:top w:w="70" w:type="dxa"/>
              <w:start w:w="110" w:type="dxa"/>
              <w:bottom w:w="70" w:type="dxa"/>
              <w:end w:w="110" w:type="dxa"/>
            </w:tcMar>
          </w:tcPr>
          <w:p>
            <w:pPr>
              <w:spacing w:after="20" w:line="240" w:lineRule="auto"/>
            </w:pPr>
            <w:r>
              <w:rPr>
                <w:rFonts w:ascii="Arial" w:hAnsi="Arial"/>
                <w:color w:val="172033"/>
                <w:sz w:val="16"/>
              </w:rPr>
              <w:t>CRS-04</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6"/>
              </w:rPr>
              <w:t>CRS-06</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6"/>
              </w:rPr>
              <w:t>White-Glove Service &amp; Recovery</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M09, M22, M25</w:t>
            </w:r>
          </w:p>
        </w:tc>
        <w:tc>
          <w:tcPr>
            <w:tcW w:type="dxa" w:w="2330"/>
            <w:shd w:fill="F6F7F9"/>
            <w:vAlign w:val="top"/>
            <w:tcMar>
              <w:top w:w="70" w:type="dxa"/>
              <w:start w:w="110" w:type="dxa"/>
              <w:bottom w:w="70" w:type="dxa"/>
              <w:end w:w="110" w:type="dxa"/>
            </w:tcMar>
          </w:tcPr>
          <w:p>
            <w:pPr>
              <w:spacing w:after="20" w:line="240" w:lineRule="auto"/>
            </w:pPr>
            <w:r>
              <w:rPr>
                <w:rFonts w:ascii="Arial" w:hAnsi="Arial"/>
                <w:color w:val="172033"/>
                <w:sz w:val="16"/>
              </w:rPr>
              <w:t>CRS-01, CRS-11</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6"/>
              </w:rPr>
              <w:t>CRS-07</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6"/>
              </w:rPr>
              <w:t>Risk, Safety &amp; Security</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M11, M17</w:t>
            </w:r>
          </w:p>
        </w:tc>
        <w:tc>
          <w:tcPr>
            <w:tcW w:type="dxa" w:w="2330"/>
            <w:shd w:fill="FFFFFF"/>
            <w:vAlign w:val="top"/>
            <w:tcMar>
              <w:top w:w="70" w:type="dxa"/>
              <w:start w:w="110" w:type="dxa"/>
              <w:bottom w:w="70" w:type="dxa"/>
              <w:end w:w="110" w:type="dxa"/>
            </w:tcMar>
          </w:tcPr>
          <w:p>
            <w:pPr>
              <w:spacing w:after="20" w:line="240" w:lineRule="auto"/>
            </w:pPr>
            <w:r>
              <w:rPr>
                <w:rFonts w:ascii="Arial" w:hAnsi="Arial"/>
                <w:color w:val="172033"/>
                <w:sz w:val="16"/>
              </w:rPr>
              <w:t>CRS-04, CRS-11</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6"/>
              </w:rPr>
              <w:t>CRS-08</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6"/>
              </w:rPr>
              <w:t>Event Operating Architecture</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M12, M27</w:t>
            </w:r>
          </w:p>
        </w:tc>
        <w:tc>
          <w:tcPr>
            <w:tcW w:type="dxa" w:w="2330"/>
            <w:shd w:fill="F6F7F9"/>
            <w:vAlign w:val="top"/>
            <w:tcMar>
              <w:top w:w="70" w:type="dxa"/>
              <w:start w:w="110" w:type="dxa"/>
              <w:bottom w:w="70" w:type="dxa"/>
              <w:end w:w="110" w:type="dxa"/>
            </w:tcMar>
          </w:tcPr>
          <w:p>
            <w:pPr>
              <w:spacing w:after="20" w:line="240" w:lineRule="auto"/>
            </w:pPr>
            <w:r>
              <w:rPr>
                <w:rFonts w:ascii="Arial" w:hAnsi="Arial"/>
                <w:color w:val="172033"/>
                <w:sz w:val="16"/>
              </w:rPr>
              <w:t>CRS-02, CRS-04, CRS-05, CRS-06, CRS-07</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6"/>
              </w:rPr>
              <w:t>CRS-09</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6"/>
              </w:rPr>
              <w:t>People &amp; Service Culture</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M14, M19</w:t>
            </w:r>
          </w:p>
        </w:tc>
        <w:tc>
          <w:tcPr>
            <w:tcW w:type="dxa" w:w="2330"/>
            <w:shd w:fill="FFFFFF"/>
            <w:vAlign w:val="top"/>
            <w:tcMar>
              <w:top w:w="70" w:type="dxa"/>
              <w:start w:w="110" w:type="dxa"/>
              <w:bottom w:w="70" w:type="dxa"/>
              <w:end w:w="110" w:type="dxa"/>
            </w:tcMar>
          </w:tcPr>
          <w:p>
            <w:pPr>
              <w:spacing w:after="20" w:line="240" w:lineRule="auto"/>
            </w:pPr>
            <w:r>
              <w:rPr>
                <w:rFonts w:ascii="Arial" w:hAnsi="Arial"/>
                <w:color w:val="172033"/>
                <w:sz w:val="16"/>
              </w:rPr>
              <w:t>CRS-01, CRS-06</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6"/>
              </w:rPr>
              <w:t>CRS-10</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6"/>
              </w:rPr>
              <w:t>Event-Day Execution</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M21</w:t>
            </w:r>
          </w:p>
        </w:tc>
        <w:tc>
          <w:tcPr>
            <w:tcW w:type="dxa" w:w="2330"/>
            <w:shd w:fill="F6F7F9"/>
            <w:vAlign w:val="top"/>
            <w:tcMar>
              <w:top w:w="70" w:type="dxa"/>
              <w:start w:w="110" w:type="dxa"/>
              <w:bottom w:w="70" w:type="dxa"/>
              <w:end w:w="110" w:type="dxa"/>
            </w:tcMar>
          </w:tcPr>
          <w:p>
            <w:pPr>
              <w:spacing w:after="20" w:line="240" w:lineRule="auto"/>
            </w:pPr>
            <w:r>
              <w:rPr>
                <w:rFonts w:ascii="Arial" w:hAnsi="Arial"/>
                <w:color w:val="172033"/>
                <w:sz w:val="16"/>
              </w:rPr>
              <w:t>CRS-04, CRS-06, CRS-07, CRS-08, CRS-09</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6"/>
              </w:rPr>
              <w:t>CRS-11</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6"/>
              </w:rPr>
              <w:t>Discretion, Privacy &amp; Confidentiality</w:t>
            </w:r>
          </w:p>
        </w:tc>
        <w:tc>
          <w:tcPr>
            <w:tcW w:type="dxa" w:w="2050"/>
            <w:shd w:fill="FFFFFF"/>
            <w:vAlign w:val="top"/>
            <w:tcMar>
              <w:top w:w="70" w:type="dxa"/>
              <w:start w:w="110" w:type="dxa"/>
              <w:bottom w:w="70" w:type="dxa"/>
              <w:end w:w="110" w:type="dxa"/>
            </w:tcMar>
          </w:tcPr>
          <w:p>
            <w:pPr>
              <w:spacing w:after="20" w:line="240" w:lineRule="auto"/>
            </w:pPr>
            <w:r>
              <w:rPr>
                <w:rFonts w:ascii="Arial" w:hAnsi="Arial"/>
                <w:color w:val="172033"/>
                <w:sz w:val="16"/>
              </w:rPr>
              <w:t>M23, M29</w:t>
            </w:r>
          </w:p>
        </w:tc>
        <w:tc>
          <w:tcPr>
            <w:tcW w:type="dxa" w:w="2330"/>
            <w:shd w:fill="FFFFFF"/>
            <w:vAlign w:val="top"/>
            <w:tcMar>
              <w:top w:w="70" w:type="dxa"/>
              <w:start w:w="110" w:type="dxa"/>
              <w:bottom w:w="70" w:type="dxa"/>
              <w:end w:w="110" w:type="dxa"/>
            </w:tcMar>
          </w:tcPr>
          <w:p>
            <w:pPr>
              <w:spacing w:after="20" w:line="240" w:lineRule="auto"/>
            </w:pPr>
            <w:r>
              <w:rPr>
                <w:rFonts w:ascii="Arial" w:hAnsi="Arial"/>
                <w:color w:val="172033"/>
                <w:sz w:val="16"/>
              </w:rPr>
              <w:t>-</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6"/>
              </w:rPr>
              <w:t>CRS-12</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6"/>
              </w:rPr>
              <w:t>The Maison Doclar Standard - Capstone</w:t>
            </w:r>
          </w:p>
        </w:tc>
        <w:tc>
          <w:tcPr>
            <w:tcW w:type="dxa" w:w="2050"/>
            <w:shd w:fill="F6F7F9"/>
            <w:vAlign w:val="top"/>
            <w:tcMar>
              <w:top w:w="70" w:type="dxa"/>
              <w:start w:w="110" w:type="dxa"/>
              <w:bottom w:w="70" w:type="dxa"/>
              <w:end w:w="110" w:type="dxa"/>
            </w:tcMar>
          </w:tcPr>
          <w:p>
            <w:pPr>
              <w:spacing w:after="20" w:line="240" w:lineRule="auto"/>
            </w:pPr>
            <w:r>
              <w:rPr>
                <w:rFonts w:ascii="Arial" w:hAnsi="Arial"/>
                <w:color w:val="172033"/>
                <w:sz w:val="16"/>
              </w:rPr>
              <w:t>M30</w:t>
            </w:r>
          </w:p>
        </w:tc>
        <w:tc>
          <w:tcPr>
            <w:tcW w:type="dxa" w:w="2330"/>
            <w:shd w:fill="F6F7F9"/>
            <w:vAlign w:val="top"/>
            <w:tcMar>
              <w:top w:w="70" w:type="dxa"/>
              <w:start w:w="110" w:type="dxa"/>
              <w:bottom w:w="70" w:type="dxa"/>
              <w:end w:w="110" w:type="dxa"/>
            </w:tcMar>
          </w:tcPr>
          <w:p>
            <w:pPr>
              <w:spacing w:after="20" w:line="240" w:lineRule="auto"/>
            </w:pPr>
            <w:r>
              <w:rPr>
                <w:rFonts w:ascii="Arial" w:hAnsi="Arial"/>
                <w:color w:val="172033"/>
                <w:sz w:val="16"/>
              </w:rPr>
              <w:t>Assigned mandatory pathway</w:t>
            </w:r>
          </w:p>
        </w:tc>
      </w:tr>
    </w:tbl>
    <w:p>
      <w:pPr>
        <w:pStyle w:val="Heading2"/>
      </w:pPr>
      <w:r>
        <w:t>2.1 Course completion meaning</w:t>
      </w:r>
    </w:p>
    <w:p>
      <w:pPr>
        <w:pStyle w:val="ListBullet"/>
        <w:spacing w:after="60"/>
        <w:ind w:left="547" w:hanging="274"/>
      </w:pPr>
      <w:r>
        <w:t>Course completion means every mandatory lesson and course assessment is complete.</w:t>
      </w:r>
    </w:p>
    <w:p>
      <w:pPr>
        <w:pStyle w:val="ListBullet"/>
        <w:spacing w:after="60"/>
        <w:ind w:left="547" w:hanging="274"/>
      </w:pPr>
      <w:r>
        <w:t>Course completion is not certification unless the role assessment blueprint says so.</w:t>
      </w:r>
    </w:p>
    <w:p>
      <w:pPr>
        <w:pStyle w:val="ListBullet"/>
        <w:spacing w:after="60"/>
        <w:ind w:left="547" w:hanging="274"/>
      </w:pPr>
      <w:r>
        <w:t>Optional lessons may be completed without changing operational authority.</w:t>
      </w:r>
    </w:p>
    <w:p>
      <w:pPr>
        <w:pStyle w:val="ListBullet"/>
        <w:spacing w:after="60"/>
        <w:ind w:left="547" w:hanging="274"/>
      </w:pPr>
      <w:r>
        <w:t>Restricted course or lesson visibility follows the Role and Learning-Path Matrix.</w:t>
      </w:r>
    </w:p>
    <w:p>
      <w:pPr>
        <w:pStyle w:val="ListBullet"/>
        <w:spacing w:after="60"/>
        <w:ind w:left="547" w:hanging="274"/>
      </w:pPr>
      <w:r>
        <w:t>A superseded course remains in audit history but cannot support a new certificate unless an approved equivalence exists.</w:t>
      </w:r>
    </w:p>
    <w:p>
      <w:r>
        <w:br w:type="page"/>
      </w:r>
    </w:p>
    <w:p>
      <w:pPr>
        <w:spacing w:after="40"/>
      </w:pPr>
      <w:r>
        <w:rPr>
          <w:rFonts w:ascii="Arial" w:hAnsi="Arial"/>
          <w:b/>
          <w:color w:val="B79F85"/>
          <w:sz w:val="20"/>
        </w:rPr>
        <w:t>CRS-01</w:t>
      </w:r>
    </w:p>
    <w:p>
      <w:pPr>
        <w:pStyle w:val="Heading1"/>
      </w:pPr>
      <w:r>
        <w:t>Maison Doclar Hospitality Foundations</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M01, M02</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Establish the promise, journey language, anticipation and friction discipline.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Guest-journey design and observed service simulation</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M01</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White-Glove Hospitality</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The Maison Doclar Promise -&gt; L02 Anticipation and the Five Experience Layers -&gt; L03 Friction, Dignity and the Never-Ask Test -&gt; L04 White-Glove Service Simulation</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M02</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The Guest Journey</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Journey Stages and Touchpoints -&gt; L02 Emotional Choreography and Ownership -&gt; L03 Transitions, Handoffs and Recovery -&gt; L04 Guest Journey Design Studio</w:t>
            </w:r>
          </w:p>
        </w:tc>
      </w:tr>
    </w:tbl>
    <w:p>
      <w:r>
        <w:br w:type="page"/>
      </w:r>
    </w:p>
    <w:p>
      <w:pPr>
        <w:spacing w:after="40"/>
      </w:pPr>
      <w:r>
        <w:rPr>
          <w:rFonts w:ascii="Arial" w:hAnsi="Arial"/>
          <w:b/>
          <w:color w:val="B79F85"/>
          <w:sz w:val="20"/>
        </w:rPr>
        <w:t>CRS-02</w:t>
      </w:r>
    </w:p>
    <w:p>
      <w:pPr>
        <w:pStyle w:val="Heading1"/>
      </w:pPr>
      <w:r>
        <w:t>Protocol, Culture &amp; Ceremony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M03, M04, M08, M24</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CRS-01</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Apply verified Nigerian and global protocol, culture, ceremony and diplomatic judgement.</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Protocol brief, ceremony control and Protocol Huddle</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M03</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Nigerian Protocol &amp; Precedence</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Authority, Precedence and Verification -&gt; L02 Titles, Receiving, Seating and Speaking -&gt; L03 Protocol Conflict and Escalation -&gt; L04 Protocol Brief and Huddle Practical</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M04</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Nigerian Cultural &amp; Ceremonial Intelligence</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Culture as Meaning -&gt; L02 Family, Community and Ceremonial Objects -&gt; L03 Faith, Interfaith and Cultural Bridging -&gt; L04 Context-Pack and Briefing Practical</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M08</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Protocol, Ceremony &amp; Run-of-Show</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Ceremony Spine and Principal Routes -&gt; L02 Run of Show, Cues and GO-HOLD -&gt; L03 Arrival, Stage, Photography and Transitions -&gt; L04 Cue-Calling and Delay Recovery</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M24</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Protocol Conflict &amp; Diplomatic Judgement</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Conflict and Correction Severity -&gt; L02 Co-Honouring and the Diplomatic No -&gt; L03 Entourage Needs and Authority -&gt; L04 Protocol Huddle Simulation</w:t>
            </w:r>
          </w:p>
        </w:tc>
      </w:tr>
    </w:tbl>
    <w:p>
      <w:r>
        <w:br w:type="page"/>
      </w:r>
    </w:p>
    <w:p>
      <w:pPr>
        <w:spacing w:after="40"/>
      </w:pPr>
      <w:r>
        <w:rPr>
          <w:rFonts w:ascii="Arial" w:hAnsi="Arial"/>
          <w:b/>
          <w:color w:val="B79F85"/>
          <w:sz w:val="20"/>
        </w:rPr>
        <w:t>CRS-03</w:t>
      </w:r>
    </w:p>
    <w:p>
      <w:pPr>
        <w:pStyle w:val="Heading1"/>
      </w:pPr>
      <w:r>
        <w:t>VIP, Host &amp; Concierge Intelligence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M05, M15, M26</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CRS-01, CRS-11</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Protect and personalise guest and host journeys within authority and privacy limits.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VIP/host journey, Authority Map and concierge simulation</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M05</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VIP &amp; High-Net-Worth Guest Management</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VIP Information and Ownership -&gt; L02 Preferences, Relationships and Seating -&gt; L03 Arrival, Movement and Contingency -&gt; L04 VIP Control-Desk Simulation</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M15</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Guest Communication, Concierge &amp; Personalisation</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Invitation, RSVP and Reminder Lifecycle -&gt; L02 Action-Time-Location-Context-Detail -&gt; L03 Concierge Channels and Clarification -&gt; L04 Communication and Concierge Simulation</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M26</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The Art of Host Management</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The Host Journey -&gt; L02 Authority Map and Decision Filtering -&gt; L03 Time, Privacy, Rest and Principal Suite -&gt; L04 Host Brief and Debrief Practical</w:t>
            </w:r>
          </w:p>
        </w:tc>
      </w:tr>
    </w:tbl>
    <w:p>
      <w:r>
        <w:br w:type="page"/>
      </w:r>
    </w:p>
    <w:p>
      <w:pPr>
        <w:spacing w:after="40"/>
      </w:pPr>
      <w:r>
        <w:rPr>
          <w:rFonts w:ascii="Arial" w:hAnsi="Arial"/>
          <w:b/>
          <w:color w:val="B79F85"/>
          <w:sz w:val="20"/>
        </w:rPr>
        <w:t>CRS-04</w:t>
      </w:r>
    </w:p>
    <w:p>
      <w:pPr>
        <w:pStyle w:val="Heading1"/>
      </w:pPr>
      <w:r>
        <w:t>Command &amp; Live Intelligence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M06, M10, M16, M20, M28</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CRS-01</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Build closed-loop command, evidence classification, look-ahead and governed AI use.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Live command simulation and AI-output critique</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M06</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Event Command &amp; Control</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Command Roles and Decision Boundaries -&gt; L02 Programme, Dependencies and Status -&gt; L03 Closed-Loop Communication and Escalation -&gt; L04 Command-Centre Simulation</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M10</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Event Command, Control &amp; Live Operations</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NOW-NEXT-RISK and Warning Horizons -&gt; L02 Signal, Assertion, Forecast and Decision -&gt; L03 Latest-Safe Action and CEO Filter -&gt; L04 Live Intelligence Simulation</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M16</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Event-Day Command &amp; Operations Room</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CEO Attention and Delegation -&gt; L02 The 80 Percent Decision Rule -&gt; L03 Radio Discipline and Event-Day Decisions -&gt; L04 Operations-Room Drill</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M20</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Event Command Centre &amp; AI Layer</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Information, Alert, Decision and Incident -&gt; L02 Reversibility and Red-Line Timing -&gt; L03 Grounded AI, Confidence and Human Authority -&gt; L04 AI Consult and Command-Board Practical</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M28</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Event Intelligence &amp; Live Command</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Subtle Signals and Evidence Discipline -&gt; L02 Queues, Empty Space, Timing and Energy -&gt; L03 Watch-Prepare-Intervene-Escalate -&gt; L04 Verify and Learn Simulation</w:t>
            </w:r>
          </w:p>
        </w:tc>
      </w:tr>
    </w:tbl>
    <w:p>
      <w:r>
        <w:br w:type="page"/>
      </w:r>
    </w:p>
    <w:p>
      <w:pPr>
        <w:spacing w:after="40"/>
      </w:pPr>
      <w:r>
        <w:rPr>
          <w:rFonts w:ascii="Arial" w:hAnsi="Arial"/>
          <w:b/>
          <w:color w:val="B79F85"/>
          <w:sz w:val="20"/>
        </w:rPr>
        <w:t>CRS-05</w:t>
      </w:r>
    </w:p>
    <w:p>
      <w:pPr>
        <w:pStyle w:val="Heading1"/>
      </w:pPr>
      <w:r>
        <w:t>Supplier &amp; Production Assurance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M07, M13, M18</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CRS-04</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Control supplier due diligence, scope, production gates, failure and commercial authority.</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Supplier dossier, acceptance inspection and failure recovery</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M07</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Vendor &amp; Supplier Management</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Supplier Intelligence and Due Diligence -&gt; L02 Brief, Scope and Change Control -&gt; L03 Readiness, Acceptance and Dependencies -&gt; L04 Supplier Failure Simulation</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M13</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Vendor &amp; Supplier Mastery</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Portfolio and Interview Diagnostics -&gt; L02 Total Cost of Failure and Partner Code -&gt; L03 Guest-Eye Inspection and Removal -&gt; L04 Advanced Supplier Practical</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M18</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Vendor Control &amp; Delivery Standard</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Mock-Up and First-Article Gates -&gt; L02 No-Surprise and Subcontractor Control -&gt; L03 Recovery Ladder and Commercial Authority -&gt; L04 Production Acceptance Practical</w:t>
            </w:r>
          </w:p>
        </w:tc>
      </w:tr>
    </w:tbl>
    <w:p>
      <w:r>
        <w:br w:type="page"/>
      </w:r>
    </w:p>
    <w:p>
      <w:pPr>
        <w:spacing w:after="40"/>
      </w:pPr>
      <w:r>
        <w:rPr>
          <w:rFonts w:ascii="Arial" w:hAnsi="Arial"/>
          <w:b/>
          <w:color w:val="B79F85"/>
          <w:sz w:val="20"/>
        </w:rPr>
        <w:t>CRS-06</w:t>
      </w:r>
    </w:p>
    <w:p>
      <w:pPr>
        <w:pStyle w:val="Heading1"/>
      </w:pPr>
      <w:r>
        <w:t>White-Glove Service &amp; Recovery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M09, M22, M25</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CRS-01, CRS-11</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Turn the Maison standard into observable service and psychologically intelligent recovery.</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Service circuit and high-difficulty recovery board</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M09</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White-Glove Service Operations</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Executable Standards and Evidence -&gt; L02 Presence, Language and Acknowledgement -&gt; L03 Zone, Dining, Comfort and Final Touch -&gt; L04 Observed Service Circuit</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M22</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Service Recovery &amp; Guest Psychology</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Uncertainty, Delay and Guest Emotion -&gt; L02 Apology without Cancellation -&gt; L03 Recovery Depth and Hidden Complaints -&gt; L04 Guest-Perspective Recovery Simulation</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M25</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Luxury Service Recovery Lab</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Facts, Unknowns and Consequence -&gt; L02 Smallest Effective Intervention -&gt; L03 Visibility, Speed and Reversibility -&gt; L04 Judgement Board and Oral Defence</w:t>
            </w:r>
          </w:p>
        </w:tc>
      </w:tr>
    </w:tbl>
    <w:p>
      <w:r>
        <w:br w:type="page"/>
      </w:r>
    </w:p>
    <w:p>
      <w:pPr>
        <w:spacing w:after="40"/>
      </w:pPr>
      <w:r>
        <w:rPr>
          <w:rFonts w:ascii="Arial" w:hAnsi="Arial"/>
          <w:b/>
          <w:color w:val="B79F85"/>
          <w:sz w:val="20"/>
        </w:rPr>
        <w:t>CRS-07</w:t>
      </w:r>
    </w:p>
    <w:p>
      <w:pPr>
        <w:pStyle w:val="Heading1"/>
      </w:pPr>
      <w:r>
        <w:t>Risk, Safety &amp; Security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M11, M17</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CRS-04, CRS-11</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Protect people, place, information and reputation through governed risk and response.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Risk register, crisis and safeguarding simulation</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M11</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Event Risk, Crisis &amp; Service Recovery</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Risk Register and Decision Triggers -&gt; L02 Incident, Crisis and Command Levels -&gt; L03 Domain Response and One-Voice Communication -&gt; L04 Crisis and After-Action Simulation</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M17</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Security, Safety, Privacy &amp; Risk</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People, Place, Information and Reputation -&gt; L02 Access Zones and Override Authority -&gt; L03 Safeguarding, Medical and Photography -&gt; L04 Security and Lost-Child Simulation</w:t>
            </w:r>
          </w:p>
        </w:tc>
      </w:tr>
    </w:tbl>
    <w:p>
      <w:r>
        <w:br w:type="page"/>
      </w:r>
    </w:p>
    <w:p>
      <w:pPr>
        <w:spacing w:after="40"/>
      </w:pPr>
      <w:r>
        <w:rPr>
          <w:rFonts w:ascii="Arial" w:hAnsi="Arial"/>
          <w:b/>
          <w:color w:val="B79F85"/>
          <w:sz w:val="20"/>
        </w:rPr>
        <w:t>CRS-08</w:t>
      </w:r>
    </w:p>
    <w:p>
      <w:pPr>
        <w:pStyle w:val="Heading1"/>
      </w:pPr>
      <w:r>
        <w:t>Event Operating Architecture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M12, M27</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CRS-02, CRS-04, CRS-05, CRS-06, CRS-07</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Integrate event records, dependencies, domain gates and multi-flow architecture.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Reference-event operating file and architecture defence</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M12</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The Event Operating System</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Master Event File and Event ID -&gt; L02 Principal, Priority, SOP and Known Unknowns -&gt; L03 Readiness Aggregation and Closure -&gt; L04 Reference-Event Build</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M27</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Architecture of a White-Glove Event</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Multi-Flow Event Architecture -&gt; L02 Critical Paths, Buffers and Collisions -&gt; L03 Invisible Support for Visible Experience -&gt; L04 Architecture Defence</w:t>
            </w:r>
          </w:p>
        </w:tc>
      </w:tr>
    </w:tbl>
    <w:p>
      <w:r>
        <w:br w:type="page"/>
      </w:r>
    </w:p>
    <w:p>
      <w:pPr>
        <w:spacing w:after="40"/>
      </w:pPr>
      <w:r>
        <w:rPr>
          <w:rFonts w:ascii="Arial" w:hAnsi="Arial"/>
          <w:b/>
          <w:color w:val="B79F85"/>
          <w:sz w:val="20"/>
        </w:rPr>
        <w:t>CRS-09</w:t>
      </w:r>
    </w:p>
    <w:p>
      <w:pPr>
        <w:pStyle w:val="Heading1"/>
      </w:pPr>
      <w:r>
        <w:t>People &amp; Service Culture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M14, M19</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CRS-01, CRS-06</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Build accountable deployment, supervision, handover, wellbeing and performance evidence.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Staffing plan, handover practical and evidence review</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M14</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Staffing, Service Culture &amp; White-Glove Team</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Team Architecture, RACI and Role Cards -&gt; L02 Character-Based Selection and Culture -&gt; L03 Wellbeing, Recognition and Accountability -&gt; L04 Staffing and Interview Practical</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M19</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Staffing &amp; Guest Experience Team</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Training versus Event Briefing -&gt; L02 Relief, Rotation and Handover -&gt; L03 Performance and Talent Evidence -&gt; L04 Handover and Scorecard Practical</w:t>
            </w:r>
          </w:p>
        </w:tc>
      </w:tr>
    </w:tbl>
    <w:p>
      <w:r>
        <w:br w:type="page"/>
      </w:r>
    </w:p>
    <w:p>
      <w:pPr>
        <w:spacing w:after="40"/>
      </w:pPr>
      <w:r>
        <w:rPr>
          <w:rFonts w:ascii="Arial" w:hAnsi="Arial"/>
          <w:b/>
          <w:color w:val="B79F85"/>
          <w:sz w:val="20"/>
        </w:rPr>
        <w:t>CRS-10</w:t>
      </w:r>
    </w:p>
    <w:p>
      <w:pPr>
        <w:pStyle w:val="Heading1"/>
      </w:pPr>
      <w:r>
        <w:t>Event-Day Execution</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M21</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CRS-04, CRS-06, CRS-07, CRS-08, CRS-09</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Apply readiness, pulse, imperfection triage and whole-event learning in execution.</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T-24 and event-day simulation</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M21</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Event Day Execution</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T-24 Seven-P Readiness -&gt; L02 First Guest Test, Energy and Pulse -&gt; L03 Imperfection Triage and Lost Property -&gt; L04 Event Score and Execution Simulation</w:t>
            </w:r>
          </w:p>
        </w:tc>
      </w:tr>
    </w:tbl>
    <w:p>
      <w:r>
        <w:br w:type="page"/>
      </w:r>
    </w:p>
    <w:p>
      <w:pPr>
        <w:spacing w:after="40"/>
      </w:pPr>
      <w:r>
        <w:rPr>
          <w:rFonts w:ascii="Arial" w:hAnsi="Arial"/>
          <w:b/>
          <w:color w:val="B79F85"/>
          <w:sz w:val="20"/>
        </w:rPr>
        <w:t>CRS-11</w:t>
      </w:r>
    </w:p>
    <w:p>
      <w:pPr>
        <w:pStyle w:val="Heading1"/>
      </w:pPr>
      <w:r>
        <w:t>Discretion, Privacy &amp; Confidentiality</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M23, M29</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Create universal need-to-know discipline before sensitive learning or event access.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Classification and confidentiality-incident simulation</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M23</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Discretion, Privacy &amp; Information Control</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Information-Access-Behaviour-Retention -&gt; L02 Sensitivity and Need-to-Know -&gt; L03 Conversation, Images, Devices and Association -&gt; L04 Privacy Incident Simulation</w:t>
            </w:r>
          </w:p>
        </w:tc>
      </w:tr>
      <w:tr>
        <w:tc>
          <w:tcPr>
            <w:tcW w:type="dxa" w:w="900"/>
            <w:shd w:fill="F6F7F9"/>
            <w:vAlign w:val="top"/>
            <w:tcMar>
              <w:top w:w="70" w:type="dxa"/>
              <w:start w:w="110" w:type="dxa"/>
              <w:bottom w:w="70" w:type="dxa"/>
              <w:end w:w="110" w:type="dxa"/>
            </w:tcMar>
          </w:tcPr>
          <w:p>
            <w:pPr>
              <w:spacing w:after="20" w:line="240" w:lineRule="auto"/>
            </w:pPr>
            <w:r>
              <w:rPr>
                <w:rFonts w:ascii="Arial" w:hAnsi="Arial"/>
                <w:color w:val="172033"/>
                <w:sz w:val="16"/>
              </w:rPr>
              <w:t>M29</w:t>
            </w:r>
          </w:p>
        </w:tc>
        <w:tc>
          <w:tcPr>
            <w:tcW w:type="dxa" w:w="2800"/>
            <w:shd w:fill="F6F7F9"/>
            <w:vAlign w:val="top"/>
            <w:tcMar>
              <w:top w:w="70" w:type="dxa"/>
              <w:start w:w="110" w:type="dxa"/>
              <w:bottom w:w="70" w:type="dxa"/>
              <w:end w:w="110" w:type="dxa"/>
            </w:tcMar>
          </w:tcPr>
          <w:p>
            <w:pPr>
              <w:spacing w:after="20" w:line="240" w:lineRule="auto"/>
            </w:pPr>
            <w:r>
              <w:rPr>
                <w:rFonts w:ascii="Arial" w:hAnsi="Arial"/>
                <w:color w:val="172033"/>
                <w:sz w:val="16"/>
              </w:rPr>
              <w:t>Discretion, Privacy &amp; Confidentiality</w:t>
            </w:r>
          </w:p>
        </w:tc>
        <w:tc>
          <w:tcPr>
            <w:tcW w:type="dxa" w:w="5660"/>
            <w:shd w:fill="F6F7F9"/>
            <w:vAlign w:val="top"/>
            <w:tcMar>
              <w:top w:w="70" w:type="dxa"/>
              <w:start w:w="110" w:type="dxa"/>
              <w:bottom w:w="70" w:type="dxa"/>
              <w:end w:w="110" w:type="dxa"/>
            </w:tcMar>
          </w:tcPr>
          <w:p>
            <w:pPr>
              <w:spacing w:after="20" w:line="240" w:lineRule="auto"/>
            </w:pPr>
            <w:r>
              <w:rPr>
                <w:rFonts w:ascii="Arial" w:hAnsi="Arial"/>
                <w:color w:val="172033"/>
                <w:sz w:val="16"/>
              </w:rPr>
              <w:t>L01 Advanced Need-to-Know -&gt; L02 Behavioural, Image and Digital Disclosure -&gt; L03 Fine Access Zones without Model Conflict -&gt; L04 Confidentiality Response Simulation</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EARLY GATE</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CRS-11 must be completed before sensitive guest, VIP, host, security or assessment content is released.</w:t>
            </w:r>
          </w:p>
        </w:tc>
      </w:tr>
    </w:tbl>
    <w:p>
      <w:r>
        <w:br w:type="page"/>
      </w:r>
    </w:p>
    <w:p>
      <w:pPr>
        <w:spacing w:after="40"/>
      </w:pPr>
      <w:r>
        <w:rPr>
          <w:rFonts w:ascii="Arial" w:hAnsi="Arial"/>
          <w:b/>
          <w:color w:val="B79F85"/>
          <w:sz w:val="20"/>
        </w:rPr>
        <w:t>CRS-12</w:t>
      </w:r>
    </w:p>
    <w:p>
      <w:pPr>
        <w:pStyle w:val="Heading1"/>
      </w:pPr>
      <w:r>
        <w:t>The Maison Doclar Standard - Capstone</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Control</w:t>
            </w:r>
          </w:p>
        </w:tc>
        <w:tc>
          <w:tcPr>
            <w:tcW w:type="dxa" w:w="7460"/>
            <w:shd w:fill="10243E"/>
            <w:tcMar>
              <w:top w:w="70" w:type="dxa"/>
              <w:start w:w="110" w:type="dxa"/>
              <w:bottom w:w="70" w:type="dxa"/>
              <w:end w:w="110" w:type="dxa"/>
            </w:tcMar>
          </w:tcPr>
          <w:p>
            <w:r>
              <w:rPr>
                <w:rFonts w:ascii="Arial" w:hAnsi="Arial"/>
                <w:b/>
                <w:color w:val="FFFFFF"/>
                <w:sz w:val="17"/>
              </w:rPr>
              <w:t>Definition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Source modules</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M30</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Prerequisites</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Assigned mandatory pathway</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Purpose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Integrate the Ten Rules, readiness declaration, CEO Charter and Creed.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 evidence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Role-scoped capstone; CEO/Event Director oral and practical board</w:t>
            </w:r>
          </w:p>
        </w:tc>
      </w:tr>
    </w:tbl>
    <w:p>
      <w:pPr>
        <w:pStyle w:val="Heading2"/>
      </w:pPr>
      <w:r>
        <w:t>Required structure</w:t>
      </w:r>
    </w:p>
    <w:p>
      <w:pPr>
        <w:pStyle w:val="ListBullet"/>
        <w:spacing w:after="60"/>
        <w:ind w:left="547" w:hanging="274"/>
      </w:pPr>
      <w:r>
        <w:t>Orientation: purpose, authority limits, prerequisites and how the course affects the assigned role.</w:t>
      </w:r>
    </w:p>
    <w:p>
      <w:pPr>
        <w:pStyle w:val="ListBullet"/>
        <w:spacing w:after="60"/>
        <w:ind w:left="547" w:hanging="274"/>
      </w:pPr>
      <w:r>
        <w:t>Module lessons: doctrine, application, judgement and evidence/practical in the sequence specified below.</w:t>
      </w:r>
    </w:p>
    <w:p>
      <w:pPr>
        <w:pStyle w:val="ListBullet"/>
        <w:spacing w:after="60"/>
        <w:ind w:left="547" w:hanging="274"/>
      </w:pPr>
      <w:r>
        <w:t>Knowledge checks: low-stakes feedback after each lesson; no certification effect.</w:t>
      </w:r>
    </w:p>
    <w:p>
      <w:pPr>
        <w:pStyle w:val="ListBullet"/>
        <w:spacing w:after="60"/>
        <w:ind w:left="547" w:hanging="274"/>
      </w:pPr>
      <w:r>
        <w:t>Course assessment: high-difficulty applied judgement mapped to competency IDs.</w:t>
      </w:r>
    </w:p>
    <w:p>
      <w:pPr>
        <w:pStyle w:val="ListBullet"/>
        <w:spacing w:after="60"/>
        <w:ind w:left="547" w:hanging="274"/>
      </w:pPr>
      <w:r>
        <w:t>Practical gate where stated: authorised assessor, rubric, evidence and reasoned result.</w:t>
      </w:r>
    </w:p>
    <w:p>
      <w:pPr>
        <w:pStyle w:val="ListBullet"/>
        <w:spacing w:after="60"/>
        <w:ind w:left="547" w:hanging="274"/>
      </w:pPr>
      <w:r>
        <w:t>Closure: result, remediation, next prerequisite and certificate/readiness effect.</w:t>
      </w:r>
    </w:p>
    <w:p>
      <w:pPr>
        <w:pStyle w:val="Heading2"/>
      </w:pPr>
      <w:r>
        <w:t>Module sequence</w:t>
      </w:r>
    </w:p>
    <w:tbl>
      <w:tblPr>
        <w:tblStyle w:val="TableGrid"/>
        <w:tblW w:type="dxa" w:w="9360"/>
        <w:jc w:val="left"/>
        <w:tblLayout w:type="fixed"/>
        <w:tblLook w:firstColumn="1" w:firstRow="1" w:lastColumn="0" w:lastRow="0" w:noHBand="0" w:noVBand="1" w:val="04A0"/>
        <w:tblInd w:w="120" w:type="dxa"/>
      </w:tblPr>
      <w:tblGrid>
        <w:gridCol w:w="900"/>
        <w:gridCol w:w="2800"/>
        <w:gridCol w:w="5660"/>
      </w:tblGrid>
      <w:tr>
        <w:tc>
          <w:tcPr>
            <w:tcW w:type="dxa" w:w="900"/>
            <w:shd w:fill="10243E"/>
            <w:tcMar>
              <w:top w:w="70" w:type="dxa"/>
              <w:start w:w="110" w:type="dxa"/>
              <w:bottom w:w="70" w:type="dxa"/>
              <w:end w:w="110" w:type="dxa"/>
            </w:tcMar>
          </w:tcPr>
          <w:p>
            <w:r>
              <w:rPr>
                <w:rFonts w:ascii="Arial" w:hAnsi="Arial"/>
                <w:b/>
                <w:color w:val="FFFFFF"/>
                <w:sz w:val="17"/>
              </w:rPr>
              <w:t>Module</w:t>
            </w:r>
          </w:p>
        </w:tc>
        <w:tc>
          <w:tcPr>
            <w:tcW w:type="dxa" w:w="2800"/>
            <w:shd w:fill="10243E"/>
            <w:tcMar>
              <w:top w:w="70" w:type="dxa"/>
              <w:start w:w="110" w:type="dxa"/>
              <w:bottom w:w="70" w:type="dxa"/>
              <w:end w:w="110" w:type="dxa"/>
            </w:tcMar>
          </w:tcPr>
          <w:p>
            <w:r>
              <w:rPr>
                <w:rFonts w:ascii="Arial" w:hAnsi="Arial"/>
                <w:b/>
                <w:color w:val="FFFFFF"/>
                <w:sz w:val="17"/>
              </w:rPr>
              <w:t>Title</w:t>
            </w:r>
          </w:p>
        </w:tc>
        <w:tc>
          <w:tcPr>
            <w:tcW w:type="dxa" w:w="5660"/>
            <w:shd w:fill="10243E"/>
            <w:tcMar>
              <w:top w:w="70" w:type="dxa"/>
              <w:start w:w="110" w:type="dxa"/>
              <w:bottom w:w="70" w:type="dxa"/>
              <w:end w:w="110" w:type="dxa"/>
            </w:tcMar>
          </w:tcPr>
          <w:p>
            <w:r>
              <w:rPr>
                <w:rFonts w:ascii="Arial" w:hAnsi="Arial"/>
                <w:b/>
                <w:color w:val="FFFFFF"/>
                <w:sz w:val="17"/>
              </w:rPr>
              <w:t>Ordered lessons</w:t>
            </w:r>
          </w:p>
        </w:tc>
      </w:tr>
      <w:tr>
        <w:tc>
          <w:tcPr>
            <w:tcW w:type="dxa" w:w="900"/>
            <w:shd w:fill="FFFFFF"/>
            <w:vAlign w:val="top"/>
            <w:tcMar>
              <w:top w:w="70" w:type="dxa"/>
              <w:start w:w="110" w:type="dxa"/>
              <w:bottom w:w="70" w:type="dxa"/>
              <w:end w:w="110" w:type="dxa"/>
            </w:tcMar>
          </w:tcPr>
          <w:p>
            <w:pPr>
              <w:spacing w:after="20" w:line="240" w:lineRule="auto"/>
            </w:pPr>
            <w:r>
              <w:rPr>
                <w:rFonts w:ascii="Arial" w:hAnsi="Arial"/>
                <w:color w:val="172033"/>
                <w:sz w:val="16"/>
              </w:rPr>
              <w:t>M30</w:t>
            </w:r>
          </w:p>
        </w:tc>
        <w:tc>
          <w:tcPr>
            <w:tcW w:type="dxa" w:w="2800"/>
            <w:shd w:fill="FFFFFF"/>
            <w:vAlign w:val="top"/>
            <w:tcMar>
              <w:top w:w="70" w:type="dxa"/>
              <w:start w:w="110" w:type="dxa"/>
              <w:bottom w:w="70" w:type="dxa"/>
              <w:end w:w="110" w:type="dxa"/>
            </w:tcMar>
          </w:tcPr>
          <w:p>
            <w:pPr>
              <w:spacing w:after="20" w:line="240" w:lineRule="auto"/>
            </w:pPr>
            <w:r>
              <w:rPr>
                <w:rFonts w:ascii="Arial" w:hAnsi="Arial"/>
                <w:color w:val="172033"/>
                <w:sz w:val="16"/>
              </w:rPr>
              <w:t>The Maison Doclar Standard</w:t>
            </w:r>
          </w:p>
        </w:tc>
        <w:tc>
          <w:tcPr>
            <w:tcW w:type="dxa" w:w="5660"/>
            <w:shd w:fill="FFFFFF"/>
            <w:vAlign w:val="top"/>
            <w:tcMar>
              <w:top w:w="70" w:type="dxa"/>
              <w:start w:w="110" w:type="dxa"/>
              <w:bottom w:w="70" w:type="dxa"/>
              <w:end w:w="110" w:type="dxa"/>
            </w:tcMar>
          </w:tcPr>
          <w:p>
            <w:pPr>
              <w:spacing w:after="20" w:line="240" w:lineRule="auto"/>
            </w:pPr>
            <w:r>
              <w:rPr>
                <w:rFonts w:ascii="Arial" w:hAnsi="Arial"/>
                <w:color w:val="172033"/>
                <w:sz w:val="16"/>
              </w:rPr>
              <w:t>L01 The Ten Rules -&gt; L02 Event Readiness Declaration -&gt; L03 CEO Charter and Maison Doclar Creed -&gt; L04 Role-Scoped Capstone Board</w:t>
            </w:r>
          </w:p>
        </w:tc>
      </w:tr>
    </w:tbl>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CAPSTONE GATE</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The capstone consumes the learner's assigned mandatory pathway. CEO and Event Director complete the full cross-domain oral and practical board.</w:t>
            </w:r>
          </w:p>
        </w:tc>
      </w:tr>
    </w:tbl>
    <w:p>
      <w:r>
        <w:br w:type="page"/>
      </w:r>
    </w:p>
    <w:p>
      <w:pPr>
        <w:pStyle w:val="Heading1"/>
      </w:pPr>
      <w:r>
        <w:t>3. Complete module and lesson registry</w:t>
      </w:r>
    </w:p>
    <w:p>
      <w:pPr>
        <w:spacing w:after="100"/>
      </w:pPr>
      <w:r>
        <w:rPr>
          <w:rFonts w:ascii="Arial" w:hAnsi="Arial"/>
          <w:b w:val="0"/>
        </w:rPr>
        <w:t>Every module has four ordered lessons. The ID pattern is CRSxx-Mxx-L01 through L04. Course ownership is shown below; lesson text and media are managed content, while IDs and ordering rules are canonical.</w:t>
      </w:r>
    </w:p>
    <w:tbl>
      <w:tblPr>
        <w:tblStyle w:val="TableGrid"/>
        <w:tblW w:type="dxa" w:w="9360"/>
        <w:jc w:val="left"/>
        <w:tblLayout w:type="fixed"/>
        <w:tblLook w:firstColumn="1" w:firstRow="1" w:lastColumn="0" w:lastRow="0" w:noHBand="0" w:noVBand="1" w:val="04A0"/>
        <w:tblInd w:w="120" w:type="dxa"/>
      </w:tblPr>
      <w:tblGrid>
        <w:gridCol w:w="850"/>
        <w:gridCol w:w="950"/>
        <w:gridCol w:w="2850"/>
        <w:gridCol w:w="4710"/>
      </w:tblGrid>
      <w:tr>
        <w:tc>
          <w:tcPr>
            <w:tcW w:type="dxa" w:w="850"/>
            <w:shd w:fill="10243E"/>
            <w:tcMar>
              <w:top w:w="70" w:type="dxa"/>
              <w:start w:w="110" w:type="dxa"/>
              <w:bottom w:w="70" w:type="dxa"/>
              <w:end w:w="110" w:type="dxa"/>
            </w:tcMar>
          </w:tcPr>
          <w:p>
            <w:r>
              <w:rPr>
                <w:rFonts w:ascii="Arial" w:hAnsi="Arial"/>
                <w:b/>
                <w:color w:val="FFFFFF"/>
                <w:sz w:val="17"/>
              </w:rPr>
              <w:t>Module</w:t>
            </w:r>
          </w:p>
        </w:tc>
        <w:tc>
          <w:tcPr>
            <w:tcW w:type="dxa" w:w="950"/>
            <w:shd w:fill="10243E"/>
            <w:tcMar>
              <w:top w:w="70" w:type="dxa"/>
              <w:start w:w="110" w:type="dxa"/>
              <w:bottom w:w="70" w:type="dxa"/>
              <w:end w:w="110" w:type="dxa"/>
            </w:tcMar>
          </w:tcPr>
          <w:p>
            <w:r>
              <w:rPr>
                <w:rFonts w:ascii="Arial" w:hAnsi="Arial"/>
                <w:b/>
                <w:color w:val="FFFFFF"/>
                <w:sz w:val="17"/>
              </w:rPr>
              <w:t>Course</w:t>
            </w:r>
          </w:p>
        </w:tc>
        <w:tc>
          <w:tcPr>
            <w:tcW w:type="dxa" w:w="2850"/>
            <w:shd w:fill="10243E"/>
            <w:tcMar>
              <w:top w:w="70" w:type="dxa"/>
              <w:start w:w="110" w:type="dxa"/>
              <w:bottom w:w="70" w:type="dxa"/>
              <w:end w:w="110" w:type="dxa"/>
            </w:tcMar>
          </w:tcPr>
          <w:p>
            <w:r>
              <w:rPr>
                <w:rFonts w:ascii="Arial" w:hAnsi="Arial"/>
                <w:b/>
                <w:color w:val="FFFFFF"/>
                <w:sz w:val="17"/>
              </w:rPr>
              <w:t>Source title</w:t>
            </w:r>
          </w:p>
        </w:tc>
        <w:tc>
          <w:tcPr>
            <w:tcW w:type="dxa" w:w="4710"/>
            <w:shd w:fill="10243E"/>
            <w:tcMar>
              <w:top w:w="70" w:type="dxa"/>
              <w:start w:w="110" w:type="dxa"/>
              <w:bottom w:w="70" w:type="dxa"/>
              <w:end w:w="110" w:type="dxa"/>
            </w:tcMar>
          </w:tcPr>
          <w:p>
            <w:r>
              <w:rPr>
                <w:rFonts w:ascii="Arial" w:hAnsi="Arial"/>
                <w:b/>
                <w:color w:val="FFFFFF"/>
                <w:sz w:val="17"/>
              </w:rPr>
              <w:t>Lesson sequence</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M01</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CRS-01</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White-Glove Hospitality</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The Maison Doclar Promise | L02 Anticipation and the Five Experience Layers | L03 Friction, Dignity and the Never-Ask Test | L04 White-Glove Service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M02</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CRS-01</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The Guest Journey</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Journey Stages and Touchpoints | L02 Emotional Choreography and Ownership | L03 Transitions, Handoffs and Recovery | L04 Guest Journey Design Studio</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M03</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CRS-02</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Nigerian Protocol &amp; Precedence</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Authority, Precedence and Verification | L02 Titles, Receiving, Seating and Speaking | L03 Protocol Conflict and Escalation | L04 Protocol Brief and Huddle Practical</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M04</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CRS-02</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Nigerian Cultural &amp; Ceremonial Intelligence</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Culture as Meaning | L02 Family, Community and Ceremonial Objects | L03 Faith, Interfaith and Cultural Bridging | L04 Context-Pack and Briefing Practical</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M05</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CRS-03</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VIP &amp; High-Net-Worth Guest Management</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VIP Information and Ownership | L02 Preferences, Relationships and Seating | L03 Arrival, Movement and Contingency | L04 VIP Control-Desk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M06</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CRS-04</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Event Command &amp; Control</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Command Roles and Decision Boundaries | L02 Programme, Dependencies and Status | L03 Closed-Loop Communication and Escalation | L04 Command-Centre Simulation</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M07</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CRS-05</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Vendor &amp; Supplier Management</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Supplier Intelligence and Due Diligence | L02 Brief, Scope and Change Control | L03 Readiness, Acceptance and Dependencies | L04 Supplier Failure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M08</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CRS-02</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Protocol, Ceremony &amp; Run-of-Show</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Ceremony Spine and Principal Routes | L02 Run of Show, Cues and GO-HOLD | L03 Arrival, Stage, Photography and Transitions | L04 Cue-Calling and Delay Recovery</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M09</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CRS-06</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White-Glove Service Operations</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Executable Standards and Evidence | L02 Presence, Language and Acknowledgement | L03 Zone, Dining, Comfort and Final Touch | L04 Observed Service Circuit</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M10</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CRS-04</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Event Command, Control &amp; Live Operations</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NOW-NEXT-RISK and Warning Horizons | L02 Signal, Assertion, Forecast and Decision | L03 Latest-Safe Action and CEO Filter | L04 Live Intelligence Simulation</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M11</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CRS-07</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Event Risk, Crisis &amp; Service Recovery</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Risk Register and Decision Triggers | L02 Incident, Crisis and Command Levels | L03 Domain Response and One-Voice Communication | L04 Crisis and After-Action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M12</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CRS-08</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The Event Operating System</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Master Event File and Event ID | L02 Principal, Priority, SOP and Known Unknowns | L03 Readiness Aggregation and Closure | L04 Reference-Event Build</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M13</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CRS-05</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Vendor &amp; Supplier Mastery</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Portfolio and Interview Diagnostics | L02 Total Cost of Failure and Partner Code | L03 Guest-Eye Inspection and Removal | L04 Advanced Supplier Practical</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M14</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CRS-09</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Staffing, Service Culture &amp; White-Glove Team</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Team Architecture, RACI and Role Cards | L02 Character-Based Selection and Culture | L03 Wellbeing, Recognition and Accountability | L04 Staffing and Interview Practical</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M15</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CRS-03</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Guest Communication, Concierge &amp; Personalisation</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Invitation, RSVP and Reminder Lifecycle | L02 Action-Time-Location-Context-Detail | L03 Concierge Channels and Clarification | L04 Communication and Concierge Simulation</w:t>
            </w:r>
          </w:p>
        </w:tc>
      </w:tr>
    </w:tbl>
    <w:p>
      <w:r>
        <w:br w:type="page"/>
      </w:r>
    </w:p>
    <w:p>
      <w:pPr>
        <w:pStyle w:val="Heading1"/>
      </w:pPr>
      <w:r>
        <w:t>3. Module and lesson registry - continued</w:t>
      </w:r>
    </w:p>
    <w:tbl>
      <w:tblPr>
        <w:tblStyle w:val="TableGrid"/>
        <w:tblW w:type="dxa" w:w="9360"/>
        <w:jc w:val="left"/>
        <w:tblLayout w:type="fixed"/>
        <w:tblLook w:firstColumn="1" w:firstRow="1" w:lastColumn="0" w:lastRow="0" w:noHBand="0" w:noVBand="1" w:val="04A0"/>
        <w:tblInd w:w="120" w:type="dxa"/>
      </w:tblPr>
      <w:tblGrid>
        <w:gridCol w:w="850"/>
        <w:gridCol w:w="950"/>
        <w:gridCol w:w="2850"/>
        <w:gridCol w:w="4710"/>
      </w:tblGrid>
      <w:tr>
        <w:tc>
          <w:tcPr>
            <w:tcW w:type="dxa" w:w="850"/>
            <w:shd w:fill="10243E"/>
            <w:tcMar>
              <w:top w:w="70" w:type="dxa"/>
              <w:start w:w="110" w:type="dxa"/>
              <w:bottom w:w="70" w:type="dxa"/>
              <w:end w:w="110" w:type="dxa"/>
            </w:tcMar>
          </w:tcPr>
          <w:p>
            <w:r>
              <w:rPr>
                <w:rFonts w:ascii="Arial" w:hAnsi="Arial"/>
                <w:b/>
                <w:color w:val="FFFFFF"/>
                <w:sz w:val="17"/>
              </w:rPr>
              <w:t>Module</w:t>
            </w:r>
          </w:p>
        </w:tc>
        <w:tc>
          <w:tcPr>
            <w:tcW w:type="dxa" w:w="950"/>
            <w:shd w:fill="10243E"/>
            <w:tcMar>
              <w:top w:w="70" w:type="dxa"/>
              <w:start w:w="110" w:type="dxa"/>
              <w:bottom w:w="70" w:type="dxa"/>
              <w:end w:w="110" w:type="dxa"/>
            </w:tcMar>
          </w:tcPr>
          <w:p>
            <w:r>
              <w:rPr>
                <w:rFonts w:ascii="Arial" w:hAnsi="Arial"/>
                <w:b/>
                <w:color w:val="FFFFFF"/>
                <w:sz w:val="17"/>
              </w:rPr>
              <w:t>Course</w:t>
            </w:r>
          </w:p>
        </w:tc>
        <w:tc>
          <w:tcPr>
            <w:tcW w:type="dxa" w:w="2850"/>
            <w:shd w:fill="10243E"/>
            <w:tcMar>
              <w:top w:w="70" w:type="dxa"/>
              <w:start w:w="110" w:type="dxa"/>
              <w:bottom w:w="70" w:type="dxa"/>
              <w:end w:w="110" w:type="dxa"/>
            </w:tcMar>
          </w:tcPr>
          <w:p>
            <w:r>
              <w:rPr>
                <w:rFonts w:ascii="Arial" w:hAnsi="Arial"/>
                <w:b/>
                <w:color w:val="FFFFFF"/>
                <w:sz w:val="17"/>
              </w:rPr>
              <w:t>Source title</w:t>
            </w:r>
          </w:p>
        </w:tc>
        <w:tc>
          <w:tcPr>
            <w:tcW w:type="dxa" w:w="4710"/>
            <w:shd w:fill="10243E"/>
            <w:tcMar>
              <w:top w:w="70" w:type="dxa"/>
              <w:start w:w="110" w:type="dxa"/>
              <w:bottom w:w="70" w:type="dxa"/>
              <w:end w:w="110" w:type="dxa"/>
            </w:tcMar>
          </w:tcPr>
          <w:p>
            <w:r>
              <w:rPr>
                <w:rFonts w:ascii="Arial" w:hAnsi="Arial"/>
                <w:b/>
                <w:color w:val="FFFFFF"/>
                <w:sz w:val="17"/>
              </w:rPr>
              <w:t>Lesson sequence</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M16</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CRS-04</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Event-Day Command &amp; Operations Room</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CEO Attention and Delegation | L02 The 80 Percent Decision Rule | L03 Radio Discipline and Event-Day Decisions | L04 Operations-Room Drill</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M17</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CRS-07</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Security, Safety, Privacy &amp; Risk</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People, Place, Information and Reputation | L02 Access Zones and Override Authority | L03 Safeguarding, Medical and Photography | L04 Security and Lost-Child Simulation</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M18</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CRS-05</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Vendor Control &amp; Delivery Standard</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Mock-Up and First-Article Gates | L02 No-Surprise and Subcontractor Control | L03 Recovery Ladder and Commercial Authority | L04 Production Acceptance Practical</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M19</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CRS-09</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Staffing &amp; Guest Experience Team</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Training versus Event Briefing | L02 Relief, Rotation and Handover | L03 Performance and Talent Evidence | L04 Handover and Scorecard Practical</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M20</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CRS-04</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Event Command Centre &amp; AI Layer</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Information, Alert, Decision and Incident | L02 Reversibility and Red-Line Timing | L03 Grounded AI, Confidence and Human Authority | L04 AI Consult and Command-Board Practical</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M21</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CRS-10</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Event Day Execution</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T-24 Seven-P Readiness | L02 First Guest Test, Energy and Pulse | L03 Imperfection Triage and Lost Property | L04 Event Score and Execution Simulation</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M22</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CRS-06</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Service Recovery &amp; Guest Psychology</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Uncertainty, Delay and Guest Emotion | L02 Apology without Cancellation | L03 Recovery Depth and Hidden Complaints | L04 Guest-Perspective Recovery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M23</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CRS-11</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Discretion, Privacy &amp; Information Control</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Information-Access-Behaviour-Retention | L02 Sensitivity and Need-to-Know | L03 Conversation, Images, Devices and Association | L04 Privacy Incident Simulation</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M24</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CRS-02</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Protocol Conflict &amp; Diplomatic Judgement</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Conflict and Correction Severity | L02 Co-Honouring and the Diplomatic No | L03 Entourage Needs and Authority | L04 Protocol Huddle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M25</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CRS-06</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Luxury Service Recovery Lab</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Facts, Unknowns and Consequence | L02 Smallest Effective Intervention | L03 Visibility, Speed and Reversibility | L04 Judgement Board and Oral Defence</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M26</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CRS-03</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The Art of Host Management</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The Host Journey | L02 Authority Map and Decision Filtering | L03 Time, Privacy, Rest and Principal Suite | L04 Host Brief and Debrief Practical</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M27</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CRS-08</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Architecture of a White-Glove Event</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Multi-Flow Event Architecture | L02 Critical Paths, Buffers and Collisions | L03 Invisible Support for Visible Experience | L04 Architecture Defence</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M28</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CRS-04</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Event Intelligence &amp; Live Command</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Subtle Signals and Evidence Discipline | L02 Queues, Empty Space, Timing and Energy | L03 Watch-Prepare-Intervene-Escalate | L04 Verify and Learn Simulation</w:t>
            </w:r>
          </w:p>
        </w:tc>
      </w:tr>
      <w:tr>
        <w:tc>
          <w:tcPr>
            <w:tcW w:type="dxa" w:w="850"/>
            <w:shd w:fill="F6F7F9"/>
            <w:vAlign w:val="top"/>
            <w:tcMar>
              <w:top w:w="70" w:type="dxa"/>
              <w:start w:w="110" w:type="dxa"/>
              <w:bottom w:w="70" w:type="dxa"/>
              <w:end w:w="110" w:type="dxa"/>
            </w:tcMar>
          </w:tcPr>
          <w:p>
            <w:pPr>
              <w:spacing w:after="20" w:line="240" w:lineRule="auto"/>
            </w:pPr>
            <w:r>
              <w:rPr>
                <w:rFonts w:ascii="Arial" w:hAnsi="Arial"/>
                <w:color w:val="172033"/>
                <w:sz w:val="14"/>
              </w:rPr>
              <w:t>M29</w:t>
            </w:r>
          </w:p>
        </w:tc>
        <w:tc>
          <w:tcPr>
            <w:tcW w:type="dxa" w:w="950"/>
            <w:shd w:fill="F6F7F9"/>
            <w:vAlign w:val="top"/>
            <w:tcMar>
              <w:top w:w="70" w:type="dxa"/>
              <w:start w:w="110" w:type="dxa"/>
              <w:bottom w:w="70" w:type="dxa"/>
              <w:end w:w="110" w:type="dxa"/>
            </w:tcMar>
          </w:tcPr>
          <w:p>
            <w:pPr>
              <w:spacing w:after="20" w:line="240" w:lineRule="auto"/>
            </w:pPr>
            <w:r>
              <w:rPr>
                <w:rFonts w:ascii="Arial" w:hAnsi="Arial"/>
                <w:color w:val="172033"/>
                <w:sz w:val="14"/>
              </w:rPr>
              <w:t>CRS-11</w:t>
            </w:r>
          </w:p>
        </w:tc>
        <w:tc>
          <w:tcPr>
            <w:tcW w:type="dxa" w:w="2850"/>
            <w:shd w:fill="F6F7F9"/>
            <w:vAlign w:val="top"/>
            <w:tcMar>
              <w:top w:w="70" w:type="dxa"/>
              <w:start w:w="110" w:type="dxa"/>
              <w:bottom w:w="70" w:type="dxa"/>
              <w:end w:w="110" w:type="dxa"/>
            </w:tcMar>
          </w:tcPr>
          <w:p>
            <w:pPr>
              <w:spacing w:after="20" w:line="240" w:lineRule="auto"/>
            </w:pPr>
            <w:r>
              <w:rPr>
                <w:rFonts w:ascii="Arial" w:hAnsi="Arial"/>
                <w:color w:val="172033"/>
                <w:sz w:val="14"/>
              </w:rPr>
              <w:t>Discretion, Privacy &amp; Confidentiality</w:t>
            </w:r>
          </w:p>
        </w:tc>
        <w:tc>
          <w:tcPr>
            <w:tcW w:type="dxa" w:w="4710"/>
            <w:shd w:fill="F6F7F9"/>
            <w:vAlign w:val="top"/>
            <w:tcMar>
              <w:top w:w="70" w:type="dxa"/>
              <w:start w:w="110" w:type="dxa"/>
              <w:bottom w:w="70" w:type="dxa"/>
              <w:end w:w="110" w:type="dxa"/>
            </w:tcMar>
          </w:tcPr>
          <w:p>
            <w:pPr>
              <w:spacing w:after="20" w:line="240" w:lineRule="auto"/>
            </w:pPr>
            <w:r>
              <w:rPr>
                <w:rFonts w:ascii="Arial" w:hAnsi="Arial"/>
                <w:color w:val="172033"/>
                <w:sz w:val="14"/>
              </w:rPr>
              <w:t>L01 Advanced Need-to-Know | L02 Behavioural, Image and Digital Disclosure | L03 Fine Access Zones without Model Conflict | L04 Confidentiality Response Simulation</w:t>
            </w:r>
          </w:p>
        </w:tc>
      </w:tr>
      <w:tr>
        <w:tc>
          <w:tcPr>
            <w:tcW w:type="dxa" w:w="850"/>
            <w:shd w:fill="FFFFFF"/>
            <w:vAlign w:val="top"/>
            <w:tcMar>
              <w:top w:w="70" w:type="dxa"/>
              <w:start w:w="110" w:type="dxa"/>
              <w:bottom w:w="70" w:type="dxa"/>
              <w:end w:w="110" w:type="dxa"/>
            </w:tcMar>
          </w:tcPr>
          <w:p>
            <w:pPr>
              <w:spacing w:after="20" w:line="240" w:lineRule="auto"/>
            </w:pPr>
            <w:r>
              <w:rPr>
                <w:rFonts w:ascii="Arial" w:hAnsi="Arial"/>
                <w:color w:val="172033"/>
                <w:sz w:val="14"/>
              </w:rPr>
              <w:t>M30</w:t>
            </w:r>
          </w:p>
        </w:tc>
        <w:tc>
          <w:tcPr>
            <w:tcW w:type="dxa" w:w="950"/>
            <w:shd w:fill="FFFFFF"/>
            <w:vAlign w:val="top"/>
            <w:tcMar>
              <w:top w:w="70" w:type="dxa"/>
              <w:start w:w="110" w:type="dxa"/>
              <w:bottom w:w="70" w:type="dxa"/>
              <w:end w:w="110" w:type="dxa"/>
            </w:tcMar>
          </w:tcPr>
          <w:p>
            <w:pPr>
              <w:spacing w:after="20" w:line="240" w:lineRule="auto"/>
            </w:pPr>
            <w:r>
              <w:rPr>
                <w:rFonts w:ascii="Arial" w:hAnsi="Arial"/>
                <w:color w:val="172033"/>
                <w:sz w:val="14"/>
              </w:rPr>
              <w:t>CRS-12</w:t>
            </w:r>
          </w:p>
        </w:tc>
        <w:tc>
          <w:tcPr>
            <w:tcW w:type="dxa" w:w="2850"/>
            <w:shd w:fill="FFFFFF"/>
            <w:vAlign w:val="top"/>
            <w:tcMar>
              <w:top w:w="70" w:type="dxa"/>
              <w:start w:w="110" w:type="dxa"/>
              <w:bottom w:w="70" w:type="dxa"/>
              <w:end w:w="110" w:type="dxa"/>
            </w:tcMar>
          </w:tcPr>
          <w:p>
            <w:pPr>
              <w:spacing w:after="20" w:line="240" w:lineRule="auto"/>
            </w:pPr>
            <w:r>
              <w:rPr>
                <w:rFonts w:ascii="Arial" w:hAnsi="Arial"/>
                <w:color w:val="172033"/>
                <w:sz w:val="14"/>
              </w:rPr>
              <w:t>The Maison Doclar Standard</w:t>
            </w:r>
          </w:p>
        </w:tc>
        <w:tc>
          <w:tcPr>
            <w:tcW w:type="dxa" w:w="4710"/>
            <w:shd w:fill="FFFFFF"/>
            <w:vAlign w:val="top"/>
            <w:tcMar>
              <w:top w:w="70" w:type="dxa"/>
              <w:start w:w="110" w:type="dxa"/>
              <w:bottom w:w="70" w:type="dxa"/>
              <w:end w:w="110" w:type="dxa"/>
            </w:tcMar>
          </w:tcPr>
          <w:p>
            <w:pPr>
              <w:spacing w:after="20" w:line="240" w:lineRule="auto"/>
            </w:pPr>
            <w:r>
              <w:rPr>
                <w:rFonts w:ascii="Arial" w:hAnsi="Arial"/>
                <w:color w:val="172033"/>
                <w:sz w:val="14"/>
              </w:rPr>
              <w:t>L01 The Ten Rules | L02 Event Readiness Declaration | L03 CEO Charter and Maison Doclar Creed | L04 Role-Scoped Capstone Board</w:t>
            </w:r>
          </w:p>
        </w:tc>
      </w:tr>
    </w:tbl>
    <w:p>
      <w:r>
        <w:br w:type="page"/>
      </w:r>
    </w:p>
    <w:p>
      <w:pPr>
        <w:pStyle w:val="Heading1"/>
      </w:pPr>
      <w:r>
        <w:t>4. Lesson design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Component</w:t>
            </w:r>
          </w:p>
        </w:tc>
        <w:tc>
          <w:tcPr>
            <w:tcW w:type="dxa" w:w="7460"/>
            <w:shd w:fill="10243E"/>
            <w:tcMar>
              <w:top w:w="70" w:type="dxa"/>
              <w:start w:w="110" w:type="dxa"/>
              <w:bottom w:w="70" w:type="dxa"/>
              <w:end w:w="110" w:type="dxa"/>
            </w:tcMar>
          </w:tcPr>
          <w:p>
            <w:r>
              <w:rPr>
                <w:rFonts w:ascii="Arial" w:hAnsi="Arial"/>
                <w:b/>
                <w:color w:val="FFFFFF"/>
                <w:sz w:val="17"/>
              </w:rPr>
              <w:t>Required content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Identity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Stable lesson ID, title, course/module, version, status and owner</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Objective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One observable learner outcome linked to competency ID(s)</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Authority boundary</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What the learner may decide, must escalate and must never assume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Knowledge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Approved doctrine, standards, heuristics and examples clearly distinguished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Application</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Role-relevant workflow, decision points and evidence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Judgement</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Ambiguous scenario with consequence, privacy and authority considerations</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Practice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Simulation, submission, rehearsal or observed task where required</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Check</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Immediate feedback that explains why options are right, weak or unsafe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Closure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Summary, unresolved questions, next lesson and readiness/certificate effect</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Accessibility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Keyboard support, transcripts/captions, readable contrast and plain-language alternative</w:t>
            </w:r>
          </w:p>
        </w:tc>
      </w:tr>
    </w:tbl>
    <w:p>
      <w:pPr>
        <w:pStyle w:val="Heading2"/>
      </w:pPr>
      <w:r>
        <w:t>4.1 Lesson-length rule</w:t>
      </w:r>
    </w:p>
    <w:p>
      <w:pPr>
        <w:spacing w:after="100"/>
      </w:pPr>
      <w:r>
        <w:rPr>
          <w:rFonts w:ascii="Arial" w:hAnsi="Arial"/>
          <w:b w:val="0"/>
        </w:rPr>
        <w:t>A lesson should be as short as possible without breaking competence. Default digital study units are approximately 8-15 minutes; complex judgement and practical units may be longer. Duration is metadata for planning, never a reason to remove required evidence or split one decision across confusing fragments.</w:t>
      </w:r>
    </w:p>
    <w:p>
      <w:r>
        <w:br w:type="page"/>
      </w:r>
    </w:p>
    <w:p>
      <w:pPr>
        <w:pStyle w:val="Heading1"/>
      </w:pPr>
      <w:r>
        <w:t>5. Progression and completion state model</w:t>
      </w:r>
    </w:p>
    <w:tbl>
      <w:tblPr>
        <w:tblStyle w:val="TableGrid"/>
        <w:tblW w:type="dxa" w:w="9360"/>
        <w:jc w:val="left"/>
        <w:tblLayout w:type="fixed"/>
        <w:tblLook w:firstColumn="1" w:firstRow="1" w:lastColumn="0" w:lastRow="0" w:noHBand="0" w:noVBand="1" w:val="04A0"/>
        <w:tblInd w:w="120" w:type="dxa"/>
      </w:tblPr>
      <w:tblGrid>
        <w:gridCol w:w="1800"/>
        <w:gridCol w:w="3220"/>
        <w:gridCol w:w="4340"/>
      </w:tblGrid>
      <w:tr>
        <w:tc>
          <w:tcPr>
            <w:tcW w:type="dxa" w:w="1800"/>
            <w:shd w:fill="10243E"/>
            <w:tcMar>
              <w:top w:w="70" w:type="dxa"/>
              <w:start w:w="110" w:type="dxa"/>
              <w:bottom w:w="70" w:type="dxa"/>
              <w:end w:w="110" w:type="dxa"/>
            </w:tcMar>
          </w:tcPr>
          <w:p>
            <w:r>
              <w:rPr>
                <w:rFonts w:ascii="Arial" w:hAnsi="Arial"/>
                <w:b/>
                <w:color w:val="FFFFFF"/>
                <w:sz w:val="17"/>
              </w:rPr>
              <w:t>State</w:t>
            </w:r>
          </w:p>
        </w:tc>
        <w:tc>
          <w:tcPr>
            <w:tcW w:type="dxa" w:w="3220"/>
            <w:shd w:fill="10243E"/>
            <w:tcMar>
              <w:top w:w="70" w:type="dxa"/>
              <w:start w:w="110" w:type="dxa"/>
              <w:bottom w:w="70" w:type="dxa"/>
              <w:end w:w="110" w:type="dxa"/>
            </w:tcMar>
          </w:tcPr>
          <w:p>
            <w:r>
              <w:rPr>
                <w:rFonts w:ascii="Arial" w:hAnsi="Arial"/>
                <w:b/>
                <w:color w:val="FFFFFF"/>
                <w:sz w:val="17"/>
              </w:rPr>
              <w:t>Entry condition</w:t>
            </w:r>
          </w:p>
        </w:tc>
        <w:tc>
          <w:tcPr>
            <w:tcW w:type="dxa" w:w="4340"/>
            <w:shd w:fill="10243E"/>
            <w:tcMar>
              <w:top w:w="70" w:type="dxa"/>
              <w:start w:w="110" w:type="dxa"/>
              <w:bottom w:w="70" w:type="dxa"/>
              <w:end w:w="110" w:type="dxa"/>
            </w:tcMar>
          </w:tcPr>
          <w:p>
            <w:r>
              <w:rPr>
                <w:rFonts w:ascii="Arial" w:hAnsi="Arial"/>
                <w:b/>
                <w:color w:val="FFFFFF"/>
                <w:sz w:val="17"/>
              </w:rPr>
              <w:t>Exit condition</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7"/>
              </w:rPr>
              <w:t>Locked</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7"/>
              </w:rPr>
              <w:t>Prerequisite or access grant missing</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Required prerequisite/access becomes current</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7"/>
              </w:rPr>
              <w:t>Available</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7"/>
              </w:rPr>
              <w:t>Visible and eligible to start</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Learner starts or due date passes</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7"/>
              </w:rPr>
              <w:t>In progress</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7"/>
              </w:rPr>
              <w:t>At least one required activity started</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All lesson requirements submitted</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7"/>
              </w:rPr>
              <w:t>Awaiting review</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7"/>
              </w:rPr>
              <w:t>Manual/practical evidence submitted</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Authorised assessor decides</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7"/>
              </w:rPr>
              <w:t>Complete</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7"/>
              </w:rPr>
              <w:t>All lesson requirements satisfied</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May later expire or be superseded</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7"/>
              </w:rPr>
              <w:t>Remediation required</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7"/>
              </w:rPr>
              <w:t>Knowledge check, assessment or practical gap</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Targeted remediation and new valid attempt</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7"/>
              </w:rPr>
              <w:t>Expired</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7"/>
              </w:rPr>
              <w:t>Validity end reached</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Approved refresher or recertification completed</w:t>
            </w:r>
          </w:p>
        </w:tc>
      </w:tr>
      <w:tr>
        <w:tc>
          <w:tcPr>
            <w:tcW w:type="dxa" w:w="1800"/>
            <w:shd w:fill="F6F7F9"/>
            <w:vAlign w:val="top"/>
            <w:tcMar>
              <w:top w:w="70" w:type="dxa"/>
              <w:start w:w="110" w:type="dxa"/>
              <w:bottom w:w="70" w:type="dxa"/>
              <w:end w:w="110" w:type="dxa"/>
            </w:tcMar>
          </w:tcPr>
          <w:p>
            <w:pPr>
              <w:spacing w:after="20" w:line="240" w:lineRule="auto"/>
            </w:pPr>
            <w:r>
              <w:rPr>
                <w:rFonts w:ascii="Arial" w:hAnsi="Arial"/>
                <w:color w:val="172033"/>
                <w:sz w:val="17"/>
              </w:rPr>
              <w:t>Superseded</w:t>
            </w:r>
          </w:p>
        </w:tc>
        <w:tc>
          <w:tcPr>
            <w:tcW w:type="dxa" w:w="3220"/>
            <w:shd w:fill="F6F7F9"/>
            <w:vAlign w:val="top"/>
            <w:tcMar>
              <w:top w:w="70" w:type="dxa"/>
              <w:start w:w="110" w:type="dxa"/>
              <w:bottom w:w="70" w:type="dxa"/>
              <w:end w:w="110" w:type="dxa"/>
            </w:tcMar>
          </w:tcPr>
          <w:p>
            <w:pPr>
              <w:spacing w:after="20" w:line="240" w:lineRule="auto"/>
            </w:pPr>
            <w:r>
              <w:rPr>
                <w:rFonts w:ascii="Arial" w:hAnsi="Arial"/>
                <w:color w:val="172033"/>
                <w:sz w:val="17"/>
              </w:rPr>
              <w:t>Materially replaced content</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Approved equivalence or new version completed</w:t>
            </w:r>
          </w:p>
        </w:tc>
      </w:tr>
      <w:tr>
        <w:tc>
          <w:tcPr>
            <w:tcW w:type="dxa" w:w="1800"/>
            <w:shd w:fill="FFFFFF"/>
            <w:vAlign w:val="top"/>
            <w:tcMar>
              <w:top w:w="70" w:type="dxa"/>
              <w:start w:w="110" w:type="dxa"/>
              <w:bottom w:w="70" w:type="dxa"/>
              <w:end w:w="110" w:type="dxa"/>
            </w:tcMar>
          </w:tcPr>
          <w:p>
            <w:pPr>
              <w:spacing w:after="20" w:line="240" w:lineRule="auto"/>
            </w:pPr>
            <w:r>
              <w:rPr>
                <w:rFonts w:ascii="Arial" w:hAnsi="Arial"/>
                <w:color w:val="172033"/>
                <w:sz w:val="17"/>
              </w:rPr>
              <w:t>Revoked</w:t>
            </w:r>
          </w:p>
        </w:tc>
        <w:tc>
          <w:tcPr>
            <w:tcW w:type="dxa" w:w="3220"/>
            <w:shd w:fill="FFFFFF"/>
            <w:vAlign w:val="top"/>
            <w:tcMar>
              <w:top w:w="70" w:type="dxa"/>
              <w:start w:w="110" w:type="dxa"/>
              <w:bottom w:w="70" w:type="dxa"/>
              <w:end w:w="110" w:type="dxa"/>
            </w:tcMar>
          </w:tcPr>
          <w:p>
            <w:pPr>
              <w:spacing w:after="20" w:line="240" w:lineRule="auto"/>
            </w:pPr>
            <w:r>
              <w:rPr>
                <w:rFonts w:ascii="Arial" w:hAnsi="Arial"/>
                <w:color w:val="172033"/>
                <w:sz w:val="17"/>
              </w:rPr>
              <w:t>Integrity, access or governance decision</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Only authorised reinstatement</w:t>
            </w:r>
          </w:p>
        </w:tc>
      </w:tr>
    </w:tbl>
    <w:p>
      <w:pPr>
        <w:pStyle w:val="Heading2"/>
      </w:pPr>
      <w:r>
        <w:t>5.1 Progression laws</w:t>
      </w:r>
    </w:p>
    <w:p>
      <w:pPr>
        <w:pStyle w:val="ListBullet"/>
        <w:spacing w:after="60"/>
        <w:ind w:left="547" w:hanging="274"/>
      </w:pPr>
      <w:r>
        <w:t>The system unlocks content only when prerequisites and access policy both pass.</w:t>
      </w:r>
    </w:p>
    <w:p>
      <w:pPr>
        <w:pStyle w:val="ListBullet"/>
        <w:spacing w:after="60"/>
        <w:ind w:left="547" w:hanging="274"/>
      </w:pPr>
      <w:r>
        <w:t>Assessment outcomes follow the Academy policy: 90% or above is Distinction; 80-89% is Pass; below 80% requires remediation and retake.</w:t>
      </w:r>
    </w:p>
    <w:p>
      <w:pPr>
        <w:pStyle w:val="ListBullet"/>
        <w:spacing w:after="60"/>
        <w:ind w:left="547" w:hanging="274"/>
      </w:pPr>
      <w:r>
        <w:t>Critical competencies cannot be averaged away, regardless of aggregate score.</w:t>
      </w:r>
    </w:p>
    <w:p>
      <w:pPr>
        <w:pStyle w:val="ListBullet"/>
        <w:spacing w:after="60"/>
        <w:ind w:left="547" w:hanging="274"/>
      </w:pPr>
      <w:r>
        <w:t>Learners may pause and resume without losing immutable attempt history.</w:t>
      </w:r>
    </w:p>
    <w:p>
      <w:pPr>
        <w:pStyle w:val="ListBullet"/>
        <w:spacing w:after="60"/>
        <w:ind w:left="547" w:hanging="274"/>
      </w:pPr>
      <w:r>
        <w:t>A manual review never becomes an automatic pass through timeout.</w:t>
      </w:r>
    </w:p>
    <w:p>
      <w:pPr>
        <w:pStyle w:val="ListBullet"/>
        <w:spacing w:after="60"/>
        <w:ind w:left="547" w:hanging="274"/>
      </w:pPr>
      <w:r>
        <w:t>Where connectivity is poor, completion sync must be idempotent and conflicts visible.</w:t>
      </w:r>
    </w:p>
    <w:p>
      <w:pPr>
        <w:pStyle w:val="ListBullet"/>
        <w:spacing w:after="60"/>
        <w:ind w:left="547" w:hanging="274"/>
      </w:pPr>
      <w:r>
        <w:t>Course progress percentage is informational; it does not equal competence or authority.</w:t>
      </w:r>
    </w:p>
    <w:p>
      <w:r>
        <w:br w:type="page"/>
      </w:r>
    </w:p>
    <w:p>
      <w:pPr>
        <w:pStyle w:val="Heading1"/>
      </w:pPr>
      <w:r>
        <w:t>6. Prerequisite and equivalence contract</w:t>
      </w:r>
    </w:p>
    <w:tbl>
      <w:tblPr>
        <w:tblStyle w:val="TableGrid"/>
        <w:tblW w:type="dxa" w:w="9360"/>
        <w:jc w:val="left"/>
        <w:tblLayout w:type="fixed"/>
        <w:tblLook w:firstColumn="1" w:firstRow="1" w:lastColumn="0" w:lastRow="0" w:noHBand="0" w:noVBand="1" w:val="04A0"/>
        <w:tblInd w:w="120" w:type="dxa"/>
      </w:tblPr>
      <w:tblGrid>
        <w:gridCol w:w="2000"/>
        <w:gridCol w:w="7360"/>
      </w:tblGrid>
      <w:tr>
        <w:tc>
          <w:tcPr>
            <w:tcW w:type="dxa" w:w="2000"/>
            <w:shd w:fill="10243E"/>
            <w:tcMar>
              <w:top w:w="70" w:type="dxa"/>
              <w:start w:w="110" w:type="dxa"/>
              <w:bottom w:w="70" w:type="dxa"/>
              <w:end w:w="110" w:type="dxa"/>
            </w:tcMar>
          </w:tcPr>
          <w:p>
            <w:r>
              <w:rPr>
                <w:rFonts w:ascii="Arial" w:hAnsi="Arial"/>
                <w:b/>
                <w:color w:val="FFFFFF"/>
                <w:sz w:val="17"/>
              </w:rPr>
              <w:t>Rule</w:t>
            </w:r>
          </w:p>
        </w:tc>
        <w:tc>
          <w:tcPr>
            <w:tcW w:type="dxa" w:w="7360"/>
            <w:shd w:fill="10243E"/>
            <w:tcMar>
              <w:top w:w="70" w:type="dxa"/>
              <w:start w:w="110" w:type="dxa"/>
              <w:bottom w:w="70" w:type="dxa"/>
              <w:end w:w="110" w:type="dxa"/>
            </w:tcMar>
          </w:tcPr>
          <w:p>
            <w:r>
              <w:rPr>
                <w:rFonts w:ascii="Arial" w:hAnsi="Arial"/>
                <w:b/>
                <w:color w:val="FFFFFF"/>
                <w:sz w:val="17"/>
              </w:rPr>
              <w:t>Application</w:t>
            </w:r>
          </w:p>
        </w:tc>
      </w:tr>
      <w:tr>
        <w:tc>
          <w:tcPr>
            <w:tcW w:type="dxa" w:w="2000"/>
            <w:shd w:fill="FFFFFF"/>
            <w:vAlign w:val="top"/>
            <w:tcMar>
              <w:top w:w="70" w:type="dxa"/>
              <w:start w:w="110" w:type="dxa"/>
              <w:bottom w:w="70" w:type="dxa"/>
              <w:end w:w="110" w:type="dxa"/>
            </w:tcMar>
          </w:tcPr>
          <w:p>
            <w:pPr>
              <w:spacing w:after="20" w:line="240" w:lineRule="auto"/>
            </w:pPr>
            <w:r>
              <w:rPr>
                <w:rFonts w:ascii="Arial" w:hAnsi="Arial"/>
                <w:color w:val="172033"/>
                <w:sz w:val="17"/>
              </w:rPr>
              <w:t>Privacy-first</w:t>
            </w:r>
          </w:p>
        </w:tc>
        <w:tc>
          <w:tcPr>
            <w:tcW w:type="dxa" w:w="7360"/>
            <w:shd w:fill="FFFFFF"/>
            <w:vAlign w:val="top"/>
            <w:tcMar>
              <w:top w:w="70" w:type="dxa"/>
              <w:start w:w="110" w:type="dxa"/>
              <w:bottom w:w="70" w:type="dxa"/>
              <w:end w:w="110" w:type="dxa"/>
            </w:tcMar>
          </w:tcPr>
          <w:p>
            <w:pPr>
              <w:spacing w:after="20" w:line="240" w:lineRule="auto"/>
            </w:pPr>
            <w:r>
              <w:rPr>
                <w:rFonts w:ascii="Arial" w:hAnsi="Arial"/>
                <w:color w:val="172033"/>
                <w:sz w:val="17"/>
              </w:rPr>
              <w:t>CRS-11 before sensitive guest, VIP, host, security or assessment material</w:t>
            </w:r>
          </w:p>
        </w:tc>
      </w:tr>
      <w:tr>
        <w:tc>
          <w:tcPr>
            <w:tcW w:type="dxa" w:w="2000"/>
            <w:shd w:fill="F6F7F9"/>
            <w:vAlign w:val="top"/>
            <w:tcMar>
              <w:top w:w="70" w:type="dxa"/>
              <w:start w:w="110" w:type="dxa"/>
              <w:bottom w:w="70" w:type="dxa"/>
              <w:end w:w="110" w:type="dxa"/>
            </w:tcMar>
          </w:tcPr>
          <w:p>
            <w:pPr>
              <w:spacing w:after="20" w:line="240" w:lineRule="auto"/>
            </w:pPr>
            <w:r>
              <w:rPr>
                <w:rFonts w:ascii="Arial" w:hAnsi="Arial"/>
                <w:color w:val="172033"/>
                <w:sz w:val="17"/>
              </w:rPr>
              <w:t>Command chain</w:t>
            </w:r>
          </w:p>
        </w:tc>
        <w:tc>
          <w:tcPr>
            <w:tcW w:type="dxa" w:w="7360"/>
            <w:shd w:fill="F6F7F9"/>
            <w:vAlign w:val="top"/>
            <w:tcMar>
              <w:top w:w="70" w:type="dxa"/>
              <w:start w:w="110" w:type="dxa"/>
              <w:bottom w:w="70" w:type="dxa"/>
              <w:end w:w="110" w:type="dxa"/>
            </w:tcMar>
          </w:tcPr>
          <w:p>
            <w:pPr>
              <w:spacing w:after="20" w:line="240" w:lineRule="auto"/>
            </w:pPr>
            <w:r>
              <w:rPr>
                <w:rFonts w:ascii="Arial" w:hAnsi="Arial"/>
                <w:color w:val="172033"/>
                <w:sz w:val="17"/>
              </w:rPr>
              <w:t>M06 before M10, M16, M20 and M28</w:t>
            </w:r>
          </w:p>
        </w:tc>
      </w:tr>
      <w:tr>
        <w:tc>
          <w:tcPr>
            <w:tcW w:type="dxa" w:w="2000"/>
            <w:shd w:fill="FFFFFF"/>
            <w:vAlign w:val="top"/>
            <w:tcMar>
              <w:top w:w="70" w:type="dxa"/>
              <w:start w:w="110" w:type="dxa"/>
              <w:bottom w:w="70" w:type="dxa"/>
              <w:end w:w="110" w:type="dxa"/>
            </w:tcMar>
          </w:tcPr>
          <w:p>
            <w:pPr>
              <w:spacing w:after="20" w:line="240" w:lineRule="auto"/>
            </w:pPr>
            <w:r>
              <w:rPr>
                <w:rFonts w:ascii="Arial" w:hAnsi="Arial"/>
                <w:color w:val="172033"/>
                <w:sz w:val="17"/>
              </w:rPr>
              <w:t>Supplier chain</w:t>
            </w:r>
          </w:p>
        </w:tc>
        <w:tc>
          <w:tcPr>
            <w:tcW w:type="dxa" w:w="7360"/>
            <w:shd w:fill="FFFFFF"/>
            <w:vAlign w:val="top"/>
            <w:tcMar>
              <w:top w:w="70" w:type="dxa"/>
              <w:start w:w="110" w:type="dxa"/>
              <w:bottom w:w="70" w:type="dxa"/>
              <w:end w:w="110" w:type="dxa"/>
            </w:tcMar>
          </w:tcPr>
          <w:p>
            <w:pPr>
              <w:spacing w:after="20" w:line="240" w:lineRule="auto"/>
            </w:pPr>
            <w:r>
              <w:rPr>
                <w:rFonts w:ascii="Arial" w:hAnsi="Arial"/>
                <w:color w:val="172033"/>
                <w:sz w:val="17"/>
              </w:rPr>
              <w:t>M07 before M13 and M18</w:t>
            </w:r>
          </w:p>
        </w:tc>
      </w:tr>
      <w:tr>
        <w:tc>
          <w:tcPr>
            <w:tcW w:type="dxa" w:w="2000"/>
            <w:shd w:fill="F6F7F9"/>
            <w:vAlign w:val="top"/>
            <w:tcMar>
              <w:top w:w="70" w:type="dxa"/>
              <w:start w:w="110" w:type="dxa"/>
              <w:bottom w:w="70" w:type="dxa"/>
              <w:end w:w="110" w:type="dxa"/>
            </w:tcMar>
          </w:tcPr>
          <w:p>
            <w:pPr>
              <w:spacing w:after="20" w:line="240" w:lineRule="auto"/>
            </w:pPr>
            <w:r>
              <w:rPr>
                <w:rFonts w:ascii="Arial" w:hAnsi="Arial"/>
                <w:color w:val="172033"/>
                <w:sz w:val="17"/>
              </w:rPr>
              <w:t>People chain</w:t>
            </w:r>
          </w:p>
        </w:tc>
        <w:tc>
          <w:tcPr>
            <w:tcW w:type="dxa" w:w="7360"/>
            <w:shd w:fill="F6F7F9"/>
            <w:vAlign w:val="top"/>
            <w:tcMar>
              <w:top w:w="70" w:type="dxa"/>
              <w:start w:w="110" w:type="dxa"/>
              <w:bottom w:w="70" w:type="dxa"/>
              <w:end w:w="110" w:type="dxa"/>
            </w:tcMar>
          </w:tcPr>
          <w:p>
            <w:pPr>
              <w:spacing w:after="20" w:line="240" w:lineRule="auto"/>
            </w:pPr>
            <w:r>
              <w:rPr>
                <w:rFonts w:ascii="Arial" w:hAnsi="Arial"/>
                <w:color w:val="172033"/>
                <w:sz w:val="17"/>
              </w:rPr>
              <w:t>M14 before M19</w:t>
            </w:r>
          </w:p>
        </w:tc>
      </w:tr>
      <w:tr>
        <w:tc>
          <w:tcPr>
            <w:tcW w:type="dxa" w:w="2000"/>
            <w:shd w:fill="FFFFFF"/>
            <w:vAlign w:val="top"/>
            <w:tcMar>
              <w:top w:w="70" w:type="dxa"/>
              <w:start w:w="110" w:type="dxa"/>
              <w:bottom w:w="70" w:type="dxa"/>
              <w:end w:w="110" w:type="dxa"/>
            </w:tcMar>
          </w:tcPr>
          <w:p>
            <w:pPr>
              <w:spacing w:after="20" w:line="240" w:lineRule="auto"/>
            </w:pPr>
            <w:r>
              <w:rPr>
                <w:rFonts w:ascii="Arial" w:hAnsi="Arial"/>
                <w:color w:val="172033"/>
                <w:sz w:val="17"/>
              </w:rPr>
              <w:t>Privacy depth</w:t>
            </w:r>
          </w:p>
        </w:tc>
        <w:tc>
          <w:tcPr>
            <w:tcW w:type="dxa" w:w="7360"/>
            <w:shd w:fill="FFFFFF"/>
            <w:vAlign w:val="top"/>
            <w:tcMar>
              <w:top w:w="70" w:type="dxa"/>
              <w:start w:w="110" w:type="dxa"/>
              <w:bottom w:w="70" w:type="dxa"/>
              <w:end w:w="110" w:type="dxa"/>
            </w:tcMar>
          </w:tcPr>
          <w:p>
            <w:pPr>
              <w:spacing w:after="20" w:line="240" w:lineRule="auto"/>
            </w:pPr>
            <w:r>
              <w:rPr>
                <w:rFonts w:ascii="Arial" w:hAnsi="Arial"/>
                <w:color w:val="172033"/>
                <w:sz w:val="17"/>
              </w:rPr>
              <w:t>M23 before M29</w:t>
            </w:r>
          </w:p>
        </w:tc>
      </w:tr>
      <w:tr>
        <w:tc>
          <w:tcPr>
            <w:tcW w:type="dxa" w:w="2000"/>
            <w:shd w:fill="F6F7F9"/>
            <w:vAlign w:val="top"/>
            <w:tcMar>
              <w:top w:w="70" w:type="dxa"/>
              <w:start w:w="110" w:type="dxa"/>
              <w:bottom w:w="70" w:type="dxa"/>
              <w:end w:w="110" w:type="dxa"/>
            </w:tcMar>
          </w:tcPr>
          <w:p>
            <w:pPr>
              <w:spacing w:after="20" w:line="240" w:lineRule="auto"/>
            </w:pPr>
            <w:r>
              <w:rPr>
                <w:rFonts w:ascii="Arial" w:hAnsi="Arial"/>
                <w:color w:val="172033"/>
                <w:sz w:val="17"/>
              </w:rPr>
              <w:t>Architecture integration</w:t>
            </w:r>
          </w:p>
        </w:tc>
        <w:tc>
          <w:tcPr>
            <w:tcW w:type="dxa" w:w="7360"/>
            <w:shd w:fill="F6F7F9"/>
            <w:vAlign w:val="top"/>
            <w:tcMar>
              <w:top w:w="70" w:type="dxa"/>
              <w:start w:w="110" w:type="dxa"/>
              <w:bottom w:w="70" w:type="dxa"/>
              <w:end w:w="110" w:type="dxa"/>
            </w:tcMar>
          </w:tcPr>
          <w:p>
            <w:pPr>
              <w:spacing w:after="20" w:line="240" w:lineRule="auto"/>
            </w:pPr>
            <w:r>
              <w:rPr>
                <w:rFonts w:ascii="Arial" w:hAnsi="Arial"/>
                <w:color w:val="172033"/>
                <w:sz w:val="17"/>
              </w:rPr>
              <w:t>Domain courses before CRS-08 and CRS-10 as assigned</w:t>
            </w:r>
          </w:p>
        </w:tc>
      </w:tr>
      <w:tr>
        <w:tc>
          <w:tcPr>
            <w:tcW w:type="dxa" w:w="2000"/>
            <w:shd w:fill="FFFFFF"/>
            <w:vAlign w:val="top"/>
            <w:tcMar>
              <w:top w:w="70" w:type="dxa"/>
              <w:start w:w="110" w:type="dxa"/>
              <w:bottom w:w="70" w:type="dxa"/>
              <w:end w:w="110" w:type="dxa"/>
            </w:tcMar>
          </w:tcPr>
          <w:p>
            <w:pPr>
              <w:spacing w:after="20" w:line="240" w:lineRule="auto"/>
            </w:pPr>
            <w:r>
              <w:rPr>
                <w:rFonts w:ascii="Arial" w:hAnsi="Arial"/>
                <w:color w:val="172033"/>
                <w:sz w:val="17"/>
              </w:rPr>
              <w:t>Capstone</w:t>
            </w:r>
          </w:p>
        </w:tc>
        <w:tc>
          <w:tcPr>
            <w:tcW w:type="dxa" w:w="7360"/>
            <w:shd w:fill="FFFFFF"/>
            <w:vAlign w:val="top"/>
            <w:tcMar>
              <w:top w:w="70" w:type="dxa"/>
              <w:start w:w="110" w:type="dxa"/>
              <w:bottom w:w="70" w:type="dxa"/>
              <w:end w:w="110" w:type="dxa"/>
            </w:tcMar>
          </w:tcPr>
          <w:p>
            <w:pPr>
              <w:spacing w:after="20" w:line="240" w:lineRule="auto"/>
            </w:pPr>
            <w:r>
              <w:rPr>
                <w:rFonts w:ascii="Arial" w:hAnsi="Arial"/>
                <w:color w:val="172033"/>
                <w:sz w:val="17"/>
              </w:rPr>
              <w:t>Every mandatory role-path requirement before CRS-12</w:t>
            </w:r>
          </w:p>
        </w:tc>
      </w:tr>
      <w:tr>
        <w:tc>
          <w:tcPr>
            <w:tcW w:type="dxa" w:w="2000"/>
            <w:shd w:fill="F6F7F9"/>
            <w:vAlign w:val="top"/>
            <w:tcMar>
              <w:top w:w="70" w:type="dxa"/>
              <w:start w:w="110" w:type="dxa"/>
              <w:bottom w:w="70" w:type="dxa"/>
              <w:end w:w="110" w:type="dxa"/>
            </w:tcMar>
          </w:tcPr>
          <w:p>
            <w:pPr>
              <w:spacing w:after="20" w:line="240" w:lineRule="auto"/>
            </w:pPr>
            <w:r>
              <w:rPr>
                <w:rFonts w:ascii="Arial" w:hAnsi="Arial"/>
                <w:color w:val="172033"/>
                <w:sz w:val="17"/>
              </w:rPr>
              <w:t>Equivalence</w:t>
            </w:r>
          </w:p>
        </w:tc>
        <w:tc>
          <w:tcPr>
            <w:tcW w:type="dxa" w:w="7360"/>
            <w:shd w:fill="F6F7F9"/>
            <w:vAlign w:val="top"/>
            <w:tcMar>
              <w:top w:w="70" w:type="dxa"/>
              <w:start w:w="110" w:type="dxa"/>
              <w:bottom w:w="70" w:type="dxa"/>
              <w:end w:w="110" w:type="dxa"/>
            </w:tcMar>
          </w:tcPr>
          <w:p>
            <w:pPr>
              <w:spacing w:after="20" w:line="240" w:lineRule="auto"/>
            </w:pPr>
            <w:r>
              <w:rPr>
                <w:rFonts w:ascii="Arial" w:hAnsi="Arial"/>
                <w:color w:val="172033"/>
                <w:sz w:val="17"/>
              </w:rPr>
              <w:t>Reuse only when competency, criticality, evidence type, validity and version remain sufficient</w:t>
            </w:r>
          </w:p>
        </w:tc>
      </w:tr>
      <w:tr>
        <w:tc>
          <w:tcPr>
            <w:tcW w:type="dxa" w:w="2000"/>
            <w:shd w:fill="FFFFFF"/>
            <w:vAlign w:val="top"/>
            <w:tcMar>
              <w:top w:w="70" w:type="dxa"/>
              <w:start w:w="110" w:type="dxa"/>
              <w:bottom w:w="70" w:type="dxa"/>
              <w:end w:w="110" w:type="dxa"/>
            </w:tcMar>
          </w:tcPr>
          <w:p>
            <w:pPr>
              <w:spacing w:after="20" w:line="240" w:lineRule="auto"/>
            </w:pPr>
            <w:r>
              <w:rPr>
                <w:rFonts w:ascii="Arial" w:hAnsi="Arial"/>
                <w:color w:val="172033"/>
                <w:sz w:val="17"/>
              </w:rPr>
              <w:t>No circularity</w:t>
            </w:r>
          </w:p>
        </w:tc>
        <w:tc>
          <w:tcPr>
            <w:tcW w:type="dxa" w:w="7360"/>
            <w:shd w:fill="FFFFFF"/>
            <w:vAlign w:val="top"/>
            <w:tcMar>
              <w:top w:w="70" w:type="dxa"/>
              <w:start w:w="110" w:type="dxa"/>
              <w:bottom w:w="70" w:type="dxa"/>
              <w:end w:w="110" w:type="dxa"/>
            </w:tcMar>
          </w:tcPr>
          <w:p>
            <w:pPr>
              <w:spacing w:after="20" w:line="240" w:lineRule="auto"/>
            </w:pPr>
            <w:r>
              <w:rPr>
                <w:rFonts w:ascii="Arial" w:hAnsi="Arial"/>
                <w:color w:val="172033"/>
                <w:sz w:val="17"/>
              </w:rPr>
              <w:t>Published prerequisite graph must be acyclic</w:t>
            </w:r>
          </w:p>
        </w:tc>
      </w:tr>
      <w:tr>
        <w:tc>
          <w:tcPr>
            <w:tcW w:type="dxa" w:w="2000"/>
            <w:shd w:fill="F6F7F9"/>
            <w:vAlign w:val="top"/>
            <w:tcMar>
              <w:top w:w="70" w:type="dxa"/>
              <w:start w:w="110" w:type="dxa"/>
              <w:bottom w:w="70" w:type="dxa"/>
              <w:end w:w="110" w:type="dxa"/>
            </w:tcMar>
          </w:tcPr>
          <w:p>
            <w:pPr>
              <w:spacing w:after="20" w:line="240" w:lineRule="auto"/>
            </w:pPr>
            <w:r>
              <w:rPr>
                <w:rFonts w:ascii="Arial" w:hAnsi="Arial"/>
                <w:color w:val="172033"/>
                <w:sz w:val="17"/>
              </w:rPr>
              <w:t>Exception</w:t>
            </w:r>
          </w:p>
        </w:tc>
        <w:tc>
          <w:tcPr>
            <w:tcW w:type="dxa" w:w="7360"/>
            <w:shd w:fill="F6F7F9"/>
            <w:vAlign w:val="top"/>
            <w:tcMar>
              <w:top w:w="70" w:type="dxa"/>
              <w:start w:w="110" w:type="dxa"/>
              <w:bottom w:w="70" w:type="dxa"/>
              <w:end w:w="110" w:type="dxa"/>
            </w:tcMar>
          </w:tcPr>
          <w:p>
            <w:pPr>
              <w:spacing w:after="20" w:line="240" w:lineRule="auto"/>
            </w:pPr>
            <w:r>
              <w:rPr>
                <w:rFonts w:ascii="Arial" w:hAnsi="Arial"/>
                <w:color w:val="172033"/>
                <w:sz w:val="17"/>
              </w:rPr>
              <w:t>No manager may bypass a critical prerequisite; CEO-ratified policy or documented equivalence only</w:t>
            </w:r>
          </w:p>
        </w:tc>
      </w:tr>
    </w:tbl>
    <w:p>
      <w:pPr>
        <w:pStyle w:val="Heading2"/>
      </w:pPr>
      <w:r>
        <w:t>6.1 Role-driven assembly</w:t>
      </w:r>
    </w:p>
    <w:p>
      <w:pPr>
        <w:spacing w:after="100"/>
      </w:pPr>
      <w:r>
        <w:rPr>
          <w:rFonts w:ascii="Arial" w:hAnsi="Arial"/>
          <w:b w:val="0"/>
        </w:rPr>
        <w:t>At enrolment, the Academy reads the approved Role Profile and Role Requirement versions, selects mandatory modules and lessons, adds any approved optional/restricted grants, resolves prerequisites, removes valid equivalents, and snapshots the resulting learning path. Later policy changes do not silently rewrite the snapshot; they create an impact decision.</w:t>
      </w:r>
    </w:p>
    <w:p>
      <w:r>
        <w:br w:type="page"/>
      </w:r>
    </w:p>
    <w:p>
      <w:pPr>
        <w:pStyle w:val="Heading1"/>
      </w:pPr>
      <w:r>
        <w:t>7. Event-specific curriculum</w:t>
      </w:r>
    </w:p>
    <w:p>
      <w:pPr>
        <w:spacing w:after="100"/>
      </w:pPr>
      <w:r>
        <w:rPr>
          <w:rFonts w:ascii="Arial" w:hAnsi="Arial"/>
          <w:b w:val="0"/>
        </w:rPr>
        <w:t>Event-specific learning is a separate, short-lived layer generated from an approved Event Training Package. It applies durable competence to current facts; it never edits the canonical course or exposes the guest database.</w:t>
      </w:r>
    </w:p>
    <w:tbl>
      <w:tblPr>
        <w:tblStyle w:val="TableGrid"/>
        <w:tblW w:type="dxa" w:w="9360"/>
        <w:jc w:val="left"/>
        <w:tblLayout w:type="fixed"/>
        <w:tblLook w:firstColumn="1" w:firstRow="1" w:lastColumn="0" w:lastRow="0" w:noHBand="0" w:noVBand="1" w:val="04A0"/>
        <w:tblInd w:w="120" w:type="dxa"/>
      </w:tblPr>
      <w:tblGrid>
        <w:gridCol w:w="1350"/>
        <w:gridCol w:w="5200"/>
        <w:gridCol w:w="2810"/>
      </w:tblGrid>
      <w:tr>
        <w:tc>
          <w:tcPr>
            <w:tcW w:type="dxa" w:w="1350"/>
            <w:shd w:fill="10243E"/>
            <w:tcMar>
              <w:top w:w="70" w:type="dxa"/>
              <w:start w:w="110" w:type="dxa"/>
              <w:bottom w:w="70" w:type="dxa"/>
              <w:end w:w="110" w:type="dxa"/>
            </w:tcMar>
          </w:tcPr>
          <w:p>
            <w:r>
              <w:rPr>
                <w:rFonts w:ascii="Arial" w:hAnsi="Arial"/>
                <w:b/>
                <w:color w:val="FFFFFF"/>
                <w:sz w:val="17"/>
              </w:rPr>
              <w:t>Unit type</w:t>
            </w:r>
          </w:p>
        </w:tc>
        <w:tc>
          <w:tcPr>
            <w:tcW w:type="dxa" w:w="5200"/>
            <w:shd w:fill="10243E"/>
            <w:tcMar>
              <w:top w:w="70" w:type="dxa"/>
              <w:start w:w="110" w:type="dxa"/>
              <w:bottom w:w="70" w:type="dxa"/>
              <w:end w:w="110" w:type="dxa"/>
            </w:tcMar>
          </w:tcPr>
          <w:p>
            <w:r>
              <w:rPr>
                <w:rFonts w:ascii="Arial" w:hAnsi="Arial"/>
                <w:b/>
                <w:color w:val="FFFFFF"/>
                <w:sz w:val="17"/>
              </w:rPr>
              <w:t>Purpose</w:t>
            </w:r>
          </w:p>
        </w:tc>
        <w:tc>
          <w:tcPr>
            <w:tcW w:type="dxa" w:w="2810"/>
            <w:shd w:fill="10243E"/>
            <w:tcMar>
              <w:top w:w="70" w:type="dxa"/>
              <w:start w:w="110" w:type="dxa"/>
              <w:bottom w:w="70" w:type="dxa"/>
              <w:end w:w="110" w:type="dxa"/>
            </w:tcMar>
          </w:tcPr>
          <w:p>
            <w:r>
              <w:rPr>
                <w:rFonts w:ascii="Arial" w:hAnsi="Arial"/>
                <w:b/>
                <w:color w:val="FFFFFF"/>
                <w:sz w:val="17"/>
              </w:rPr>
              <w:t>Typical evidence</w:t>
            </w:r>
          </w:p>
        </w:tc>
      </w:tr>
      <w:tr>
        <w:tc>
          <w:tcPr>
            <w:tcW w:type="dxa" w:w="1350"/>
            <w:shd w:fill="FFFFFF"/>
            <w:vAlign w:val="top"/>
            <w:tcMar>
              <w:top w:w="70" w:type="dxa"/>
              <w:start w:w="110" w:type="dxa"/>
              <w:bottom w:w="70" w:type="dxa"/>
              <w:end w:w="110" w:type="dxa"/>
            </w:tcMar>
          </w:tcPr>
          <w:p>
            <w:pPr>
              <w:spacing w:after="20" w:line="240" w:lineRule="auto"/>
            </w:pPr>
            <w:r>
              <w:rPr>
                <w:rFonts w:ascii="Arial" w:hAnsi="Arial"/>
                <w:color w:val="172033"/>
                <w:sz w:val="17"/>
              </w:rPr>
              <w:t>EVT-BRF</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7"/>
              </w:rPr>
              <w:t>Role-filtered event brief: promise, programme, reporting and zones</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7"/>
              </w:rPr>
              <w:t>Read plus acknowledgement</w:t>
            </w:r>
          </w:p>
        </w:tc>
      </w:tr>
      <w:tr>
        <w:tc>
          <w:tcPr>
            <w:tcW w:type="dxa" w:w="1350"/>
            <w:shd w:fill="F6F7F9"/>
            <w:vAlign w:val="top"/>
            <w:tcMar>
              <w:top w:w="70" w:type="dxa"/>
              <w:start w:w="110" w:type="dxa"/>
              <w:bottom w:w="70" w:type="dxa"/>
              <w:end w:w="110" w:type="dxa"/>
            </w:tcMar>
          </w:tcPr>
          <w:p>
            <w:pPr>
              <w:spacing w:after="20" w:line="240" w:lineRule="auto"/>
            </w:pPr>
            <w:r>
              <w:rPr>
                <w:rFonts w:ascii="Arial" w:hAnsi="Arial"/>
                <w:color w:val="172033"/>
                <w:sz w:val="17"/>
              </w:rPr>
              <w:t>EVT-STD</w:t>
            </w:r>
          </w:p>
        </w:tc>
        <w:tc>
          <w:tcPr>
            <w:tcW w:type="dxa" w:w="5200"/>
            <w:shd w:fill="F6F7F9"/>
            <w:vAlign w:val="top"/>
            <w:tcMar>
              <w:top w:w="70" w:type="dxa"/>
              <w:start w:w="110" w:type="dxa"/>
              <w:bottom w:w="70" w:type="dxa"/>
              <w:end w:w="110" w:type="dxa"/>
            </w:tcMar>
          </w:tcPr>
          <w:p>
            <w:pPr>
              <w:spacing w:after="20" w:line="240" w:lineRule="auto"/>
            </w:pPr>
            <w:r>
              <w:rPr>
                <w:rFonts w:ascii="Arial" w:hAnsi="Arial"/>
                <w:color w:val="172033"/>
                <w:sz w:val="17"/>
              </w:rPr>
              <w:t>Standards selected for this event and role</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7"/>
              </w:rPr>
              <w:t>Checklist or manager verification</w:t>
            </w:r>
          </w:p>
        </w:tc>
      </w:tr>
      <w:tr>
        <w:tc>
          <w:tcPr>
            <w:tcW w:type="dxa" w:w="1350"/>
            <w:shd w:fill="FFFFFF"/>
            <w:vAlign w:val="top"/>
            <w:tcMar>
              <w:top w:w="70" w:type="dxa"/>
              <w:start w:w="110" w:type="dxa"/>
              <w:bottom w:w="70" w:type="dxa"/>
              <w:end w:w="110" w:type="dxa"/>
            </w:tcMar>
          </w:tcPr>
          <w:p>
            <w:pPr>
              <w:spacing w:after="20" w:line="240" w:lineRule="auto"/>
            </w:pPr>
            <w:r>
              <w:rPr>
                <w:rFonts w:ascii="Arial" w:hAnsi="Arial"/>
                <w:color w:val="172033"/>
                <w:sz w:val="17"/>
              </w:rPr>
              <w:t>EVT-PRC</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7"/>
              </w:rPr>
              <w:t>Arrival, access, seating, movement or communication procedure</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7"/>
              </w:rPr>
              <w:t>Scenario or observed practical</w:t>
            </w:r>
          </w:p>
        </w:tc>
      </w:tr>
      <w:tr>
        <w:tc>
          <w:tcPr>
            <w:tcW w:type="dxa" w:w="1350"/>
            <w:shd w:fill="F6F7F9"/>
            <w:vAlign w:val="top"/>
            <w:tcMar>
              <w:top w:w="70" w:type="dxa"/>
              <w:start w:w="110" w:type="dxa"/>
              <w:bottom w:w="70" w:type="dxa"/>
              <w:end w:w="110" w:type="dxa"/>
            </w:tcMar>
          </w:tcPr>
          <w:p>
            <w:pPr>
              <w:spacing w:after="20" w:line="240" w:lineRule="auto"/>
            </w:pPr>
            <w:r>
              <w:rPr>
                <w:rFonts w:ascii="Arial" w:hAnsi="Arial"/>
                <w:color w:val="172033"/>
                <w:sz w:val="17"/>
              </w:rPr>
              <w:t>EVT-RSK</w:t>
            </w:r>
          </w:p>
        </w:tc>
        <w:tc>
          <w:tcPr>
            <w:tcW w:type="dxa" w:w="5200"/>
            <w:shd w:fill="F6F7F9"/>
            <w:vAlign w:val="top"/>
            <w:tcMar>
              <w:top w:w="70" w:type="dxa"/>
              <w:start w:w="110" w:type="dxa"/>
              <w:bottom w:w="70" w:type="dxa"/>
              <w:end w:w="110" w:type="dxa"/>
            </w:tcMar>
          </w:tcPr>
          <w:p>
            <w:pPr>
              <w:spacing w:after="20" w:line="240" w:lineRule="auto"/>
            </w:pPr>
            <w:r>
              <w:rPr>
                <w:rFonts w:ascii="Arial" w:hAnsi="Arial"/>
                <w:color w:val="172033"/>
                <w:sz w:val="17"/>
              </w:rPr>
              <w:t>Training-relevant risk, trigger, safe action and escalation</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7"/>
              </w:rPr>
              <w:t>Branching decision</w:t>
            </w:r>
          </w:p>
        </w:tc>
      </w:tr>
      <w:tr>
        <w:tc>
          <w:tcPr>
            <w:tcW w:type="dxa" w:w="1350"/>
            <w:shd w:fill="FFFFFF"/>
            <w:vAlign w:val="top"/>
            <w:tcMar>
              <w:top w:w="70" w:type="dxa"/>
              <w:start w:w="110" w:type="dxa"/>
              <w:bottom w:w="70" w:type="dxa"/>
              <w:end w:w="110" w:type="dxa"/>
            </w:tcMar>
          </w:tcPr>
          <w:p>
            <w:pPr>
              <w:spacing w:after="20" w:line="240" w:lineRule="auto"/>
            </w:pPr>
            <w:r>
              <w:rPr>
                <w:rFonts w:ascii="Arial" w:hAnsi="Arial"/>
                <w:color w:val="172033"/>
                <w:sz w:val="17"/>
              </w:rPr>
              <w:t>EVT-CHG</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7"/>
              </w:rPr>
              <w:t>Material change since previous package version</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7"/>
              </w:rPr>
              <w:t>Acknowledgement or reassessment by materiality</w:t>
            </w:r>
          </w:p>
        </w:tc>
      </w:tr>
      <w:tr>
        <w:tc>
          <w:tcPr>
            <w:tcW w:type="dxa" w:w="1350"/>
            <w:shd w:fill="F6F7F9"/>
            <w:vAlign w:val="top"/>
            <w:tcMar>
              <w:top w:w="70" w:type="dxa"/>
              <w:start w:w="110" w:type="dxa"/>
              <w:bottom w:w="70" w:type="dxa"/>
              <w:end w:w="110" w:type="dxa"/>
            </w:tcMar>
          </w:tcPr>
          <w:p>
            <w:pPr>
              <w:spacing w:after="20" w:line="240" w:lineRule="auto"/>
            </w:pPr>
            <w:r>
              <w:rPr>
                <w:rFonts w:ascii="Arial" w:hAnsi="Arial"/>
                <w:color w:val="172033"/>
                <w:sz w:val="17"/>
              </w:rPr>
              <w:t>EVT-REH</w:t>
            </w:r>
          </w:p>
        </w:tc>
        <w:tc>
          <w:tcPr>
            <w:tcW w:type="dxa" w:w="5200"/>
            <w:shd w:fill="F6F7F9"/>
            <w:vAlign w:val="top"/>
            <w:tcMar>
              <w:top w:w="70" w:type="dxa"/>
              <w:start w:w="110" w:type="dxa"/>
              <w:bottom w:w="70" w:type="dxa"/>
              <w:end w:w="110" w:type="dxa"/>
            </w:tcMar>
          </w:tcPr>
          <w:p>
            <w:pPr>
              <w:spacing w:after="20" w:line="240" w:lineRule="auto"/>
            </w:pPr>
            <w:r>
              <w:rPr>
                <w:rFonts w:ascii="Arial" w:hAnsi="Arial"/>
                <w:color w:val="172033"/>
                <w:sz w:val="17"/>
              </w:rPr>
              <w:t>Rehearsal or simulation requirement</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7"/>
              </w:rPr>
              <w:t>Assessor observation and rubric</w:t>
            </w:r>
          </w:p>
        </w:tc>
      </w:tr>
      <w:tr>
        <w:tc>
          <w:tcPr>
            <w:tcW w:type="dxa" w:w="1350"/>
            <w:shd w:fill="FFFFFF"/>
            <w:vAlign w:val="top"/>
            <w:tcMar>
              <w:top w:w="70" w:type="dxa"/>
              <w:start w:w="110" w:type="dxa"/>
              <w:bottom w:w="70" w:type="dxa"/>
              <w:end w:w="110" w:type="dxa"/>
            </w:tcMar>
          </w:tcPr>
          <w:p>
            <w:pPr>
              <w:spacing w:after="20" w:line="240" w:lineRule="auto"/>
            </w:pPr>
            <w:r>
              <w:rPr>
                <w:rFonts w:ascii="Arial" w:hAnsi="Arial"/>
                <w:color w:val="172033"/>
                <w:sz w:val="17"/>
              </w:rPr>
              <w:t>EVT-DEC</w:t>
            </w:r>
          </w:p>
        </w:tc>
        <w:tc>
          <w:tcPr>
            <w:tcW w:type="dxa" w:w="5200"/>
            <w:shd w:fill="FFFFFF"/>
            <w:vAlign w:val="top"/>
            <w:tcMar>
              <w:top w:w="70" w:type="dxa"/>
              <w:start w:w="110" w:type="dxa"/>
              <w:bottom w:w="70" w:type="dxa"/>
              <w:end w:w="110" w:type="dxa"/>
            </w:tcMar>
          </w:tcPr>
          <w:p>
            <w:pPr>
              <w:spacing w:after="20" w:line="240" w:lineRule="auto"/>
            </w:pPr>
            <w:r>
              <w:rPr>
                <w:rFonts w:ascii="Arial" w:hAnsi="Arial"/>
                <w:color w:val="172033"/>
                <w:sz w:val="17"/>
              </w:rPr>
              <w:t>Named authority and decision boundary</w:t>
            </w:r>
          </w:p>
        </w:tc>
        <w:tc>
          <w:tcPr>
            <w:tcW w:type="dxa" w:w="2810"/>
            <w:shd w:fill="FFFFFF"/>
            <w:vAlign w:val="top"/>
            <w:tcMar>
              <w:top w:w="70" w:type="dxa"/>
              <w:start w:w="110" w:type="dxa"/>
              <w:bottom w:w="70" w:type="dxa"/>
              <w:end w:w="110" w:type="dxa"/>
            </w:tcMar>
          </w:tcPr>
          <w:p>
            <w:pPr>
              <w:spacing w:after="20" w:line="240" w:lineRule="auto"/>
            </w:pPr>
            <w:r>
              <w:rPr>
                <w:rFonts w:ascii="Arial" w:hAnsi="Arial"/>
                <w:color w:val="172033"/>
                <w:sz w:val="17"/>
              </w:rPr>
              <w:t>Scenario and acknowledgement</w:t>
            </w:r>
          </w:p>
        </w:tc>
      </w:tr>
      <w:tr>
        <w:tc>
          <w:tcPr>
            <w:tcW w:type="dxa" w:w="1350"/>
            <w:shd w:fill="F6F7F9"/>
            <w:vAlign w:val="top"/>
            <w:tcMar>
              <w:top w:w="70" w:type="dxa"/>
              <w:start w:w="110" w:type="dxa"/>
              <w:bottom w:w="70" w:type="dxa"/>
              <w:end w:w="110" w:type="dxa"/>
            </w:tcMar>
          </w:tcPr>
          <w:p>
            <w:pPr>
              <w:spacing w:after="20" w:line="240" w:lineRule="auto"/>
            </w:pPr>
            <w:r>
              <w:rPr>
                <w:rFonts w:ascii="Arial" w:hAnsi="Arial"/>
                <w:color w:val="172033"/>
                <w:sz w:val="17"/>
              </w:rPr>
              <w:t>EVT-ACK</w:t>
            </w:r>
          </w:p>
        </w:tc>
        <w:tc>
          <w:tcPr>
            <w:tcW w:type="dxa" w:w="5200"/>
            <w:shd w:fill="F6F7F9"/>
            <w:vAlign w:val="top"/>
            <w:tcMar>
              <w:top w:w="70" w:type="dxa"/>
              <w:start w:w="110" w:type="dxa"/>
              <w:bottom w:w="70" w:type="dxa"/>
              <w:end w:w="110" w:type="dxa"/>
            </w:tcMar>
          </w:tcPr>
          <w:p>
            <w:pPr>
              <w:spacing w:after="20" w:line="240" w:lineRule="auto"/>
            </w:pPr>
            <w:r>
              <w:rPr>
                <w:rFonts w:ascii="Arial" w:hAnsi="Arial"/>
                <w:color w:val="172033"/>
                <w:sz w:val="17"/>
              </w:rPr>
              <w:t>Required policy or briefing acknowledgement</w:t>
            </w:r>
          </w:p>
        </w:tc>
        <w:tc>
          <w:tcPr>
            <w:tcW w:type="dxa" w:w="2810"/>
            <w:shd w:fill="F6F7F9"/>
            <w:vAlign w:val="top"/>
            <w:tcMar>
              <w:top w:w="70" w:type="dxa"/>
              <w:start w:w="110" w:type="dxa"/>
              <w:bottom w:w="70" w:type="dxa"/>
              <w:end w:w="110" w:type="dxa"/>
            </w:tcMar>
          </w:tcPr>
          <w:p>
            <w:pPr>
              <w:spacing w:after="20" w:line="240" w:lineRule="auto"/>
            </w:pPr>
            <w:r>
              <w:rPr>
                <w:rFonts w:ascii="Arial" w:hAnsi="Arial"/>
                <w:color w:val="172033"/>
                <w:sz w:val="17"/>
              </w:rPr>
              <w:t>Timestamped, version-bound record</w:t>
            </w:r>
          </w:p>
        </w:tc>
      </w:tr>
    </w:tbl>
    <w:p>
      <w:pPr>
        <w:pStyle w:val="Heading2"/>
      </w:pPr>
      <w:r>
        <w:t>7.1 Event publication flow</w:t>
      </w:r>
    </w:p>
    <w:p>
      <w:pPr>
        <w:pStyle w:val="ListBullet"/>
        <w:spacing w:after="60"/>
        <w:ind w:left="547" w:hanging="274"/>
      </w:pPr>
      <w:r>
        <w:t>OS publishes an approved, immutable Event Training Package version.</w:t>
      </w:r>
    </w:p>
    <w:p>
      <w:pPr>
        <w:pStyle w:val="ListBullet"/>
        <w:spacing w:after="60"/>
        <w:ind w:left="547" w:hanging="274"/>
      </w:pPr>
      <w:r>
        <w:t>Academy verifies signature, organisation, event, role references, audience and checksum.</w:t>
      </w:r>
    </w:p>
    <w:p>
      <w:pPr>
        <w:pStyle w:val="ListBullet"/>
        <w:spacing w:after="60"/>
        <w:ind w:left="547" w:hanging="274"/>
      </w:pPr>
      <w:r>
        <w:t>Academy calculates affected paths and creates only necessary event units.</w:t>
      </w:r>
    </w:p>
    <w:p>
      <w:pPr>
        <w:pStyle w:val="ListBullet"/>
        <w:spacing w:after="60"/>
        <w:ind w:left="547" w:hanging="274"/>
      </w:pPr>
      <w:r>
        <w:t>Learners see role-filtered content with deadline, version and readiness effect.</w:t>
      </w:r>
    </w:p>
    <w:p>
      <w:pPr>
        <w:pStyle w:val="ListBullet"/>
        <w:spacing w:after="60"/>
        <w:ind w:left="547" w:hanging="274"/>
      </w:pPr>
      <w:r>
        <w:t>Material changes return affected readiness to Pending; unaffected evidence remains valid.</w:t>
      </w:r>
    </w:p>
    <w:p>
      <w:pPr>
        <w:pStyle w:val="ListBullet"/>
        <w:spacing w:after="60"/>
        <w:ind w:left="547" w:hanging="274"/>
      </w:pPr>
      <w:r>
        <w:t>Academy returns per-person readiness evidence to the OS; OS retains deployment authority.</w:t>
      </w:r>
    </w:p>
    <w:tbl>
      <w:tblPr>
        <w:tblStyle w:val="TableGrid"/>
        <w:tblW w:type="dxa" w:w="9360"/>
        <w:jc w:val="left"/>
        <w:tblLayout w:type="fixed"/>
        <w:tblLook w:firstColumn="1" w:firstRow="1" w:lastColumn="0" w:lastRow="0" w:noHBand="0" w:noVBand="1" w:val="04A0"/>
        <w:tblInd w:w="120" w:type="dxa"/>
      </w:tblPr>
      <w:tblGrid>
        <w:gridCol w:w="9360"/>
      </w:tblGrid>
      <w:tr>
        <w:tc>
          <w:tcPr>
            <w:tcW w:type="dxa" w:w="9360"/>
            <w:shd w:fill="10243E"/>
            <w:tcMar>
              <w:top w:w="70" w:type="dxa"/>
              <w:start w:w="110" w:type="dxa"/>
              <w:bottom w:w="70" w:type="dxa"/>
              <w:end w:w="110" w:type="dxa"/>
            </w:tcMar>
          </w:tcPr>
          <w:p>
            <w:r>
              <w:rPr>
                <w:rFonts w:ascii="Arial" w:hAnsi="Arial"/>
                <w:b/>
                <w:color w:val="FFFFFF"/>
                <w:sz w:val="17"/>
              </w:rPr>
              <w:t>NO LIVE EVENT YET</w:t>
            </w:r>
          </w:p>
        </w:tc>
      </w:tr>
      <w:tr>
        <w:tc>
          <w:tcPr>
            <w:tcW w:type="dxa" w:w="9360"/>
            <w:shd w:fill="F7F2EC"/>
            <w:vAlign w:val="top"/>
            <w:tcMar>
              <w:top w:w="70" w:type="dxa"/>
              <w:start w:w="110" w:type="dxa"/>
              <w:bottom w:w="70" w:type="dxa"/>
              <w:end w:w="110" w:type="dxa"/>
            </w:tcMar>
          </w:tcPr>
          <w:p>
            <w:pPr>
              <w:spacing w:after="20" w:line="240" w:lineRule="auto"/>
            </w:pPr>
            <w:r>
              <w:rPr>
                <w:rFonts w:ascii="Arial" w:hAnsi="Arial"/>
                <w:color w:val="172033"/>
                <w:sz w:val="18"/>
              </w:rPr>
              <w:t>Until a production event exists, event-specific curriculum is validated with named reference events covering Lagos conditions, remote operations, sensitive VIP handling, vendor failure and material change.</w:t>
            </w:r>
          </w:p>
        </w:tc>
      </w:tr>
    </w:tbl>
    <w:p>
      <w:r>
        <w:br w:type="page"/>
      </w:r>
    </w:p>
    <w:p>
      <w:pPr>
        <w:pStyle w:val="Heading1"/>
      </w:pPr>
      <w:r>
        <w:t>8. Refresher learning</w:t>
      </w:r>
    </w:p>
    <w:tbl>
      <w:tblPr>
        <w:tblStyle w:val="TableGrid"/>
        <w:tblW w:type="dxa" w:w="9460"/>
        <w:jc w:val="left"/>
        <w:tblLayout w:type="fixed"/>
        <w:tblLook w:firstColumn="1" w:firstRow="1" w:lastColumn="0" w:lastRow="0" w:noHBand="0" w:noVBand="1" w:val="04A0"/>
        <w:tblInd w:w="120" w:type="dxa"/>
      </w:tblPr>
      <w:tblGrid>
        <w:gridCol w:w="2100"/>
        <w:gridCol w:w="4250"/>
        <w:gridCol w:w="3110"/>
      </w:tblGrid>
      <w:tr>
        <w:tc>
          <w:tcPr>
            <w:tcW w:type="dxa" w:w="2100"/>
            <w:shd w:fill="10243E"/>
            <w:tcMar>
              <w:top w:w="70" w:type="dxa"/>
              <w:start w:w="110" w:type="dxa"/>
              <w:bottom w:w="70" w:type="dxa"/>
              <w:end w:w="110" w:type="dxa"/>
            </w:tcMar>
          </w:tcPr>
          <w:p>
            <w:r>
              <w:rPr>
                <w:rFonts w:ascii="Arial" w:hAnsi="Arial"/>
                <w:b/>
                <w:color w:val="FFFFFF"/>
                <w:sz w:val="17"/>
              </w:rPr>
              <w:t>Trigger</w:t>
            </w:r>
          </w:p>
        </w:tc>
        <w:tc>
          <w:tcPr>
            <w:tcW w:type="dxa" w:w="4250"/>
            <w:shd w:fill="10243E"/>
            <w:tcMar>
              <w:top w:w="70" w:type="dxa"/>
              <w:start w:w="110" w:type="dxa"/>
              <w:bottom w:w="70" w:type="dxa"/>
              <w:end w:w="110" w:type="dxa"/>
            </w:tcMar>
          </w:tcPr>
          <w:p>
            <w:r>
              <w:rPr>
                <w:rFonts w:ascii="Arial" w:hAnsi="Arial"/>
                <w:b/>
                <w:color w:val="FFFFFF"/>
                <w:sz w:val="17"/>
              </w:rPr>
              <w:t>Default refresher</w:t>
            </w:r>
          </w:p>
        </w:tc>
        <w:tc>
          <w:tcPr>
            <w:tcW w:type="dxa" w:w="3110"/>
            <w:shd w:fill="10243E"/>
            <w:tcMar>
              <w:top w:w="70" w:type="dxa"/>
              <w:start w:w="110" w:type="dxa"/>
              <w:bottom w:w="70" w:type="dxa"/>
              <w:end w:w="110" w:type="dxa"/>
            </w:tcMar>
          </w:tcPr>
          <w:p>
            <w:r>
              <w:rPr>
                <w:rFonts w:ascii="Arial" w:hAnsi="Arial"/>
                <w:b/>
                <w:color w:val="FFFFFF"/>
                <w:sz w:val="17"/>
              </w:rPr>
              <w:t>Assessment effect</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Annual renewal</w:t>
            </w:r>
          </w:p>
        </w:tc>
        <w:tc>
          <w:tcPr>
            <w:tcW w:type="dxa" w:w="4250"/>
            <w:shd w:fill="FFFFFF"/>
            <w:vAlign w:val="top"/>
            <w:tcMar>
              <w:top w:w="70" w:type="dxa"/>
              <w:start w:w="110" w:type="dxa"/>
              <w:bottom w:w="70" w:type="dxa"/>
              <w:end w:w="110" w:type="dxa"/>
            </w:tcMar>
          </w:tcPr>
          <w:p>
            <w:pPr>
              <w:spacing w:after="20" w:line="240" w:lineRule="auto"/>
            </w:pPr>
            <w:r>
              <w:rPr>
                <w:rFonts w:ascii="Arial" w:hAnsi="Arial"/>
                <w:color w:val="172033"/>
                <w:sz w:val="17"/>
              </w:rPr>
              <w:t>Role-scope knowledge and practical renewal</w:t>
            </w:r>
          </w:p>
        </w:tc>
        <w:tc>
          <w:tcPr>
            <w:tcW w:type="dxa" w:w="3110"/>
            <w:shd w:fill="FFFFFF"/>
            <w:vAlign w:val="top"/>
            <w:tcMar>
              <w:top w:w="70" w:type="dxa"/>
              <w:start w:w="110" w:type="dxa"/>
              <w:bottom w:w="70" w:type="dxa"/>
              <w:end w:w="110" w:type="dxa"/>
            </w:tcMar>
          </w:tcPr>
          <w:p>
            <w:pPr>
              <w:spacing w:after="20" w:line="240" w:lineRule="auto"/>
            </w:pPr>
            <w:r>
              <w:rPr>
                <w:rFonts w:ascii="Arial" w:hAnsi="Arial"/>
                <w:color w:val="172033"/>
                <w:sz w:val="17"/>
              </w:rPr>
              <w:t>Supports recertification when passed</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Six-month high-risk cycle</w:t>
            </w:r>
          </w:p>
        </w:tc>
        <w:tc>
          <w:tcPr>
            <w:tcW w:type="dxa" w:w="4250"/>
            <w:shd w:fill="F6F7F9"/>
            <w:vAlign w:val="top"/>
            <w:tcMar>
              <w:top w:w="70" w:type="dxa"/>
              <w:start w:w="110" w:type="dxa"/>
              <w:bottom w:w="70" w:type="dxa"/>
              <w:end w:w="110" w:type="dxa"/>
            </w:tcMar>
          </w:tcPr>
          <w:p>
            <w:pPr>
              <w:spacing w:after="20" w:line="240" w:lineRule="auto"/>
            </w:pPr>
            <w:r>
              <w:rPr>
                <w:rFonts w:ascii="Arial" w:hAnsi="Arial"/>
                <w:color w:val="172033"/>
                <w:sz w:val="17"/>
              </w:rPr>
              <w:t>Safety, security, access, protocol or other designated critical scope</w:t>
            </w:r>
          </w:p>
        </w:tc>
        <w:tc>
          <w:tcPr>
            <w:tcW w:type="dxa" w:w="3110"/>
            <w:shd w:fill="F6F7F9"/>
            <w:vAlign w:val="top"/>
            <w:tcMar>
              <w:top w:w="70" w:type="dxa"/>
              <w:start w:w="110" w:type="dxa"/>
              <w:bottom w:w="70" w:type="dxa"/>
              <w:end w:w="110" w:type="dxa"/>
            </w:tcMar>
          </w:tcPr>
          <w:p>
            <w:pPr>
              <w:spacing w:after="20" w:line="240" w:lineRule="auto"/>
            </w:pPr>
            <w:r>
              <w:rPr>
                <w:rFonts w:ascii="Arial" w:hAnsi="Arial"/>
                <w:color w:val="172033"/>
                <w:sz w:val="17"/>
              </w:rPr>
              <w:t>Required before high-risk certificate expiry</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Material doctrine change</w:t>
            </w:r>
          </w:p>
        </w:tc>
        <w:tc>
          <w:tcPr>
            <w:tcW w:type="dxa" w:w="4250"/>
            <w:shd w:fill="FFFFFF"/>
            <w:vAlign w:val="top"/>
            <w:tcMar>
              <w:top w:w="70" w:type="dxa"/>
              <w:start w:w="110" w:type="dxa"/>
              <w:bottom w:w="70" w:type="dxa"/>
              <w:end w:w="110" w:type="dxa"/>
            </w:tcMar>
          </w:tcPr>
          <w:p>
            <w:pPr>
              <w:spacing w:after="20" w:line="240" w:lineRule="auto"/>
            </w:pPr>
            <w:r>
              <w:rPr>
                <w:rFonts w:ascii="Arial" w:hAnsi="Arial"/>
                <w:color w:val="172033"/>
                <w:sz w:val="17"/>
              </w:rPr>
              <w:t>Delta lesson explaining old/new rule and consequences</w:t>
            </w:r>
          </w:p>
        </w:tc>
        <w:tc>
          <w:tcPr>
            <w:tcW w:type="dxa" w:w="3110"/>
            <w:shd w:fill="FFFFFF"/>
            <w:vAlign w:val="top"/>
            <w:tcMar>
              <w:top w:w="70" w:type="dxa"/>
              <w:start w:w="110" w:type="dxa"/>
              <w:bottom w:w="70" w:type="dxa"/>
              <w:end w:w="110" w:type="dxa"/>
            </w:tcMar>
          </w:tcPr>
          <w:p>
            <w:pPr>
              <w:spacing w:after="20" w:line="240" w:lineRule="auto"/>
            </w:pPr>
            <w:r>
              <w:rPr>
                <w:rFonts w:ascii="Arial" w:hAnsi="Arial"/>
                <w:color w:val="172033"/>
                <w:sz w:val="17"/>
              </w:rPr>
              <w:t>Targeted reassessment of affected competencies</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Event pattern / approved lesson</w:t>
            </w:r>
          </w:p>
        </w:tc>
        <w:tc>
          <w:tcPr>
            <w:tcW w:type="dxa" w:w="4250"/>
            <w:shd w:fill="F6F7F9"/>
            <w:vAlign w:val="top"/>
            <w:tcMar>
              <w:top w:w="70" w:type="dxa"/>
              <w:start w:w="110" w:type="dxa"/>
              <w:bottom w:w="70" w:type="dxa"/>
              <w:end w:w="110" w:type="dxa"/>
            </w:tcMar>
          </w:tcPr>
          <w:p>
            <w:pPr>
              <w:spacing w:after="20" w:line="240" w:lineRule="auto"/>
            </w:pPr>
            <w:r>
              <w:rPr>
                <w:rFonts w:ascii="Arial" w:hAnsi="Arial"/>
                <w:color w:val="172033"/>
                <w:sz w:val="17"/>
              </w:rPr>
              <w:t>Scenario-based learning from promoted evidence</w:t>
            </w:r>
          </w:p>
        </w:tc>
        <w:tc>
          <w:tcPr>
            <w:tcW w:type="dxa" w:w="3110"/>
            <w:shd w:fill="F6F7F9"/>
            <w:vAlign w:val="top"/>
            <w:tcMar>
              <w:top w:w="70" w:type="dxa"/>
              <w:start w:w="110" w:type="dxa"/>
              <w:bottom w:w="70" w:type="dxa"/>
              <w:end w:w="110" w:type="dxa"/>
            </w:tcMar>
          </w:tcPr>
          <w:p>
            <w:pPr>
              <w:spacing w:after="20" w:line="240" w:lineRule="auto"/>
            </w:pPr>
            <w:r>
              <w:rPr>
                <w:rFonts w:ascii="Arial" w:hAnsi="Arial"/>
                <w:color w:val="172033"/>
                <w:sz w:val="17"/>
              </w:rPr>
              <w:t>No certificate effect unless policy marks material</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Performance gap</w:t>
            </w:r>
          </w:p>
        </w:tc>
        <w:tc>
          <w:tcPr>
            <w:tcW w:type="dxa" w:w="4250"/>
            <w:shd w:fill="FFFFFF"/>
            <w:vAlign w:val="top"/>
            <w:tcMar>
              <w:top w:w="70" w:type="dxa"/>
              <w:start w:w="110" w:type="dxa"/>
              <w:bottom w:w="70" w:type="dxa"/>
              <w:end w:w="110" w:type="dxa"/>
            </w:tcMar>
          </w:tcPr>
          <w:p>
            <w:pPr>
              <w:spacing w:after="20" w:line="240" w:lineRule="auto"/>
            </w:pPr>
            <w:r>
              <w:rPr>
                <w:rFonts w:ascii="Arial" w:hAnsi="Arial"/>
                <w:color w:val="172033"/>
                <w:sz w:val="17"/>
              </w:rPr>
              <w:t>Manager/assessor-assigned remediation</w:t>
            </w:r>
          </w:p>
        </w:tc>
        <w:tc>
          <w:tcPr>
            <w:tcW w:type="dxa" w:w="3110"/>
            <w:shd w:fill="FFFFFF"/>
            <w:vAlign w:val="top"/>
            <w:tcMar>
              <w:top w:w="70" w:type="dxa"/>
              <w:start w:w="110" w:type="dxa"/>
              <w:bottom w:w="70" w:type="dxa"/>
              <w:end w:w="110" w:type="dxa"/>
            </w:tcMar>
          </w:tcPr>
          <w:p>
            <w:pPr>
              <w:spacing w:after="20" w:line="240" w:lineRule="auto"/>
            </w:pPr>
            <w:r>
              <w:rPr>
                <w:rFonts w:ascii="Arial" w:hAnsi="Arial"/>
                <w:color w:val="172033"/>
                <w:sz w:val="17"/>
              </w:rPr>
              <w:t>Closes named gap only; does not erase prior attempt</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Long inactivity</w:t>
            </w:r>
          </w:p>
        </w:tc>
        <w:tc>
          <w:tcPr>
            <w:tcW w:type="dxa" w:w="4250"/>
            <w:shd w:fill="F6F7F9"/>
            <w:vAlign w:val="top"/>
            <w:tcMar>
              <w:top w:w="70" w:type="dxa"/>
              <w:start w:w="110" w:type="dxa"/>
              <w:bottom w:w="70" w:type="dxa"/>
              <w:end w:w="110" w:type="dxa"/>
            </w:tcMar>
          </w:tcPr>
          <w:p>
            <w:pPr>
              <w:spacing w:after="20" w:line="240" w:lineRule="auto"/>
            </w:pPr>
            <w:r>
              <w:rPr>
                <w:rFonts w:ascii="Arial" w:hAnsi="Arial"/>
                <w:color w:val="172033"/>
                <w:sz w:val="17"/>
              </w:rPr>
              <w:t>Return-to-role orientation and practical</w:t>
            </w:r>
          </w:p>
        </w:tc>
        <w:tc>
          <w:tcPr>
            <w:tcW w:type="dxa" w:w="3110"/>
            <w:shd w:fill="F6F7F9"/>
            <w:vAlign w:val="top"/>
            <w:tcMar>
              <w:top w:w="70" w:type="dxa"/>
              <w:start w:w="110" w:type="dxa"/>
              <w:bottom w:w="70" w:type="dxa"/>
              <w:end w:w="110" w:type="dxa"/>
            </w:tcMar>
          </w:tcPr>
          <w:p>
            <w:pPr>
              <w:spacing w:after="20" w:line="240" w:lineRule="auto"/>
            </w:pPr>
            <w:r>
              <w:rPr>
                <w:rFonts w:ascii="Arial" w:hAnsi="Arial"/>
                <w:color w:val="172033"/>
                <w:sz w:val="17"/>
              </w:rPr>
              <w:t>Required when role policy threshold is reached</w:t>
            </w:r>
          </w:p>
        </w:tc>
      </w:tr>
      <w:tr>
        <w:tc>
          <w:tcPr>
            <w:tcW w:type="dxa" w:w="2100"/>
            <w:shd w:fill="FFFFFF"/>
            <w:vAlign w:val="top"/>
            <w:tcMar>
              <w:top w:w="70" w:type="dxa"/>
              <w:start w:w="110" w:type="dxa"/>
              <w:bottom w:w="70" w:type="dxa"/>
              <w:end w:w="110" w:type="dxa"/>
            </w:tcMar>
          </w:tcPr>
          <w:p>
            <w:pPr>
              <w:spacing w:after="20" w:line="240" w:lineRule="auto"/>
            </w:pPr>
            <w:r>
              <w:rPr>
                <w:rFonts w:ascii="Arial" w:hAnsi="Arial"/>
                <w:color w:val="172033"/>
                <w:sz w:val="17"/>
              </w:rPr>
              <w:t>Role change</w:t>
            </w:r>
          </w:p>
        </w:tc>
        <w:tc>
          <w:tcPr>
            <w:tcW w:type="dxa" w:w="4250"/>
            <w:shd w:fill="FFFFFF"/>
            <w:vAlign w:val="top"/>
            <w:tcMar>
              <w:top w:w="70" w:type="dxa"/>
              <w:start w:w="110" w:type="dxa"/>
              <w:bottom w:w="70" w:type="dxa"/>
              <w:end w:w="110" w:type="dxa"/>
            </w:tcMar>
          </w:tcPr>
          <w:p>
            <w:pPr>
              <w:spacing w:after="20" w:line="240" w:lineRule="auto"/>
            </w:pPr>
            <w:r>
              <w:rPr>
                <w:rFonts w:ascii="Arial" w:hAnsi="Arial"/>
                <w:color w:val="172033"/>
                <w:sz w:val="17"/>
              </w:rPr>
              <w:t>Destination gap curriculum</w:t>
            </w:r>
          </w:p>
        </w:tc>
        <w:tc>
          <w:tcPr>
            <w:tcW w:type="dxa" w:w="3110"/>
            <w:shd w:fill="FFFFFF"/>
            <w:vAlign w:val="top"/>
            <w:tcMar>
              <w:top w:w="70" w:type="dxa"/>
              <w:start w:w="110" w:type="dxa"/>
              <w:bottom w:w="70" w:type="dxa"/>
              <w:end w:w="110" w:type="dxa"/>
            </w:tcMar>
          </w:tcPr>
          <w:p>
            <w:pPr>
              <w:spacing w:after="20" w:line="240" w:lineRule="auto"/>
            </w:pPr>
            <w:r>
              <w:rPr>
                <w:rFonts w:ascii="Arial" w:hAnsi="Arial"/>
                <w:color w:val="172033"/>
                <w:sz w:val="17"/>
              </w:rPr>
              <w:t>Only missing or superseded requirements</w:t>
            </w:r>
          </w:p>
        </w:tc>
      </w:tr>
      <w:tr>
        <w:tc>
          <w:tcPr>
            <w:tcW w:type="dxa" w:w="2100"/>
            <w:shd w:fill="F6F7F9"/>
            <w:vAlign w:val="top"/>
            <w:tcMar>
              <w:top w:w="70" w:type="dxa"/>
              <w:start w:w="110" w:type="dxa"/>
              <w:bottom w:w="70" w:type="dxa"/>
              <w:end w:w="110" w:type="dxa"/>
            </w:tcMar>
          </w:tcPr>
          <w:p>
            <w:pPr>
              <w:spacing w:after="20" w:line="240" w:lineRule="auto"/>
            </w:pPr>
            <w:r>
              <w:rPr>
                <w:rFonts w:ascii="Arial" w:hAnsi="Arial"/>
                <w:color w:val="172033"/>
                <w:sz w:val="17"/>
              </w:rPr>
              <w:t>Failed critical competency</w:t>
            </w:r>
          </w:p>
        </w:tc>
        <w:tc>
          <w:tcPr>
            <w:tcW w:type="dxa" w:w="4250"/>
            <w:shd w:fill="F6F7F9"/>
            <w:vAlign w:val="top"/>
            <w:tcMar>
              <w:top w:w="70" w:type="dxa"/>
              <w:start w:w="110" w:type="dxa"/>
              <w:bottom w:w="70" w:type="dxa"/>
              <w:end w:w="110" w:type="dxa"/>
            </w:tcMar>
          </w:tcPr>
          <w:p>
            <w:pPr>
              <w:spacing w:after="20" w:line="240" w:lineRule="auto"/>
            </w:pPr>
            <w:r>
              <w:rPr>
                <w:rFonts w:ascii="Arial" w:hAnsi="Arial"/>
                <w:color w:val="172033"/>
                <w:sz w:val="17"/>
              </w:rPr>
              <w:t>Targeted study plus equivalent retake form</w:t>
            </w:r>
          </w:p>
        </w:tc>
        <w:tc>
          <w:tcPr>
            <w:tcW w:type="dxa" w:w="3110"/>
            <w:shd w:fill="F6F7F9"/>
            <w:vAlign w:val="top"/>
            <w:tcMar>
              <w:top w:w="70" w:type="dxa"/>
              <w:start w:w="110" w:type="dxa"/>
              <w:bottom w:w="70" w:type="dxa"/>
              <w:end w:w="110" w:type="dxa"/>
            </w:tcMar>
          </w:tcPr>
          <w:p>
            <w:pPr>
              <w:spacing w:after="20" w:line="240" w:lineRule="auto"/>
            </w:pPr>
            <w:r>
              <w:rPr>
                <w:rFonts w:ascii="Arial" w:hAnsi="Arial"/>
                <w:color w:val="172033"/>
                <w:sz w:val="17"/>
              </w:rPr>
              <w:t>Critical competency must independently pass</w:t>
            </w:r>
          </w:p>
        </w:tc>
      </w:tr>
    </w:tbl>
    <w:p>
      <w:pPr>
        <w:pStyle w:val="Heading2"/>
      </w:pPr>
      <w:r>
        <w:t>8.1 Refresher construction rules</w:t>
      </w:r>
    </w:p>
    <w:p>
      <w:pPr>
        <w:pStyle w:val="ListBullet"/>
        <w:spacing w:after="60"/>
        <w:ind w:left="547" w:hanging="274"/>
      </w:pPr>
      <w:r>
        <w:t>A refresher has its own REF ID, trigger, source version, competency scope and expiry.</w:t>
      </w:r>
    </w:p>
    <w:p>
      <w:pPr>
        <w:pStyle w:val="ListBullet"/>
        <w:spacing w:after="60"/>
        <w:ind w:left="547" w:hanging="274"/>
      </w:pPr>
      <w:r>
        <w:t>It is shorter than the full course only when evidence shows unchanged competence can safely be reused.</w:t>
      </w:r>
    </w:p>
    <w:p>
      <w:pPr>
        <w:pStyle w:val="ListBullet"/>
        <w:spacing w:after="60"/>
        <w:ind w:left="547" w:hanging="274"/>
      </w:pPr>
      <w:r>
        <w:t>Completion does not extend unrelated competencies.</w:t>
      </w:r>
    </w:p>
    <w:p>
      <w:pPr>
        <w:pStyle w:val="ListBullet"/>
        <w:spacing w:after="60"/>
        <w:ind w:left="547" w:hanging="274"/>
      </w:pPr>
      <w:r>
        <w:t>Repeated failure escalates remediation but does not cap permitted retakes.</w:t>
      </w:r>
    </w:p>
    <w:p>
      <w:pPr>
        <w:pStyle w:val="ListBullet"/>
        <w:spacing w:after="60"/>
        <w:ind w:left="547" w:hanging="274"/>
      </w:pPr>
      <w:r>
        <w:t>Retakes are unlimited and governed; question exposure, study interval and assessor review controls may apply.</w:t>
      </w:r>
    </w:p>
    <w:p>
      <w:r>
        <w:br w:type="page"/>
      </w:r>
    </w:p>
    <w:p>
      <w:pPr>
        <w:pStyle w:val="Heading1"/>
      </w:pPr>
      <w:r>
        <w:t>9. Content formats and delivery</w:t>
      </w:r>
    </w:p>
    <w:tbl>
      <w:tblPr>
        <w:tblStyle w:val="TableGrid"/>
        <w:tblW w:type="dxa" w:w="9360"/>
        <w:jc w:val="left"/>
        <w:tblLayout w:type="fixed"/>
        <w:tblLook w:firstColumn="1" w:firstRow="1" w:lastColumn="0" w:lastRow="0" w:noHBand="0" w:noVBand="1" w:val="04A0"/>
        <w:tblInd w:w="120" w:type="dxa"/>
      </w:tblPr>
      <w:tblGrid>
        <w:gridCol w:w="1900"/>
        <w:gridCol w:w="3880"/>
        <w:gridCol w:w="3580"/>
      </w:tblGrid>
      <w:tr>
        <w:tc>
          <w:tcPr>
            <w:tcW w:type="dxa" w:w="1900"/>
            <w:shd w:fill="10243E"/>
            <w:tcMar>
              <w:top w:w="70" w:type="dxa"/>
              <w:start w:w="110" w:type="dxa"/>
              <w:bottom w:w="70" w:type="dxa"/>
              <w:end w:w="110" w:type="dxa"/>
            </w:tcMar>
          </w:tcPr>
          <w:p>
            <w:r>
              <w:rPr>
                <w:rFonts w:ascii="Arial" w:hAnsi="Arial"/>
                <w:b/>
                <w:color w:val="FFFFFF"/>
                <w:sz w:val="17"/>
              </w:rPr>
              <w:t>Format</w:t>
            </w:r>
          </w:p>
        </w:tc>
        <w:tc>
          <w:tcPr>
            <w:tcW w:type="dxa" w:w="3880"/>
            <w:shd w:fill="10243E"/>
            <w:tcMar>
              <w:top w:w="70" w:type="dxa"/>
              <w:start w:w="110" w:type="dxa"/>
              <w:bottom w:w="70" w:type="dxa"/>
              <w:end w:w="110" w:type="dxa"/>
            </w:tcMar>
          </w:tcPr>
          <w:p>
            <w:r>
              <w:rPr>
                <w:rFonts w:ascii="Arial" w:hAnsi="Arial"/>
                <w:b/>
                <w:color w:val="FFFFFF"/>
                <w:sz w:val="17"/>
              </w:rPr>
              <w:t>Use</w:t>
            </w:r>
          </w:p>
        </w:tc>
        <w:tc>
          <w:tcPr>
            <w:tcW w:type="dxa" w:w="3580"/>
            <w:shd w:fill="10243E"/>
            <w:tcMar>
              <w:top w:w="70" w:type="dxa"/>
              <w:start w:w="110" w:type="dxa"/>
              <w:bottom w:w="70" w:type="dxa"/>
              <w:end w:w="110" w:type="dxa"/>
            </w:tcMar>
          </w:tcPr>
          <w:p>
            <w:r>
              <w:rPr>
                <w:rFonts w:ascii="Arial" w:hAnsi="Arial"/>
                <w:b/>
                <w:color w:val="FFFFFF"/>
                <w:sz w:val="17"/>
              </w:rPr>
              <w:t>Required safeguard</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Editorial lesson</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7"/>
              </w:rPr>
              <w:t>Doctrine, model and worked explanation</w:t>
            </w:r>
          </w:p>
        </w:tc>
        <w:tc>
          <w:tcPr>
            <w:tcW w:type="dxa" w:w="3580"/>
            <w:shd w:fill="FFFFFF"/>
            <w:vAlign w:val="top"/>
            <w:tcMar>
              <w:top w:w="70" w:type="dxa"/>
              <w:start w:w="110" w:type="dxa"/>
              <w:bottom w:w="70" w:type="dxa"/>
              <w:end w:w="110" w:type="dxa"/>
            </w:tcMar>
          </w:tcPr>
          <w:p>
            <w:pPr>
              <w:spacing w:after="20" w:line="240" w:lineRule="auto"/>
            </w:pPr>
            <w:r>
              <w:rPr>
                <w:rFonts w:ascii="Arial" w:hAnsi="Arial"/>
                <w:color w:val="172033"/>
                <w:sz w:val="17"/>
              </w:rPr>
              <w:t>Source and knowledge-state labels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Interactive scenario</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7"/>
              </w:rPr>
              <w:t>Applied judgement and branching consequence</w:t>
            </w:r>
          </w:p>
        </w:tc>
        <w:tc>
          <w:tcPr>
            <w:tcW w:type="dxa" w:w="3580"/>
            <w:shd w:fill="F6F7F9"/>
            <w:vAlign w:val="top"/>
            <w:tcMar>
              <w:top w:w="70" w:type="dxa"/>
              <w:start w:w="110" w:type="dxa"/>
              <w:bottom w:w="70" w:type="dxa"/>
              <w:end w:w="110" w:type="dxa"/>
            </w:tcMar>
          </w:tcPr>
          <w:p>
            <w:pPr>
              <w:spacing w:after="20" w:line="240" w:lineRule="auto"/>
            </w:pPr>
            <w:r>
              <w:rPr>
                <w:rFonts w:ascii="Arial" w:hAnsi="Arial"/>
                <w:color w:val="172033"/>
                <w:sz w:val="17"/>
              </w:rPr>
              <w:t>Equivalent branches and reproducible scoring</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Decision sequence</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7"/>
              </w:rPr>
              <w:t>Ordering, cueing, escalation or recovery</w:t>
            </w:r>
          </w:p>
        </w:tc>
        <w:tc>
          <w:tcPr>
            <w:tcW w:type="dxa" w:w="3580"/>
            <w:shd w:fill="FFFFFF"/>
            <w:vAlign w:val="top"/>
            <w:tcMar>
              <w:top w:w="70" w:type="dxa"/>
              <w:start w:w="110" w:type="dxa"/>
              <w:bottom w:w="70" w:type="dxa"/>
              <w:end w:w="110" w:type="dxa"/>
            </w:tcMar>
          </w:tcPr>
          <w:p>
            <w:pPr>
              <w:spacing w:after="20" w:line="240" w:lineRule="auto"/>
            </w:pPr>
            <w:r>
              <w:rPr>
                <w:rFonts w:ascii="Arial" w:hAnsi="Arial"/>
                <w:color w:val="172033"/>
                <w:sz w:val="17"/>
              </w:rPr>
              <w:t>Partial-credit rule declared in rubric</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Role-play / simulation</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7"/>
              </w:rPr>
              <w:t>Language, command, recovery and protocol</w:t>
            </w:r>
          </w:p>
        </w:tc>
        <w:tc>
          <w:tcPr>
            <w:tcW w:type="dxa" w:w="3580"/>
            <w:shd w:fill="F6F7F9"/>
            <w:vAlign w:val="top"/>
            <w:tcMar>
              <w:top w:w="70" w:type="dxa"/>
              <w:start w:w="110" w:type="dxa"/>
              <w:bottom w:w="70" w:type="dxa"/>
              <w:end w:w="110" w:type="dxa"/>
            </w:tcMar>
          </w:tcPr>
          <w:p>
            <w:pPr>
              <w:spacing w:after="20" w:line="240" w:lineRule="auto"/>
            </w:pPr>
            <w:r>
              <w:rPr>
                <w:rFonts w:ascii="Arial" w:hAnsi="Arial"/>
                <w:color w:val="172033"/>
                <w:sz w:val="17"/>
              </w:rPr>
              <w:t>Observer rubric and evidence note</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Evidence submission</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7"/>
              </w:rPr>
              <w:t>Plans, briefs, maps, checklists or recordings</w:t>
            </w:r>
          </w:p>
        </w:tc>
        <w:tc>
          <w:tcPr>
            <w:tcW w:type="dxa" w:w="3580"/>
            <w:shd w:fill="FFFFFF"/>
            <w:vAlign w:val="top"/>
            <w:tcMar>
              <w:top w:w="70" w:type="dxa"/>
              <w:start w:w="110" w:type="dxa"/>
              <w:bottom w:w="70" w:type="dxa"/>
              <w:end w:w="110" w:type="dxa"/>
            </w:tcMar>
          </w:tcPr>
          <w:p>
            <w:pPr>
              <w:spacing w:after="20" w:line="240" w:lineRule="auto"/>
            </w:pPr>
            <w:r>
              <w:rPr>
                <w:rFonts w:ascii="Arial" w:hAnsi="Arial"/>
                <w:color w:val="172033"/>
                <w:sz w:val="17"/>
              </w:rPr>
              <w:t>Privacy classification and retention</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Live observation</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7"/>
              </w:rPr>
              <w:t>Supervised event or rehearsal performance</w:t>
            </w:r>
          </w:p>
        </w:tc>
        <w:tc>
          <w:tcPr>
            <w:tcW w:type="dxa" w:w="3580"/>
            <w:shd w:fill="F6F7F9"/>
            <w:vAlign w:val="top"/>
            <w:tcMar>
              <w:top w:w="70" w:type="dxa"/>
              <w:start w:w="110" w:type="dxa"/>
              <w:bottom w:w="70" w:type="dxa"/>
              <w:end w:w="110" w:type="dxa"/>
            </w:tcMar>
          </w:tcPr>
          <w:p>
            <w:pPr>
              <w:spacing w:after="20" w:line="240" w:lineRule="auto"/>
            </w:pPr>
            <w:r>
              <w:rPr>
                <w:rFonts w:ascii="Arial" w:hAnsi="Arial"/>
                <w:color w:val="172033"/>
                <w:sz w:val="17"/>
              </w:rPr>
              <w:t>Consent, safe task, authorised assessor</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Microlearning</w:t>
            </w:r>
          </w:p>
        </w:tc>
        <w:tc>
          <w:tcPr>
            <w:tcW w:type="dxa" w:w="3880"/>
            <w:shd w:fill="FFFFFF"/>
            <w:vAlign w:val="top"/>
            <w:tcMar>
              <w:top w:w="70" w:type="dxa"/>
              <w:start w:w="110" w:type="dxa"/>
              <w:bottom w:w="70" w:type="dxa"/>
              <w:end w:w="110" w:type="dxa"/>
            </w:tcMar>
          </w:tcPr>
          <w:p>
            <w:pPr>
              <w:spacing w:after="20" w:line="240" w:lineRule="auto"/>
            </w:pPr>
            <w:r>
              <w:rPr>
                <w:rFonts w:ascii="Arial" w:hAnsi="Arial"/>
                <w:color w:val="172033"/>
                <w:sz w:val="17"/>
              </w:rPr>
              <w:t>Material change, reminder or single-risk refresher</w:t>
            </w:r>
          </w:p>
        </w:tc>
        <w:tc>
          <w:tcPr>
            <w:tcW w:type="dxa" w:w="3580"/>
            <w:shd w:fill="FFFFFF"/>
            <w:vAlign w:val="top"/>
            <w:tcMar>
              <w:top w:w="70" w:type="dxa"/>
              <w:start w:w="110" w:type="dxa"/>
              <w:bottom w:w="70" w:type="dxa"/>
              <w:end w:w="110" w:type="dxa"/>
            </w:tcMar>
          </w:tcPr>
          <w:p>
            <w:pPr>
              <w:spacing w:after="20" w:line="240" w:lineRule="auto"/>
            </w:pPr>
            <w:r>
              <w:rPr>
                <w:rFonts w:ascii="Arial" w:hAnsi="Arial"/>
                <w:color w:val="172033"/>
                <w:sz w:val="17"/>
              </w:rPr>
              <w:t>Cannot replace required practical</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Downloadable job aid</w:t>
            </w:r>
          </w:p>
        </w:tc>
        <w:tc>
          <w:tcPr>
            <w:tcW w:type="dxa" w:w="3880"/>
            <w:shd w:fill="F6F7F9"/>
            <w:vAlign w:val="top"/>
            <w:tcMar>
              <w:top w:w="70" w:type="dxa"/>
              <w:start w:w="110" w:type="dxa"/>
              <w:bottom w:w="70" w:type="dxa"/>
              <w:end w:w="110" w:type="dxa"/>
            </w:tcMar>
          </w:tcPr>
          <w:p>
            <w:pPr>
              <w:spacing w:after="20" w:line="240" w:lineRule="auto"/>
            </w:pPr>
            <w:r>
              <w:rPr>
                <w:rFonts w:ascii="Arial" w:hAnsi="Arial"/>
                <w:color w:val="172033"/>
                <w:sz w:val="17"/>
              </w:rPr>
              <w:t>Event-safe prompt or checklist</w:t>
            </w:r>
          </w:p>
        </w:tc>
        <w:tc>
          <w:tcPr>
            <w:tcW w:type="dxa" w:w="3580"/>
            <w:shd w:fill="F6F7F9"/>
            <w:vAlign w:val="top"/>
            <w:tcMar>
              <w:top w:w="70" w:type="dxa"/>
              <w:start w:w="110" w:type="dxa"/>
              <w:bottom w:w="70" w:type="dxa"/>
              <w:end w:w="110" w:type="dxa"/>
            </w:tcMar>
          </w:tcPr>
          <w:p>
            <w:pPr>
              <w:spacing w:after="20" w:line="240" w:lineRule="auto"/>
            </w:pPr>
            <w:r>
              <w:rPr>
                <w:rFonts w:ascii="Arial" w:hAnsi="Arial"/>
                <w:color w:val="172033"/>
                <w:sz w:val="17"/>
              </w:rPr>
              <w:t>Version, expiry and no sensitive default data</w:t>
            </w:r>
          </w:p>
        </w:tc>
      </w:tr>
    </w:tbl>
    <w:p>
      <w:pPr>
        <w:pStyle w:val="Heading2"/>
      </w:pPr>
      <w:r>
        <w:t>9.1 Lagos and global reuse</w:t>
      </w:r>
    </w:p>
    <w:p>
      <w:pPr>
        <w:spacing w:after="100"/>
      </w:pPr>
      <w:r>
        <w:rPr>
          <w:rFonts w:ascii="Arial" w:hAnsi="Arial"/>
          <w:b w:val="0"/>
        </w:rPr>
        <w:t>Global doctrine remains reusable. Lagos-specific examples, traffic/logistics assumptions, power/weather context, Nigerian titles, protocol registers, cultural context and supplier practice are separately scoped, dated and verified. No current officeholder, tradition or legal rule is treated as timeless course text.</w:t>
      </w:r>
    </w:p>
    <w:p>
      <w:r>
        <w:br w:type="page"/>
      </w:r>
    </w:p>
    <w:p>
      <w:pPr>
        <w:pStyle w:val="Heading1"/>
      </w:pPr>
      <w:r>
        <w:t>10. Content governance and publishing</w:t>
      </w:r>
    </w:p>
    <w:tbl>
      <w:tblPr>
        <w:tblStyle w:val="TableGrid"/>
        <w:tblW w:type="dxa" w:w="9360"/>
        <w:jc w:val="left"/>
        <w:tblLayout w:type="fixed"/>
        <w:tblLook w:firstColumn="1" w:firstRow="1" w:lastColumn="0" w:lastRow="0" w:noHBand="0" w:noVBand="1" w:val="04A0"/>
        <w:tblInd w:w="120" w:type="dxa"/>
      </w:tblPr>
      <w:tblGrid>
        <w:gridCol w:w="1500"/>
        <w:gridCol w:w="3520"/>
        <w:gridCol w:w="4340"/>
      </w:tblGrid>
      <w:tr>
        <w:tc>
          <w:tcPr>
            <w:tcW w:type="dxa" w:w="1500"/>
            <w:shd w:fill="10243E"/>
            <w:tcMar>
              <w:top w:w="70" w:type="dxa"/>
              <w:start w:w="110" w:type="dxa"/>
              <w:bottom w:w="70" w:type="dxa"/>
              <w:end w:w="110" w:type="dxa"/>
            </w:tcMar>
          </w:tcPr>
          <w:p>
            <w:r>
              <w:rPr>
                <w:rFonts w:ascii="Arial" w:hAnsi="Arial"/>
                <w:b/>
                <w:color w:val="FFFFFF"/>
                <w:sz w:val="17"/>
              </w:rPr>
              <w:t>State</w:t>
            </w:r>
          </w:p>
        </w:tc>
        <w:tc>
          <w:tcPr>
            <w:tcW w:type="dxa" w:w="3520"/>
            <w:shd w:fill="10243E"/>
            <w:tcMar>
              <w:top w:w="70" w:type="dxa"/>
              <w:start w:w="110" w:type="dxa"/>
              <w:bottom w:w="70" w:type="dxa"/>
              <w:end w:w="110" w:type="dxa"/>
            </w:tcMar>
          </w:tcPr>
          <w:p>
            <w:r>
              <w:rPr>
                <w:rFonts w:ascii="Arial" w:hAnsi="Arial"/>
                <w:b/>
                <w:color w:val="FFFFFF"/>
                <w:sz w:val="17"/>
              </w:rPr>
              <w:t>Meaning</w:t>
            </w:r>
          </w:p>
        </w:tc>
        <w:tc>
          <w:tcPr>
            <w:tcW w:type="dxa" w:w="4340"/>
            <w:shd w:fill="10243E"/>
            <w:tcMar>
              <w:top w:w="70" w:type="dxa"/>
              <w:start w:w="110" w:type="dxa"/>
              <w:bottom w:w="70" w:type="dxa"/>
              <w:end w:w="110" w:type="dxa"/>
            </w:tcMar>
          </w:tcPr>
          <w:p>
            <w:r>
              <w:rPr>
                <w:rFonts w:ascii="Arial" w:hAnsi="Arial"/>
                <w:b/>
                <w:color w:val="FFFFFF"/>
                <w:sz w:val="17"/>
              </w:rPr>
              <w:t>Allowed action</w:t>
            </w:r>
          </w:p>
        </w:tc>
      </w:tr>
      <w:tr>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Draft</w:t>
            </w:r>
          </w:p>
        </w:tc>
        <w:tc>
          <w:tcPr>
            <w:tcW w:type="dxa" w:w="3520"/>
            <w:shd w:fill="FFFFFF"/>
            <w:vAlign w:val="top"/>
            <w:tcMar>
              <w:top w:w="70" w:type="dxa"/>
              <w:start w:w="110" w:type="dxa"/>
              <w:bottom w:w="70" w:type="dxa"/>
              <w:end w:w="110" w:type="dxa"/>
            </w:tcMar>
          </w:tcPr>
          <w:p>
            <w:pPr>
              <w:spacing w:after="20" w:line="240" w:lineRule="auto"/>
            </w:pPr>
            <w:r>
              <w:rPr>
                <w:rFonts w:ascii="Arial" w:hAnsi="Arial"/>
                <w:color w:val="172033"/>
                <w:sz w:val="17"/>
              </w:rPr>
              <w:t>Work in progress</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Authors and reviewers only</w:t>
            </w:r>
          </w:p>
        </w:tc>
      </w:tr>
      <w:tr>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In review</w:t>
            </w:r>
          </w:p>
        </w:tc>
        <w:tc>
          <w:tcPr>
            <w:tcW w:type="dxa" w:w="3520"/>
            <w:shd w:fill="F6F7F9"/>
            <w:vAlign w:val="top"/>
            <w:tcMar>
              <w:top w:w="70" w:type="dxa"/>
              <w:start w:w="110" w:type="dxa"/>
              <w:bottom w:w="70" w:type="dxa"/>
              <w:end w:w="110" w:type="dxa"/>
            </w:tcMar>
          </w:tcPr>
          <w:p>
            <w:pPr>
              <w:spacing w:after="20" w:line="240" w:lineRule="auto"/>
            </w:pPr>
            <w:r>
              <w:rPr>
                <w:rFonts w:ascii="Arial" w:hAnsi="Arial"/>
                <w:color w:val="172033"/>
                <w:sz w:val="17"/>
              </w:rPr>
              <w:t>Content and evidence under review</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No learner assignment</w:t>
            </w:r>
          </w:p>
        </w:tc>
      </w:tr>
      <w:tr>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Approved</w:t>
            </w:r>
          </w:p>
        </w:tc>
        <w:tc>
          <w:tcPr>
            <w:tcW w:type="dxa" w:w="3520"/>
            <w:shd w:fill="FFFFFF"/>
            <w:vAlign w:val="top"/>
            <w:tcMar>
              <w:top w:w="70" w:type="dxa"/>
              <w:start w:w="110" w:type="dxa"/>
              <w:bottom w:w="70" w:type="dxa"/>
              <w:end w:w="110" w:type="dxa"/>
            </w:tcMar>
          </w:tcPr>
          <w:p>
            <w:pPr>
              <w:spacing w:after="20" w:line="240" w:lineRule="auto"/>
            </w:pPr>
            <w:r>
              <w:rPr>
                <w:rFonts w:ascii="Arial" w:hAnsi="Arial"/>
                <w:color w:val="172033"/>
                <w:sz w:val="17"/>
              </w:rPr>
              <w:t>Governance approval recorded</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Eligible for scheduled publication</w:t>
            </w:r>
          </w:p>
        </w:tc>
      </w:tr>
      <w:tr>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Published</w:t>
            </w:r>
          </w:p>
        </w:tc>
        <w:tc>
          <w:tcPr>
            <w:tcW w:type="dxa" w:w="3520"/>
            <w:shd w:fill="F6F7F9"/>
            <w:vAlign w:val="top"/>
            <w:tcMar>
              <w:top w:w="70" w:type="dxa"/>
              <w:start w:w="110" w:type="dxa"/>
              <w:bottom w:w="70" w:type="dxa"/>
              <w:end w:w="110" w:type="dxa"/>
            </w:tcMar>
          </w:tcPr>
          <w:p>
            <w:pPr>
              <w:spacing w:after="20" w:line="240" w:lineRule="auto"/>
            </w:pPr>
            <w:r>
              <w:rPr>
                <w:rFonts w:ascii="Arial" w:hAnsi="Arial"/>
                <w:color w:val="172033"/>
                <w:sz w:val="17"/>
              </w:rPr>
              <w:t>Immutable learner-facing version</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May be assigned and cited</w:t>
            </w:r>
          </w:p>
        </w:tc>
      </w:tr>
      <w:tr>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Suspended</w:t>
            </w:r>
          </w:p>
        </w:tc>
        <w:tc>
          <w:tcPr>
            <w:tcW w:type="dxa" w:w="3520"/>
            <w:shd w:fill="FFFFFF"/>
            <w:vAlign w:val="top"/>
            <w:tcMar>
              <w:top w:w="70" w:type="dxa"/>
              <w:start w:w="110" w:type="dxa"/>
              <w:bottom w:w="70" w:type="dxa"/>
              <w:end w:w="110" w:type="dxa"/>
            </w:tcMar>
          </w:tcPr>
          <w:p>
            <w:pPr>
              <w:spacing w:after="20" w:line="240" w:lineRule="auto"/>
            </w:pPr>
            <w:r>
              <w:rPr>
                <w:rFonts w:ascii="Arial" w:hAnsi="Arial"/>
                <w:color w:val="172033"/>
                <w:sz w:val="17"/>
              </w:rPr>
              <w:t>Temporarily unavailable due to risk or defect</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No new starts; visible incident handling</w:t>
            </w:r>
          </w:p>
        </w:tc>
      </w:tr>
      <w:tr>
        <w:tc>
          <w:tcPr>
            <w:tcW w:type="dxa" w:w="1500"/>
            <w:shd w:fill="F6F7F9"/>
            <w:vAlign w:val="top"/>
            <w:tcMar>
              <w:top w:w="70" w:type="dxa"/>
              <w:start w:w="110" w:type="dxa"/>
              <w:bottom w:w="70" w:type="dxa"/>
              <w:end w:w="110" w:type="dxa"/>
            </w:tcMar>
          </w:tcPr>
          <w:p>
            <w:pPr>
              <w:spacing w:after="20" w:line="240" w:lineRule="auto"/>
            </w:pPr>
            <w:r>
              <w:rPr>
                <w:rFonts w:ascii="Arial" w:hAnsi="Arial"/>
                <w:color w:val="172033"/>
                <w:sz w:val="17"/>
              </w:rPr>
              <w:t>Superseded</w:t>
            </w:r>
          </w:p>
        </w:tc>
        <w:tc>
          <w:tcPr>
            <w:tcW w:type="dxa" w:w="3520"/>
            <w:shd w:fill="F6F7F9"/>
            <w:vAlign w:val="top"/>
            <w:tcMar>
              <w:top w:w="70" w:type="dxa"/>
              <w:start w:w="110" w:type="dxa"/>
              <w:bottom w:w="70" w:type="dxa"/>
              <w:end w:w="110" w:type="dxa"/>
            </w:tcMar>
          </w:tcPr>
          <w:p>
            <w:pPr>
              <w:spacing w:after="20" w:line="240" w:lineRule="auto"/>
            </w:pPr>
            <w:r>
              <w:rPr>
                <w:rFonts w:ascii="Arial" w:hAnsi="Arial"/>
                <w:color w:val="172033"/>
                <w:sz w:val="17"/>
              </w:rPr>
              <w:t>New approved version replaces it</w:t>
            </w:r>
          </w:p>
        </w:tc>
        <w:tc>
          <w:tcPr>
            <w:tcW w:type="dxa" w:w="4340"/>
            <w:shd w:fill="F6F7F9"/>
            <w:vAlign w:val="top"/>
            <w:tcMar>
              <w:top w:w="70" w:type="dxa"/>
              <w:start w:w="110" w:type="dxa"/>
              <w:bottom w:w="70" w:type="dxa"/>
              <w:end w:w="110" w:type="dxa"/>
            </w:tcMar>
          </w:tcPr>
          <w:p>
            <w:pPr>
              <w:spacing w:after="20" w:line="240" w:lineRule="auto"/>
            </w:pPr>
            <w:r>
              <w:rPr>
                <w:rFonts w:ascii="Arial" w:hAnsi="Arial"/>
                <w:color w:val="172033"/>
                <w:sz w:val="17"/>
              </w:rPr>
              <w:t>Historical evidence retained; impact analysis applies</w:t>
            </w:r>
          </w:p>
        </w:tc>
      </w:tr>
      <w:tr>
        <w:tc>
          <w:tcPr>
            <w:tcW w:type="dxa" w:w="1500"/>
            <w:shd w:fill="FFFFFF"/>
            <w:vAlign w:val="top"/>
            <w:tcMar>
              <w:top w:w="70" w:type="dxa"/>
              <w:start w:w="110" w:type="dxa"/>
              <w:bottom w:w="70" w:type="dxa"/>
              <w:end w:w="110" w:type="dxa"/>
            </w:tcMar>
          </w:tcPr>
          <w:p>
            <w:pPr>
              <w:spacing w:after="20" w:line="240" w:lineRule="auto"/>
            </w:pPr>
            <w:r>
              <w:rPr>
                <w:rFonts w:ascii="Arial" w:hAnsi="Arial"/>
                <w:color w:val="172033"/>
                <w:sz w:val="17"/>
              </w:rPr>
              <w:t>Retired</w:t>
            </w:r>
          </w:p>
        </w:tc>
        <w:tc>
          <w:tcPr>
            <w:tcW w:type="dxa" w:w="3520"/>
            <w:shd w:fill="FFFFFF"/>
            <w:vAlign w:val="top"/>
            <w:tcMar>
              <w:top w:w="70" w:type="dxa"/>
              <w:start w:w="110" w:type="dxa"/>
              <w:bottom w:w="70" w:type="dxa"/>
              <w:end w:w="110" w:type="dxa"/>
            </w:tcMar>
          </w:tcPr>
          <w:p>
            <w:pPr>
              <w:spacing w:after="20" w:line="240" w:lineRule="auto"/>
            </w:pPr>
            <w:r>
              <w:rPr>
                <w:rFonts w:ascii="Arial" w:hAnsi="Arial"/>
                <w:color w:val="172033"/>
                <w:sz w:val="17"/>
              </w:rPr>
              <w:t>No longer part of active curriculum</w:t>
            </w:r>
          </w:p>
        </w:tc>
        <w:tc>
          <w:tcPr>
            <w:tcW w:type="dxa" w:w="4340"/>
            <w:shd w:fill="FFFFFF"/>
            <w:vAlign w:val="top"/>
            <w:tcMar>
              <w:top w:w="70" w:type="dxa"/>
              <w:start w:w="110" w:type="dxa"/>
              <w:bottom w:w="70" w:type="dxa"/>
              <w:end w:w="110" w:type="dxa"/>
            </w:tcMar>
          </w:tcPr>
          <w:p>
            <w:pPr>
              <w:spacing w:after="20" w:line="240" w:lineRule="auto"/>
            </w:pPr>
            <w:r>
              <w:rPr>
                <w:rFonts w:ascii="Arial" w:hAnsi="Arial"/>
                <w:color w:val="172033"/>
                <w:sz w:val="17"/>
              </w:rPr>
              <w:t>Audit access only</w:t>
            </w:r>
          </w:p>
        </w:tc>
      </w:tr>
    </w:tbl>
    <w:p>
      <w:pPr>
        <w:pStyle w:val="Heading2"/>
      </w:pPr>
      <w:r>
        <w:t>10.1 Publication gate</w:t>
      </w:r>
    </w:p>
    <w:p>
      <w:pPr>
        <w:pStyle w:val="ListBullet"/>
        <w:spacing w:after="60"/>
        <w:ind w:left="547" w:hanging="274"/>
      </w:pPr>
      <w:r>
        <w:t>Source traceability and knowledge-state review complete.</w:t>
      </w:r>
    </w:p>
    <w:p>
      <w:pPr>
        <w:pStyle w:val="ListBullet"/>
        <w:spacing w:after="60"/>
        <w:ind w:left="547" w:hanging="274"/>
      </w:pPr>
      <w:r>
        <w:t>Competency and role-path coverage confirmed.</w:t>
      </w:r>
    </w:p>
    <w:p>
      <w:pPr>
        <w:pStyle w:val="ListBullet"/>
        <w:spacing w:after="60"/>
        <w:ind w:left="547" w:hanging="274"/>
      </w:pPr>
      <w:r>
        <w:t>Authority, privacy, culture, safety and legal review complete where applicable.</w:t>
      </w:r>
    </w:p>
    <w:p>
      <w:pPr>
        <w:pStyle w:val="ListBullet"/>
        <w:spacing w:after="60"/>
        <w:ind w:left="547" w:hanging="274"/>
      </w:pPr>
      <w:r>
        <w:t>Assessment and practical rubrics approved.</w:t>
      </w:r>
    </w:p>
    <w:p>
      <w:pPr>
        <w:pStyle w:val="ListBullet"/>
        <w:spacing w:after="60"/>
        <w:ind w:left="547" w:hanging="274"/>
      </w:pPr>
      <w:r>
        <w:t>Prerequisite graph and equivalence rules validated.</w:t>
      </w:r>
    </w:p>
    <w:p>
      <w:pPr>
        <w:pStyle w:val="ListBullet"/>
        <w:spacing w:after="60"/>
        <w:ind w:left="547" w:hanging="274"/>
      </w:pPr>
      <w:r>
        <w:t>Frontend, mobile, accessibility and low-connectivity behaviour tested.</w:t>
      </w:r>
    </w:p>
    <w:p>
      <w:pPr>
        <w:pStyle w:val="ListBullet"/>
        <w:spacing w:after="60"/>
        <w:ind w:left="547" w:hanging="274"/>
      </w:pPr>
      <w:r>
        <w:t>Materiality and existing-learner impact recorded.</w:t>
      </w:r>
    </w:p>
    <w:p>
      <w:pPr>
        <w:pStyle w:val="ListBullet"/>
        <w:spacing w:after="60"/>
        <w:ind w:left="547" w:hanging="274"/>
      </w:pPr>
      <w:r>
        <w:t>CEO approval obtained for doctrine, reserved authority, certification or capstone changes.</w:t>
      </w:r>
    </w:p>
    <w:p>
      <w:r>
        <w:br w:type="page"/>
      </w:r>
    </w:p>
    <w:p>
      <w:pPr>
        <w:pStyle w:val="Heading1"/>
      </w:pPr>
      <w:r>
        <w:t>11. Data and system contract</w:t>
      </w:r>
    </w:p>
    <w:tbl>
      <w:tblPr>
        <w:tblStyle w:val="TableGrid"/>
        <w:tblW w:type="dxa" w:w="9360"/>
        <w:jc w:val="left"/>
        <w:tblLayout w:type="fixed"/>
        <w:tblLook w:firstColumn="1" w:firstRow="1" w:lastColumn="0" w:lastRow="0" w:noHBand="0" w:noVBand="1" w:val="04A0"/>
        <w:tblInd w:w="120" w:type="dxa"/>
      </w:tblPr>
      <w:tblGrid>
        <w:gridCol w:w="1900"/>
        <w:gridCol w:w="7460"/>
      </w:tblGrid>
      <w:tr>
        <w:tc>
          <w:tcPr>
            <w:tcW w:type="dxa" w:w="1900"/>
            <w:shd w:fill="10243E"/>
            <w:tcMar>
              <w:top w:w="70" w:type="dxa"/>
              <w:start w:w="110" w:type="dxa"/>
              <w:bottom w:w="70" w:type="dxa"/>
              <w:end w:w="110" w:type="dxa"/>
            </w:tcMar>
          </w:tcPr>
          <w:p>
            <w:r>
              <w:rPr>
                <w:rFonts w:ascii="Arial" w:hAnsi="Arial"/>
                <w:b/>
                <w:color w:val="FFFFFF"/>
                <w:sz w:val="17"/>
              </w:rPr>
              <w:t>Object</w:t>
            </w:r>
          </w:p>
        </w:tc>
        <w:tc>
          <w:tcPr>
            <w:tcW w:type="dxa" w:w="7460"/>
            <w:shd w:fill="10243E"/>
            <w:tcMar>
              <w:top w:w="70" w:type="dxa"/>
              <w:start w:w="110" w:type="dxa"/>
              <w:bottom w:w="70" w:type="dxa"/>
              <w:end w:w="110" w:type="dxa"/>
            </w:tcMar>
          </w:tcPr>
          <w:p>
            <w:r>
              <w:rPr>
                <w:rFonts w:ascii="Arial" w:hAnsi="Arial"/>
                <w:b/>
                <w:color w:val="FFFFFF"/>
                <w:sz w:val="17"/>
              </w:rPr>
              <w:t>Minimum contract</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Programme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ID, title, version, owner, status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Course</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ID, title, outcomes, prerequisites, module refs, assessment and validity</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Module</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M ID, source version, course owner, competency refs, sequence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Lesson</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Stable ID, objective, content blocks, activities, prerequisites, estimated time, version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Content Block</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Typed component, order, accessibility, classification and source</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Learning Activity</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Type, instruction, evidence rule, scoring/feedback and retention</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Curriculum Graph</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Versioned directed acyclic prerequisite relationships</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Event Unit</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Event/package/role scope, source facts, deadline, effect and expiry</w:t>
            </w:r>
          </w:p>
        </w:tc>
      </w:tr>
      <w:tr>
        <w:tc>
          <w:tcPr>
            <w:tcW w:type="dxa" w:w="1900"/>
            <w:shd w:fill="FFFFFF"/>
            <w:vAlign w:val="top"/>
            <w:tcMar>
              <w:top w:w="70" w:type="dxa"/>
              <w:start w:w="110" w:type="dxa"/>
              <w:bottom w:w="70" w:type="dxa"/>
              <w:end w:w="110" w:type="dxa"/>
            </w:tcMar>
          </w:tcPr>
          <w:p>
            <w:pPr>
              <w:spacing w:after="20" w:line="240" w:lineRule="auto"/>
            </w:pPr>
            <w:r>
              <w:rPr>
                <w:rFonts w:ascii="Arial" w:hAnsi="Arial"/>
                <w:color w:val="172033"/>
                <w:sz w:val="17"/>
              </w:rPr>
              <w:t>Refresher</w:t>
            </w:r>
          </w:p>
        </w:tc>
        <w:tc>
          <w:tcPr>
            <w:tcW w:type="dxa" w:w="7460"/>
            <w:shd w:fill="FFFFFF"/>
            <w:vAlign w:val="top"/>
            <w:tcMar>
              <w:top w:w="70" w:type="dxa"/>
              <w:start w:w="110" w:type="dxa"/>
              <w:bottom w:w="70" w:type="dxa"/>
              <w:end w:w="110" w:type="dxa"/>
            </w:tcMar>
          </w:tcPr>
          <w:p>
            <w:pPr>
              <w:spacing w:after="20" w:line="240" w:lineRule="auto"/>
            </w:pPr>
            <w:r>
              <w:rPr>
                <w:rFonts w:ascii="Arial" w:hAnsi="Arial"/>
                <w:color w:val="172033"/>
                <w:sz w:val="17"/>
              </w:rPr>
              <w:t>Trigger, delta scope, competency refs, assessment and resulting validity</w:t>
            </w:r>
          </w:p>
        </w:tc>
      </w:tr>
      <w:tr>
        <w:tc>
          <w:tcPr>
            <w:tcW w:type="dxa" w:w="1900"/>
            <w:shd w:fill="F6F7F9"/>
            <w:vAlign w:val="top"/>
            <w:tcMar>
              <w:top w:w="70" w:type="dxa"/>
              <w:start w:w="110" w:type="dxa"/>
              <w:bottom w:w="70" w:type="dxa"/>
              <w:end w:w="110" w:type="dxa"/>
            </w:tcMar>
          </w:tcPr>
          <w:p>
            <w:pPr>
              <w:spacing w:after="20" w:line="240" w:lineRule="auto"/>
            </w:pPr>
            <w:r>
              <w:rPr>
                <w:rFonts w:ascii="Arial" w:hAnsi="Arial"/>
                <w:color w:val="172033"/>
                <w:sz w:val="17"/>
              </w:rPr>
              <w:t>Path Snapshot</w:t>
            </w:r>
          </w:p>
        </w:tc>
        <w:tc>
          <w:tcPr>
            <w:tcW w:type="dxa" w:w="7460"/>
            <w:shd w:fill="F6F7F9"/>
            <w:vAlign w:val="top"/>
            <w:tcMar>
              <w:top w:w="70" w:type="dxa"/>
              <w:start w:w="110" w:type="dxa"/>
              <w:bottom w:w="70" w:type="dxa"/>
              <w:end w:w="110" w:type="dxa"/>
            </w:tcMar>
          </w:tcPr>
          <w:p>
            <w:pPr>
              <w:spacing w:after="20" w:line="240" w:lineRule="auto"/>
            </w:pPr>
            <w:r>
              <w:rPr>
                <w:rFonts w:ascii="Arial" w:hAnsi="Arial"/>
                <w:color w:val="172033"/>
                <w:sz w:val="17"/>
              </w:rPr>
              <w:t>Immutable assigned curriculum resolved for one learner and role</w:t>
            </w:r>
          </w:p>
        </w:tc>
      </w:tr>
    </w:tbl>
    <w:p>
      <w:pPr>
        <w:pStyle w:val="Heading2"/>
      </w:pPr>
      <w:r>
        <w:t>11.1 Frontend contract</w:t>
      </w:r>
    </w:p>
    <w:p>
      <w:pPr>
        <w:pStyle w:val="ListBullet"/>
        <w:spacing w:after="60"/>
        <w:ind w:left="547" w:hanging="274"/>
      </w:pPr>
      <w:r>
        <w:t>Learner Home shows Now, Next, Event Required, Refreshers and certification consequence without exposing restricted catalogue entries.</w:t>
      </w:r>
    </w:p>
    <w:p>
      <w:pPr>
        <w:pStyle w:val="ListBullet"/>
        <w:spacing w:after="60"/>
        <w:ind w:left="547" w:hanging="274"/>
      </w:pPr>
      <w:r>
        <w:t>Learning Player shows objective, progress, authority boundary, source/version and offline/sync state.</w:t>
      </w:r>
    </w:p>
    <w:p>
      <w:pPr>
        <w:pStyle w:val="ListBullet"/>
        <w:spacing w:after="60"/>
        <w:ind w:left="547" w:hanging="274"/>
      </w:pPr>
      <w:r>
        <w:t>Course map distinguishes locked, available, in progress, awaiting review, complete, expired and superseded.</w:t>
      </w:r>
    </w:p>
    <w:p>
      <w:pPr>
        <w:pStyle w:val="ListBullet"/>
        <w:spacing w:after="60"/>
        <w:ind w:left="547" w:hanging="274"/>
      </w:pPr>
      <w:r>
        <w:t>Managers see completion and safe evidence summaries, not assessment answers or private learner data.</w:t>
      </w:r>
    </w:p>
    <w:p>
      <w:pPr>
        <w:pStyle w:val="ListBullet"/>
        <w:spacing w:after="60"/>
        <w:ind w:left="547" w:hanging="274"/>
      </w:pPr>
      <w:r>
        <w:t>Authors preview each role and event audience before publication.</w:t>
      </w:r>
    </w:p>
    <w:p>
      <w:pPr>
        <w:pStyle w:val="ListBullet"/>
        <w:spacing w:after="60"/>
        <w:ind w:left="547" w:hanging="274"/>
      </w:pPr>
      <w:r>
        <w:t>CEO view shows curriculum coverage, duplicate detection, change impact and unresolved governance decisions.</w:t>
      </w:r>
    </w:p>
    <w:p>
      <w:r>
        <w:br w:type="page"/>
      </w:r>
    </w:p>
    <w:p>
      <w:pPr>
        <w:pStyle w:val="Heading1"/>
      </w:pPr>
      <w:r>
        <w:t>12. Acceptance tests</w:t>
      </w:r>
    </w:p>
    <w:tbl>
      <w:tblPr>
        <w:tblStyle w:val="TableGrid"/>
        <w:tblW w:type="dxa" w:w="9360"/>
        <w:jc w:val="left"/>
        <w:tblLayout w:type="fixed"/>
        <w:tblLook w:firstColumn="1" w:firstRow="1" w:lastColumn="0" w:lastRow="0" w:noHBand="0" w:noVBand="1" w:val="04A0"/>
        <w:tblInd w:w="120" w:type="dxa"/>
      </w:tblPr>
      <w:tblGrid>
        <w:gridCol w:w="1100"/>
        <w:gridCol w:w="8260"/>
      </w:tblGrid>
      <w:tr>
        <w:tc>
          <w:tcPr>
            <w:tcW w:type="dxa" w:w="1100"/>
            <w:shd w:fill="10243E"/>
            <w:tcMar>
              <w:top w:w="70" w:type="dxa"/>
              <w:start w:w="110" w:type="dxa"/>
              <w:bottom w:w="70" w:type="dxa"/>
              <w:end w:w="110" w:type="dxa"/>
            </w:tcMar>
          </w:tcPr>
          <w:p>
            <w:r>
              <w:rPr>
                <w:rFonts w:ascii="Arial" w:hAnsi="Arial"/>
                <w:b/>
                <w:color w:val="FFFFFF"/>
                <w:sz w:val="17"/>
              </w:rPr>
              <w:t>ID</w:t>
            </w:r>
          </w:p>
        </w:tc>
        <w:tc>
          <w:tcPr>
            <w:tcW w:type="dxa" w:w="8260"/>
            <w:shd w:fill="10243E"/>
            <w:tcMar>
              <w:top w:w="70" w:type="dxa"/>
              <w:start w:w="110" w:type="dxa"/>
              <w:bottom w:w="70" w:type="dxa"/>
              <w:end w:w="110" w:type="dxa"/>
            </w:tcMar>
          </w:tcPr>
          <w:p>
            <w:r>
              <w:rPr>
                <w:rFonts w:ascii="Arial" w:hAnsi="Arial"/>
                <w:b/>
                <w:color w:val="FFFFFF"/>
                <w:sz w:val="17"/>
              </w:rPr>
              <w:t>Acceptance condition</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CU-01</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All 30 source modules map to exactly one owning course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CU-02</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All modules expose four ordered, stable lesson IDs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CU-03</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All lessons map to approved competency IDs before publication</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CU-04</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Prerequisite graph contains no cycle</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CU-05</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M23 privacy content gates sensitive learning</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CU-06</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Overlapping modules do not duplicate equivalent lessons or assessment</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CU-07</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Role path assembly matches the ratified M/O/R matrix</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CU-08</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Course progress cannot be mistaken for certification or event authority</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CU-09</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Event package creates version-bound role-filtered units</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CU-10</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Material event change resets only affected readiness</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CU-11</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Refresher extends only its proven competency scope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CU-12</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Critical fail overrides aggregate score</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CU-13</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Manual practical cannot pass by timeout</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CU-14</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Superseded content remains auditable but is not newly assigned</w:t>
            </w:r>
          </w:p>
        </w:tc>
      </w:tr>
      <w:tr>
        <w:tc>
          <w:tcPr>
            <w:tcW w:type="dxa" w:w="1100"/>
            <w:shd w:fill="FFFFFF"/>
            <w:vAlign w:val="top"/>
            <w:tcMar>
              <w:top w:w="70" w:type="dxa"/>
              <w:start w:w="110" w:type="dxa"/>
              <w:bottom w:w="70" w:type="dxa"/>
              <w:end w:w="110" w:type="dxa"/>
            </w:tcMar>
          </w:tcPr>
          <w:p>
            <w:pPr>
              <w:spacing w:after="20" w:line="240" w:lineRule="auto"/>
            </w:pPr>
            <w:r>
              <w:rPr>
                <w:rFonts w:ascii="Arial" w:hAnsi="Arial"/>
                <w:color w:val="172033"/>
                <w:sz w:val="17"/>
              </w:rPr>
              <w:t>CU-15</w:t>
            </w:r>
          </w:p>
        </w:tc>
        <w:tc>
          <w:tcPr>
            <w:tcW w:type="dxa" w:w="8260"/>
            <w:shd w:fill="FFFFFF"/>
            <w:vAlign w:val="top"/>
            <w:tcMar>
              <w:top w:w="70" w:type="dxa"/>
              <w:start w:w="110" w:type="dxa"/>
              <w:bottom w:w="70" w:type="dxa"/>
              <w:end w:w="110" w:type="dxa"/>
            </w:tcMar>
          </w:tcPr>
          <w:p>
            <w:pPr>
              <w:spacing w:after="20" w:line="240" w:lineRule="auto"/>
            </w:pPr>
            <w:r>
              <w:rPr>
                <w:rFonts w:ascii="Arial" w:hAnsi="Arial"/>
                <w:color w:val="172033"/>
                <w:sz w:val="17"/>
              </w:rPr>
              <w:t>Low-connectivity completion sync is idempotent and visible</w:t>
            </w:r>
          </w:p>
        </w:tc>
      </w:tr>
      <w:tr>
        <w:tc>
          <w:tcPr>
            <w:tcW w:type="dxa" w:w="1100"/>
            <w:shd w:fill="F6F7F9"/>
            <w:vAlign w:val="top"/>
            <w:tcMar>
              <w:top w:w="70" w:type="dxa"/>
              <w:start w:w="110" w:type="dxa"/>
              <w:bottom w:w="70" w:type="dxa"/>
              <w:end w:w="110" w:type="dxa"/>
            </w:tcMar>
          </w:tcPr>
          <w:p>
            <w:pPr>
              <w:spacing w:after="20" w:line="240" w:lineRule="auto"/>
            </w:pPr>
            <w:r>
              <w:rPr>
                <w:rFonts w:ascii="Arial" w:hAnsi="Arial"/>
                <w:color w:val="172033"/>
                <w:sz w:val="17"/>
              </w:rPr>
              <w:t>CU-16</w:t>
            </w:r>
          </w:p>
        </w:tc>
        <w:tc>
          <w:tcPr>
            <w:tcW w:type="dxa" w:w="8260"/>
            <w:shd w:fill="F6F7F9"/>
            <w:vAlign w:val="top"/>
            <w:tcMar>
              <w:top w:w="70" w:type="dxa"/>
              <w:start w:w="110" w:type="dxa"/>
              <w:bottom w:w="70" w:type="dxa"/>
              <w:end w:w="110" w:type="dxa"/>
            </w:tcMar>
          </w:tcPr>
          <w:p>
            <w:pPr>
              <w:spacing w:after="20" w:line="240" w:lineRule="auto"/>
            </w:pPr>
            <w:r>
              <w:rPr>
                <w:rFonts w:ascii="Arial" w:hAnsi="Arial"/>
                <w:color w:val="172033"/>
                <w:sz w:val="17"/>
              </w:rPr>
              <w:t>Reference events validate event curriculum before first production use</w:t>
            </w:r>
          </w:p>
        </w:tc>
      </w:tr>
    </w:tbl>
    <w:p>
      <w:pPr>
        <w:pStyle w:val="Heading2"/>
      </w:pPr>
      <w:r>
        <w:t>12.1 Ratification record</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shd w:fill="10243E"/>
            <w:tcMar>
              <w:top w:w="70" w:type="dxa"/>
              <w:start w:w="110" w:type="dxa"/>
              <w:bottom w:w="70" w:type="dxa"/>
              <w:end w:w="110" w:type="dxa"/>
            </w:tcMar>
          </w:tcPr>
          <w:p>
            <w:r>
              <w:rPr>
                <w:rFonts w:ascii="Arial" w:hAnsi="Arial"/>
                <w:b/>
                <w:color w:val="FFFFFF"/>
                <w:sz w:val="17"/>
              </w:rPr>
              <w:t>Field</w:t>
            </w:r>
          </w:p>
        </w:tc>
        <w:tc>
          <w:tcPr>
            <w:tcW w:type="dxa" w:w="7160"/>
            <w:shd w:fill="10243E"/>
            <w:tcMar>
              <w:top w:w="70" w:type="dxa"/>
              <w:start w:w="110" w:type="dxa"/>
              <w:bottom w:w="70" w:type="dxa"/>
              <w:end w:w="110" w:type="dxa"/>
            </w:tcMar>
          </w:tcPr>
          <w:p>
            <w:r>
              <w:rPr>
                <w:rFonts w:ascii="Arial" w:hAnsi="Arial"/>
                <w:b/>
                <w:color w:val="FFFFFF"/>
                <w:sz w:val="17"/>
              </w:rPr>
              <w:t>Value</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Document / version</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Maison Doclar Academy Curriculum Specification / v1.0</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Decision</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Approve / Approve with amendments / Return for revision</w:t>
            </w:r>
          </w:p>
        </w:tc>
      </w:tr>
      <w:tr>
        <w:tc>
          <w:tcPr>
            <w:tcW w:type="dxa" w:w="2200"/>
            <w:shd w:fill="FFFFFF"/>
            <w:vAlign w:val="top"/>
            <w:tcMar>
              <w:top w:w="70" w:type="dxa"/>
              <w:start w:w="110" w:type="dxa"/>
              <w:bottom w:w="70" w:type="dxa"/>
              <w:end w:w="110" w:type="dxa"/>
            </w:tcMar>
          </w:tcPr>
          <w:p>
            <w:pPr>
              <w:spacing w:after="20" w:line="240" w:lineRule="auto"/>
            </w:pPr>
            <w:r>
              <w:rPr>
                <w:rFonts w:ascii="Arial" w:hAnsi="Arial"/>
                <w:color w:val="172033"/>
                <w:sz w:val="18"/>
              </w:rPr>
              <w:t>CEO signature / date</w:t>
            </w:r>
          </w:p>
        </w:tc>
        <w:tc>
          <w:tcPr>
            <w:tcW w:type="dxa" w:w="7160"/>
            <w:shd w:fill="FFFFFF"/>
            <w:vAlign w:val="top"/>
            <w:tcMar>
              <w:top w:w="70" w:type="dxa"/>
              <w:start w:w="110" w:type="dxa"/>
              <w:bottom w:w="70" w:type="dxa"/>
              <w:end w:w="110" w:type="dxa"/>
            </w:tcMar>
          </w:tcPr>
          <w:p>
            <w:pPr>
              <w:spacing w:after="20" w:line="240" w:lineRule="auto"/>
            </w:pPr>
            <w:r>
              <w:rPr>
                <w:rFonts w:ascii="Arial" w:hAnsi="Arial"/>
                <w:color w:val="172033"/>
                <w:sz w:val="18"/>
              </w:rPr>
              <w:t>____________________________________________</w:t>
            </w:r>
          </w:p>
        </w:tc>
      </w:tr>
      <w:tr>
        <w:tc>
          <w:tcPr>
            <w:tcW w:type="dxa" w:w="2200"/>
            <w:shd w:fill="F6F7F9"/>
            <w:vAlign w:val="top"/>
            <w:tcMar>
              <w:top w:w="70" w:type="dxa"/>
              <w:start w:w="110" w:type="dxa"/>
              <w:bottom w:w="70" w:type="dxa"/>
              <w:end w:w="110" w:type="dxa"/>
            </w:tcMar>
          </w:tcPr>
          <w:p>
            <w:pPr>
              <w:spacing w:after="20" w:line="240" w:lineRule="auto"/>
            </w:pPr>
            <w:r>
              <w:rPr>
                <w:rFonts w:ascii="Arial" w:hAnsi="Arial"/>
                <w:color w:val="172033"/>
                <w:sz w:val="18"/>
              </w:rPr>
              <w:t>Effective from</w:t>
            </w:r>
          </w:p>
        </w:tc>
        <w:tc>
          <w:tcPr>
            <w:tcW w:type="dxa" w:w="7160"/>
            <w:shd w:fill="F6F7F9"/>
            <w:vAlign w:val="top"/>
            <w:tcMar>
              <w:top w:w="70" w:type="dxa"/>
              <w:start w:w="110" w:type="dxa"/>
              <w:bottom w:w="70" w:type="dxa"/>
              <w:end w:w="110" w:type="dxa"/>
            </w:tcMar>
          </w:tcPr>
          <w:p>
            <w:pPr>
              <w:spacing w:after="20" w:line="240" w:lineRule="auto"/>
            </w:pPr>
            <w:r>
              <w:rPr>
                <w:rFonts w:ascii="Arial" w:hAnsi="Arial"/>
                <w:color w:val="172033"/>
                <w:sz w:val="18"/>
              </w:rPr>
              <w:t>____________________________________________</w:t>
            </w:r>
          </w:p>
        </w:tc>
      </w:tr>
    </w:tbl>
    <w:p>
      <w:pPr>
        <w:spacing w:after="0"/>
        <w:jc w:val="center"/>
      </w:pPr>
      <w:r>
        <w:rPr>
          <w:rFonts w:ascii="Arial" w:hAnsi="Arial"/>
          <w:b/>
          <w:color w:val="667085"/>
          <w:sz w:val="17"/>
        </w:rPr>
        <w:t>End of controlled document.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085"/>
        <w:sz w:val="16"/>
      </w:rPr>
      <w:t xml:space="preserve">Controlled document  |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color w:val="667085"/>
        <w:sz w:val="17"/>
      </w:rPr>
      <w:t>MAISON DOCLAR  /  ACADEMY CURRICULUM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olor w:val="1720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0243E"/>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B79F8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rial" w:hAnsi="Arial"/>
      <w:b/>
      <w:color w:val="10243E"/>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085"/>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Curriculum Specification</dc:title>
  <dc:subject>Courses, modules, lessons, progression, event and refresher learning</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