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B79F85"/>
          <w:sz w:val="30"/>
        </w:rPr>
        <w:t>MAISON DOCLAR</w:t>
      </w:r>
    </w:p>
    <w:p>
      <w:pPr>
        <w:spacing w:before="280"/>
        <w:jc w:val="center"/>
      </w:pPr>
      <w:r>
        <w:rPr>
          <w:rFonts w:ascii="Aptos Display" w:hAnsi="Aptos Display"/>
          <w:b/>
          <w:sz w:val="56"/>
        </w:rPr>
        <w:t>Repository Document Control</w:t>
        <w:br/>
        <w:t>and Cursor Execution Manual</w:t>
      </w:r>
    </w:p>
    <w:p>
      <w:pPr>
        <w:jc w:val="center"/>
      </w:pPr>
      <w:r>
        <w:rPr>
          <w:rFonts w:ascii="Aptos" w:hAnsi="Aptos"/>
          <w:i/>
          <w:color w:val="666666"/>
          <w:sz w:val="24"/>
        </w:rPr>
        <w:t>What belongs in Git and how to build the Event OS and Academy safely, slice by slice</w:t>
      </w:r>
    </w:p>
    <w:p>
      <w:pPr>
        <w:spacing w:before="700"/>
        <w:jc w:val="center"/>
      </w:pPr>
      <w:r>
        <w:rPr>
          <w:rFonts w:ascii="Aptos" w:hAnsi="Aptos"/>
          <w:sz w:val="21"/>
        </w:rPr>
        <w:t>Version 1.0  |  CEO operating guide</w:t>
        <w:br/>
        <w:t>Applies to the clean Event OS and Maison Doclar Academy repositories</w:t>
      </w:r>
    </w:p>
    <w:p>
      <w:pPr>
        <w:spacing w:before="1760"/>
        <w:jc w:val="center"/>
      </w:pPr>
      <w:r>
        <w:rPr>
          <w:rFonts w:ascii="Aptos" w:hAnsi="Aptos"/>
          <w:b/>
          <w:color w:val="B79F85"/>
          <w:sz w:val="20"/>
        </w:rPr>
        <w:t>BUILD FROM CONTROLLED TRUTH.</w:t>
      </w:r>
    </w:p>
    <w:p>
      <w:r>
        <w:br w:type="page"/>
      </w:r>
    </w:p>
    <w:p>
      <w:pPr>
        <w:pStyle w:val="Heading1"/>
        <w:keepNext/>
      </w:pPr>
      <w:r>
        <w:t>Document control</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B79F85"/>
            <w:tcMar>
              <w:top w:w="80" w:type="dxa"/>
              <w:bottom w:w="80" w:type="dxa"/>
              <w:start w:w="120" w:type="dxa"/>
              <w:end w:w="120" w:type="dxa"/>
            </w:tcMar>
            <w:vAlign w:val="top"/>
          </w:tcPr>
          <w:p>
            <w:r>
              <w:rPr>
                <w:rFonts w:ascii="Aptos" w:hAnsi="Aptos"/>
                <w:b/>
                <w:sz w:val="16"/>
              </w:rPr>
              <w:t>Field</w:t>
            </w:r>
          </w:p>
        </w:tc>
        <w:tc>
          <w:tcPr>
            <w:tcW w:type="dxa" w:w="7260"/>
            <w:shd w:fill="B79F85"/>
            <w:tcMar>
              <w:top w:w="80" w:type="dxa"/>
              <w:bottom w:w="80" w:type="dxa"/>
              <w:start w:w="120" w:type="dxa"/>
              <w:end w:w="120" w:type="dxa"/>
            </w:tcMar>
            <w:vAlign w:val="top"/>
          </w:tcPr>
          <w:p>
            <w:r>
              <w:rPr>
                <w:rFonts w:ascii="Aptos" w:hAnsi="Aptos"/>
                <w:b/>
                <w:sz w:val="16"/>
              </w:rPr>
              <w:t>Controlled value</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Owner</w:t>
            </w:r>
          </w:p>
        </w:tc>
        <w:tc>
          <w:tcPr>
            <w:tcW w:type="dxa" w:w="7260"/>
            <w:tcMar>
              <w:top w:w="80" w:type="dxa"/>
              <w:bottom w:w="80" w:type="dxa"/>
              <w:start w:w="120" w:type="dxa"/>
              <w:end w:w="120" w:type="dxa"/>
            </w:tcMar>
            <w:vAlign w:val="top"/>
          </w:tcPr>
          <w:p>
            <w:pPr>
              <w:spacing w:after="40" w:line="240" w:lineRule="auto"/>
            </w:pPr>
            <w:r>
              <w:rPr>
                <w:rFonts w:ascii="Aptos" w:hAnsi="Aptos"/>
                <w:sz w:val="16"/>
              </w:rPr>
              <w:t>CEO, Maison Doclar</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Purpose</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Control build-driving documentation and the use of Cursor across the Event OS and Academy repositories.</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Canonical doctrine</w:t>
            </w:r>
          </w:p>
        </w:tc>
        <w:tc>
          <w:tcPr>
            <w:tcW w:type="dxa" w:w="7260"/>
            <w:tcMar>
              <w:top w:w="80" w:type="dxa"/>
              <w:bottom w:w="80" w:type="dxa"/>
              <w:start w:w="120" w:type="dxa"/>
              <w:end w:w="120" w:type="dxa"/>
            </w:tcMar>
            <w:vAlign w:val="top"/>
          </w:tcPr>
          <w:p>
            <w:pPr>
              <w:spacing w:after="40" w:line="240" w:lineRule="auto"/>
            </w:pPr>
            <w:r>
              <w:rPr>
                <w:rFonts w:ascii="Aptos" w:hAnsi="Aptos"/>
                <w:sz w:val="16"/>
              </w:rPr>
              <w:t>Maison Doclar Canonical CEO Handbook Comprehensive v2.0</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System authorities</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Event OS Intelligence Specification and Canonical Build Blueprint; Academy Canonical Blueprint and production specifications</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Repository boundary</w:t>
            </w:r>
          </w:p>
        </w:tc>
        <w:tc>
          <w:tcPr>
            <w:tcW w:type="dxa" w:w="7260"/>
            <w:tcMar>
              <w:top w:w="80" w:type="dxa"/>
              <w:bottom w:w="80" w:type="dxa"/>
              <w:start w:w="120" w:type="dxa"/>
              <w:end w:w="120" w:type="dxa"/>
            </w:tcMar>
            <w:vAlign w:val="top"/>
          </w:tcPr>
          <w:p>
            <w:pPr>
              <w:spacing w:after="40" w:line="240" w:lineRule="auto"/>
            </w:pPr>
            <w:r>
              <w:rPr>
                <w:rFonts w:ascii="Aptos" w:hAnsi="Aptos"/>
                <w:sz w:val="16"/>
              </w:rPr>
              <w:t>Event OS and Academy remain separate repositories and separate operational data authorities.</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Status</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Approved operating recommendation; CEO may ratify or amend</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Core rule</w:t>
            </w:r>
          </w:p>
        </w:tc>
        <w:tc>
          <w:tcPr>
            <w:tcW w:type="dxa" w:w="7260"/>
            <w:tcMar>
              <w:top w:w="80" w:type="dxa"/>
              <w:bottom w:w="80" w:type="dxa"/>
              <w:start w:w="120" w:type="dxa"/>
              <w:end w:w="120" w:type="dxa"/>
            </w:tcMar>
            <w:vAlign w:val="top"/>
          </w:tcPr>
          <w:p>
            <w:pPr>
              <w:spacing w:after="40" w:line="240" w:lineRule="auto"/>
            </w:pPr>
            <w:r>
              <w:rPr>
                <w:rFonts w:ascii="Aptos" w:hAnsi="Aptos"/>
                <w:sz w:val="16"/>
              </w:rPr>
              <w:t>Git contains build-driving, reviewable and non-secret artifacts. The document archive contains presentation, historical and sensitive records.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DIRECT ANSWER  </w:t>
            </w:r>
            <w:r>
              <w:rPr>
                <w:rFonts w:ascii="Aptos" w:hAnsi="Aptos"/>
                <w:sz w:val="18"/>
              </w:rPr>
              <w:t>Yes, a complete slice prompt pack may be placed in the repository and given to Cursor. Do not tell Cursor to run the entire pack unattended. Instruct it to execute one numbered prompt at a time, stop at the stated gate, report evidence and commit, then continue only after you review or explicitly authorise the next prompt.</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Yes, a complete slice prompt pack may be placed in the repository and given to Cursor. Do not tell Cursor to run the entire pack unattended. Instruct it to execute one numbered prompt at a time, stop at the stated gate, report evidence and commit, then continue only after you review or explicitly authorise the next prompt.</w:t>
            </w:r>
          </w:p>
        </w:tc>
      </w:tr>
    </w:tbl>
    <w:p>
      <w:pPr>
        <w:spacing w:after="20"/>
      </w:pPr>
    </w:p>
    <w:p>
      <w:pPr>
        <w:pStyle w:val="Heading1"/>
        <w:keepNext/>
      </w:pPr>
      <w:r>
        <w:t>1. The three places documents can live</w:t>
      </w:r>
    </w:p>
    <w:tbl>
      <w:tblPr>
        <w:tblW w:type="dxa" w:w="9360"/>
        <w:jc w:val="left"/>
        <w:tblLayout w:type="fixed"/>
        <w:tblLook w:firstColumn="1" w:firstRow="1" w:lastColumn="0" w:lastRow="0" w:noHBand="0" w:noVBand="1" w:val="04A0"/>
        <w:tblInd w:w="120" w:type="dxa"/>
      </w:tblPr>
      <w:tblGrid>
        <w:gridCol w:w="1700"/>
        <w:gridCol w:w="4550"/>
        <w:gridCol w:w="3110"/>
      </w:tblGrid>
      <w:tr>
        <w:trPr>
          <w:tblHeader w:val="true"/>
        </w:trPr>
        <w:tc>
          <w:tcPr>
            <w:tcW w:type="dxa" w:w="1700"/>
            <w:shd w:fill="B79F85"/>
            <w:tcMar>
              <w:top w:w="80" w:type="dxa"/>
              <w:bottom w:w="80" w:type="dxa"/>
              <w:start w:w="120" w:type="dxa"/>
              <w:end w:w="120" w:type="dxa"/>
            </w:tcMar>
            <w:vAlign w:val="top"/>
          </w:tcPr>
          <w:p>
            <w:r>
              <w:rPr>
                <w:rFonts w:ascii="Aptos" w:hAnsi="Aptos"/>
                <w:b/>
                <w:sz w:val="16"/>
              </w:rPr>
              <w:t>Location</w:t>
            </w:r>
          </w:p>
        </w:tc>
        <w:tc>
          <w:tcPr>
            <w:tcW w:type="dxa" w:w="4550"/>
            <w:shd w:fill="B79F85"/>
            <w:tcMar>
              <w:top w:w="80" w:type="dxa"/>
              <w:bottom w:w="80" w:type="dxa"/>
              <w:start w:w="120" w:type="dxa"/>
              <w:end w:w="120" w:type="dxa"/>
            </w:tcMar>
            <w:vAlign w:val="top"/>
          </w:tcPr>
          <w:p>
            <w:r>
              <w:rPr>
                <w:rFonts w:ascii="Aptos" w:hAnsi="Aptos"/>
                <w:b/>
                <w:sz w:val="16"/>
              </w:rPr>
              <w:t>What belongs there</w:t>
            </w:r>
          </w:p>
        </w:tc>
        <w:tc>
          <w:tcPr>
            <w:tcW w:type="dxa" w:w="3110"/>
            <w:shd w:fill="B79F85"/>
            <w:tcMar>
              <w:top w:w="80" w:type="dxa"/>
              <w:bottom w:w="80" w:type="dxa"/>
              <w:start w:w="120" w:type="dxa"/>
              <w:end w:w="120" w:type="dxa"/>
            </w:tcMar>
            <w:vAlign w:val="top"/>
          </w:tcPr>
          <w:p>
            <w:r>
              <w:rPr>
                <w:rFonts w:ascii="Aptos" w:hAnsi="Aptos"/>
                <w:b/>
                <w:sz w:val="16"/>
              </w:rPr>
              <w:t>Why</w:t>
            </w:r>
          </w:p>
        </w:tc>
      </w:tr>
      <w:tr>
        <w:trPr>
          <w:cantSplit/>
        </w:trPr>
        <w:tc>
          <w:tcPr>
            <w:tcW w:type="dxa" w:w="1700"/>
            <w:tcMar>
              <w:top w:w="80" w:type="dxa"/>
              <w:bottom w:w="80" w:type="dxa"/>
              <w:start w:w="120" w:type="dxa"/>
              <w:end w:w="120" w:type="dxa"/>
            </w:tcMar>
            <w:vAlign w:val="top"/>
          </w:tcPr>
          <w:p>
            <w:pPr>
              <w:spacing w:after="40" w:line="240" w:lineRule="auto"/>
            </w:pPr>
            <w:r>
              <w:rPr>
                <w:rFonts w:ascii="Aptos" w:hAnsi="Aptos"/>
                <w:sz w:val="16"/>
              </w:rPr>
              <w:t>Git repository</w:t>
            </w:r>
          </w:p>
        </w:tc>
        <w:tc>
          <w:tcPr>
            <w:tcW w:type="dxa" w:w="4550"/>
            <w:tcMar>
              <w:top w:w="80" w:type="dxa"/>
              <w:bottom w:w="80" w:type="dxa"/>
              <w:start w:w="120" w:type="dxa"/>
              <w:end w:w="120" w:type="dxa"/>
            </w:tcMar>
            <w:vAlign w:val="top"/>
          </w:tcPr>
          <w:p>
            <w:pPr>
              <w:spacing w:after="40" w:line="240" w:lineRule="auto"/>
            </w:pPr>
            <w:r>
              <w:rPr>
                <w:rFonts w:ascii="Aptos" w:hAnsi="Aptos"/>
                <w:sz w:val="16"/>
              </w:rPr>
              <w:t>Text-based specifications, contracts, rules, prompt packs, tests, manifests and decision records required to build or verify the software</w:t>
            </w:r>
          </w:p>
        </w:tc>
        <w:tc>
          <w:tcPr>
            <w:tcW w:type="dxa" w:w="3110"/>
            <w:tcMar>
              <w:top w:w="80" w:type="dxa"/>
              <w:bottom w:w="80" w:type="dxa"/>
              <w:start w:w="120" w:type="dxa"/>
              <w:end w:w="120" w:type="dxa"/>
            </w:tcMar>
            <w:vAlign w:val="top"/>
          </w:tcPr>
          <w:p>
            <w:pPr>
              <w:spacing w:after="40" w:line="240" w:lineRule="auto"/>
            </w:pPr>
            <w:r>
              <w:rPr>
                <w:rFonts w:ascii="Aptos" w:hAnsi="Aptos"/>
                <w:sz w:val="16"/>
              </w:rPr>
              <w:t>Versioned with code; reviewable in pull requests; reproducible</w:t>
            </w:r>
          </w:p>
        </w:tc>
      </w:tr>
      <w:tr>
        <w:trPr>
          <w:cantSplit/>
        </w:trPr>
        <w:tc>
          <w:tcPr>
            <w:tcW w:type="dxa" w:w="1700"/>
            <w:tcMar>
              <w:top w:w="80" w:type="dxa"/>
              <w:bottom w:w="80" w:type="dxa"/>
              <w:start w:w="120" w:type="dxa"/>
              <w:end w:w="120" w:type="dxa"/>
            </w:tcMar>
            <w:vAlign w:val="top"/>
            <w:shd w:fill="FAF8F6"/>
          </w:tcPr>
          <w:p>
            <w:pPr>
              <w:spacing w:after="40" w:line="240" w:lineRule="auto"/>
            </w:pPr>
            <w:r>
              <w:rPr>
                <w:rFonts w:ascii="Aptos" w:hAnsi="Aptos"/>
                <w:sz w:val="16"/>
              </w:rPr>
              <w:t>Controlled document archive</w:t>
            </w:r>
          </w:p>
        </w:tc>
        <w:tc>
          <w:tcPr>
            <w:tcW w:type="dxa" w:w="4550"/>
            <w:tcMar>
              <w:top w:w="80" w:type="dxa"/>
              <w:bottom w:w="80" w:type="dxa"/>
              <w:start w:w="120" w:type="dxa"/>
              <w:end w:w="120" w:type="dxa"/>
            </w:tcMar>
            <w:vAlign w:val="top"/>
            <w:shd w:fill="FAF8F6"/>
          </w:tcPr>
          <w:p>
            <w:pPr>
              <w:spacing w:after="40" w:line="240" w:lineRule="auto"/>
            </w:pPr>
            <w:r>
              <w:rPr>
                <w:rFonts w:ascii="Aptos" w:hAnsi="Aptos"/>
                <w:sz w:val="16"/>
              </w:rPr>
              <w:t>Canonical Word/PDF editions, signed approvals, original 30-module source, CEO manuals, confidential business documents and superseded originals</w:t>
            </w:r>
          </w:p>
        </w:tc>
        <w:tc>
          <w:tcPr>
            <w:tcW w:type="dxa" w:w="3110"/>
            <w:tcMar>
              <w:top w:w="80" w:type="dxa"/>
              <w:bottom w:w="80" w:type="dxa"/>
              <w:start w:w="120" w:type="dxa"/>
              <w:end w:w="120" w:type="dxa"/>
            </w:tcMar>
            <w:vAlign w:val="top"/>
            <w:shd w:fill="FAF8F6"/>
          </w:tcPr>
          <w:p>
            <w:pPr>
              <w:spacing w:after="40" w:line="240" w:lineRule="auto"/>
            </w:pPr>
            <w:r>
              <w:rPr>
                <w:rFonts w:ascii="Aptos" w:hAnsi="Aptos"/>
                <w:sz w:val="16"/>
              </w:rPr>
              <w:t>Preserves formal presentation and records without bloating or exposing the development repository</w:t>
            </w:r>
          </w:p>
        </w:tc>
      </w:tr>
      <w:tr>
        <w:trPr>
          <w:cantSplit/>
        </w:trPr>
        <w:tc>
          <w:tcPr>
            <w:tcW w:type="dxa" w:w="1700"/>
            <w:tcMar>
              <w:top w:w="80" w:type="dxa"/>
              <w:bottom w:w="80" w:type="dxa"/>
              <w:start w:w="120" w:type="dxa"/>
              <w:end w:w="120" w:type="dxa"/>
            </w:tcMar>
            <w:vAlign w:val="top"/>
          </w:tcPr>
          <w:p>
            <w:pPr>
              <w:spacing w:after="40" w:line="240" w:lineRule="auto"/>
            </w:pPr>
            <w:r>
              <w:rPr>
                <w:rFonts w:ascii="Aptos" w:hAnsi="Aptos"/>
                <w:sz w:val="16"/>
              </w:rPr>
              <w:t>Operational systems</w:t>
            </w:r>
          </w:p>
        </w:tc>
        <w:tc>
          <w:tcPr>
            <w:tcW w:type="dxa" w:w="4550"/>
            <w:tcMar>
              <w:top w:w="80" w:type="dxa"/>
              <w:bottom w:w="80" w:type="dxa"/>
              <w:start w:w="120" w:type="dxa"/>
              <w:end w:w="120" w:type="dxa"/>
            </w:tcMar>
            <w:vAlign w:val="top"/>
          </w:tcPr>
          <w:p>
            <w:pPr>
              <w:spacing w:after="40" w:line="240" w:lineRule="auto"/>
            </w:pPr>
            <w:r>
              <w:rPr>
                <w:rFonts w:ascii="Aptos" w:hAnsi="Aptos"/>
                <w:sz w:val="16"/>
              </w:rPr>
              <w:t>Real event, guest, staff, assessment, evidence and audit data</w:t>
            </w:r>
          </w:p>
        </w:tc>
        <w:tc>
          <w:tcPr>
            <w:tcW w:type="dxa" w:w="3110"/>
            <w:tcMar>
              <w:top w:w="80" w:type="dxa"/>
              <w:bottom w:w="80" w:type="dxa"/>
              <w:start w:w="120" w:type="dxa"/>
              <w:end w:w="120" w:type="dxa"/>
            </w:tcMar>
            <w:vAlign w:val="top"/>
          </w:tcPr>
          <w:p>
            <w:pPr>
              <w:spacing w:after="40" w:line="240" w:lineRule="auto"/>
            </w:pPr>
            <w:r>
              <w:rPr>
                <w:rFonts w:ascii="Aptos" w:hAnsi="Aptos"/>
                <w:sz w:val="16"/>
              </w:rPr>
              <w:t>Must be protected by application permissions, retention and audit—not stored in Git</w:t>
            </w:r>
          </w:p>
        </w:tc>
      </w:tr>
    </w:tbl>
    <w:p>
      <w:pPr>
        <w:spacing w:after="20"/>
      </w:pPr>
    </w:p>
    <w:p>
      <w:pPr>
        <w:pStyle w:val="Heading2"/>
        <w:keepNext/>
      </w:pPr>
      <w:r>
        <w:t>The governing rule</w:t>
      </w:r>
    </w:p>
    <w:p>
      <w:r>
        <w:rPr>
          <w:rFonts w:ascii="Aptos" w:hAnsi="Aptos"/>
          <w:i w:val="0"/>
        </w:rPr>
        <w:t>Commit a document when a developer, reviewer, test or deployment process needs its current contents to build or verify the system. Do not commit a document merely because it exists.</w:t>
      </w:r>
    </w:p>
    <w:p>
      <w:pPr>
        <w:pStyle w:val="ListBullet"/>
      </w:pPr>
      <w:r>
        <w:t>Prefer Markdown, YAML, JSON, TypeScript schemas and migration files inside Git.</w:t>
      </w:r>
    </w:p>
    <w:p>
      <w:pPr>
        <w:pStyle w:val="ListBullet"/>
      </w:pPr>
      <w:r>
        <w:t>Keep Word and PDF as controlled human editions outside Git unless a contractual or audit need requires an immutable copy.</w:t>
      </w:r>
    </w:p>
    <w:p>
      <w:pPr>
        <w:pStyle w:val="ListBullet"/>
      </w:pPr>
      <w:r>
        <w:t>Where a Word document is authoritative, export a machine-readable repository edition and record its source version and checksum.</w:t>
      </w:r>
    </w:p>
    <w:p>
      <w:pPr>
        <w:pStyle w:val="ListBullet"/>
      </w:pPr>
      <w:r>
        <w:t>Never use Git as a document dumping ground or as storage for live personal information.</w:t>
      </w:r>
    </w:p>
    <w:p>
      <w:pPr>
        <w:pStyle w:val="Heading1"/>
        <w:keepNext/>
      </w:pPr>
      <w:r>
        <w:t>2. Documents that belong in both repositories</w:t>
      </w:r>
    </w:p>
    <w:tbl>
      <w:tblPr>
        <w:tblW w:type="dxa" w:w="9360"/>
        <w:jc w:val="left"/>
        <w:tblLayout w:type="fixed"/>
        <w:tblLook w:firstColumn="1" w:firstRow="1" w:lastColumn="0" w:lastRow="0" w:noHBand="0" w:noVBand="1" w:val="04A0"/>
        <w:tblInd w:w="120" w:type="dxa"/>
      </w:tblPr>
      <w:tblGrid>
        <w:gridCol w:w="2350"/>
        <w:gridCol w:w="4500"/>
        <w:gridCol w:w="2510"/>
      </w:tblGrid>
      <w:tr>
        <w:trPr>
          <w:tblHeader w:val="true"/>
        </w:trPr>
        <w:tc>
          <w:tcPr>
            <w:tcW w:type="dxa" w:w="2350"/>
            <w:shd w:fill="B79F85"/>
            <w:tcMar>
              <w:top w:w="80" w:type="dxa"/>
              <w:bottom w:w="80" w:type="dxa"/>
              <w:start w:w="120" w:type="dxa"/>
              <w:end w:w="120" w:type="dxa"/>
            </w:tcMar>
            <w:vAlign w:val="top"/>
          </w:tcPr>
          <w:p>
            <w:r>
              <w:rPr>
                <w:rFonts w:ascii="Aptos" w:hAnsi="Aptos"/>
                <w:b/>
                <w:sz w:val="16"/>
              </w:rPr>
              <w:t>Artifact</w:t>
            </w:r>
          </w:p>
        </w:tc>
        <w:tc>
          <w:tcPr>
            <w:tcW w:type="dxa" w:w="4500"/>
            <w:shd w:fill="B79F85"/>
            <w:tcMar>
              <w:top w:w="80" w:type="dxa"/>
              <w:bottom w:w="80" w:type="dxa"/>
              <w:start w:w="120" w:type="dxa"/>
              <w:end w:w="120" w:type="dxa"/>
            </w:tcMar>
            <w:vAlign w:val="top"/>
          </w:tcPr>
          <w:p>
            <w:r>
              <w:rPr>
                <w:rFonts w:ascii="Aptos" w:hAnsi="Aptos"/>
                <w:b/>
                <w:sz w:val="16"/>
              </w:rPr>
              <w:t>Repository treatment</w:t>
            </w:r>
          </w:p>
        </w:tc>
        <w:tc>
          <w:tcPr>
            <w:tcW w:type="dxa" w:w="2510"/>
            <w:shd w:fill="B79F85"/>
            <w:tcMar>
              <w:top w:w="80" w:type="dxa"/>
              <w:bottom w:w="80" w:type="dxa"/>
              <w:start w:w="120" w:type="dxa"/>
              <w:end w:w="120" w:type="dxa"/>
            </w:tcMar>
            <w:vAlign w:val="top"/>
          </w:tcPr>
          <w:p>
            <w:r>
              <w:rPr>
                <w:rFonts w:ascii="Aptos" w:hAnsi="Aptos"/>
                <w:b/>
                <w:sz w:val="16"/>
              </w:rPr>
              <w:t>Control</w:t>
            </w:r>
          </w:p>
        </w:tc>
      </w:tr>
      <w:tr>
        <w:trPr>
          <w:cantSplit/>
        </w:trPr>
        <w:tc>
          <w:tcPr>
            <w:tcW w:type="dxa" w:w="2350"/>
            <w:tcMar>
              <w:top w:w="80" w:type="dxa"/>
              <w:bottom w:w="80" w:type="dxa"/>
              <w:start w:w="120" w:type="dxa"/>
              <w:end w:w="120" w:type="dxa"/>
            </w:tcMar>
            <w:vAlign w:val="top"/>
          </w:tcPr>
          <w:p>
            <w:pPr>
              <w:spacing w:after="40" w:line="240" w:lineRule="auto"/>
            </w:pPr>
            <w:r>
              <w:rPr>
                <w:rFonts w:ascii="Aptos" w:hAnsi="Aptos"/>
                <w:sz w:val="16"/>
              </w:rPr>
              <w:t>README.md</w:t>
            </w:r>
          </w:p>
        </w:tc>
        <w:tc>
          <w:tcPr>
            <w:tcW w:type="dxa" w:w="4500"/>
            <w:tcMar>
              <w:top w:w="80" w:type="dxa"/>
              <w:bottom w:w="80" w:type="dxa"/>
              <w:start w:w="120" w:type="dxa"/>
              <w:end w:w="120" w:type="dxa"/>
            </w:tcMar>
            <w:vAlign w:val="top"/>
          </w:tcPr>
          <w:p>
            <w:pPr>
              <w:spacing w:after="40" w:line="240" w:lineRule="auto"/>
            </w:pPr>
            <w:r>
              <w:rPr>
                <w:rFonts w:ascii="Aptos" w:hAnsi="Aptos"/>
                <w:sz w:val="16"/>
              </w:rPr>
              <w:t>Commit a repository-specific explanation of purpose, setup, architecture, commands and current status</w:t>
            </w:r>
          </w:p>
        </w:tc>
        <w:tc>
          <w:tcPr>
            <w:tcW w:type="dxa" w:w="2510"/>
            <w:tcMar>
              <w:top w:w="80" w:type="dxa"/>
              <w:bottom w:w="80" w:type="dxa"/>
              <w:start w:w="120" w:type="dxa"/>
              <w:end w:w="120" w:type="dxa"/>
            </w:tcMar>
            <w:vAlign w:val="top"/>
          </w:tcPr>
          <w:p>
            <w:pPr>
              <w:spacing w:after="40" w:line="240" w:lineRule="auto"/>
            </w:pPr>
            <w:r>
              <w:rPr>
                <w:rFonts w:ascii="Aptos" w:hAnsi="Aptos"/>
                <w:sz w:val="16"/>
              </w:rPr>
              <w:t>Update with material build changes</w:t>
            </w:r>
          </w:p>
        </w:tc>
      </w:tr>
      <w:tr>
        <w:trPr>
          <w:cantSplit/>
        </w:trPr>
        <w:tc>
          <w:tcPr>
            <w:tcW w:type="dxa" w:w="2350"/>
            <w:tcMar>
              <w:top w:w="80" w:type="dxa"/>
              <w:bottom w:w="80" w:type="dxa"/>
              <w:start w:w="120" w:type="dxa"/>
              <w:end w:w="120" w:type="dxa"/>
            </w:tcMar>
            <w:vAlign w:val="top"/>
            <w:shd w:fill="FAF8F6"/>
          </w:tcPr>
          <w:p>
            <w:pPr>
              <w:spacing w:after="40" w:line="240" w:lineRule="auto"/>
            </w:pPr>
            <w:r>
              <w:rPr>
                <w:rFonts w:ascii="Aptos" w:hAnsi="Aptos"/>
                <w:sz w:val="16"/>
              </w:rPr>
              <w:t>AGENTS.md / CURSOR_RULES.md</w:t>
            </w:r>
          </w:p>
        </w:tc>
        <w:tc>
          <w:tcPr>
            <w:tcW w:type="dxa" w:w="4500"/>
            <w:tcMar>
              <w:top w:w="80" w:type="dxa"/>
              <w:bottom w:w="80" w:type="dxa"/>
              <w:start w:w="120" w:type="dxa"/>
              <w:end w:w="120" w:type="dxa"/>
            </w:tcMar>
            <w:vAlign w:val="top"/>
            <w:shd w:fill="FAF8F6"/>
          </w:tcPr>
          <w:p>
            <w:pPr>
              <w:spacing w:after="40" w:line="240" w:lineRule="auto"/>
            </w:pPr>
            <w:r>
              <w:rPr>
                <w:rFonts w:ascii="Aptos" w:hAnsi="Aptos"/>
                <w:sz w:val="16"/>
              </w:rPr>
              <w:t>Commit non-negotiable coding, evidence, security, UX and stop rules</w:t>
            </w:r>
          </w:p>
        </w:tc>
        <w:tc>
          <w:tcPr>
            <w:tcW w:type="dxa" w:w="2510"/>
            <w:tcMar>
              <w:top w:w="80" w:type="dxa"/>
              <w:bottom w:w="80" w:type="dxa"/>
              <w:start w:w="120" w:type="dxa"/>
              <w:end w:w="120" w:type="dxa"/>
            </w:tcMar>
            <w:vAlign w:val="top"/>
            <w:shd w:fill="FAF8F6"/>
          </w:tcPr>
          <w:p>
            <w:pPr>
              <w:spacing w:after="40" w:line="240" w:lineRule="auto"/>
            </w:pPr>
            <w:r>
              <w:rPr>
                <w:rFonts w:ascii="Aptos" w:hAnsi="Aptos"/>
                <w:sz w:val="16"/>
              </w:rPr>
              <w:t>Cursor reads before every prompt</w:t>
            </w:r>
          </w:p>
        </w:tc>
      </w:tr>
      <w:tr>
        <w:trPr>
          <w:cantSplit/>
        </w:trPr>
        <w:tc>
          <w:tcPr>
            <w:tcW w:type="dxa" w:w="2350"/>
            <w:tcMar>
              <w:top w:w="80" w:type="dxa"/>
              <w:bottom w:w="80" w:type="dxa"/>
              <w:start w:w="120" w:type="dxa"/>
              <w:end w:w="120" w:type="dxa"/>
            </w:tcMar>
            <w:vAlign w:val="top"/>
          </w:tcPr>
          <w:p>
            <w:pPr>
              <w:spacing w:after="40" w:line="240" w:lineRule="auto"/>
            </w:pPr>
            <w:r>
              <w:rPr>
                <w:rFonts w:ascii="Aptos" w:hAnsi="Aptos"/>
                <w:sz w:val="16"/>
              </w:rPr>
              <w:t>DOCUMENT_REGISTER.md</w:t>
            </w:r>
          </w:p>
        </w:tc>
        <w:tc>
          <w:tcPr>
            <w:tcW w:type="dxa" w:w="4500"/>
            <w:tcMar>
              <w:top w:w="80" w:type="dxa"/>
              <w:bottom w:w="80" w:type="dxa"/>
              <w:start w:w="120" w:type="dxa"/>
              <w:end w:w="120" w:type="dxa"/>
            </w:tcMar>
            <w:vAlign w:val="top"/>
          </w:tcPr>
          <w:p>
            <w:pPr>
              <w:spacing w:after="40" w:line="240" w:lineRule="auto"/>
            </w:pPr>
            <w:r>
              <w:rPr>
                <w:rFonts w:ascii="Aptos" w:hAnsi="Aptos"/>
                <w:sz w:val="16"/>
              </w:rPr>
              <w:t>Commit the authoritative document inventory, versions, locations and supersession status</w:t>
            </w:r>
          </w:p>
        </w:tc>
        <w:tc>
          <w:tcPr>
            <w:tcW w:type="dxa" w:w="2510"/>
            <w:tcMar>
              <w:top w:w="80" w:type="dxa"/>
              <w:bottom w:w="80" w:type="dxa"/>
              <w:start w:w="120" w:type="dxa"/>
              <w:end w:w="120" w:type="dxa"/>
            </w:tcMar>
            <w:vAlign w:val="top"/>
          </w:tcPr>
          <w:p>
            <w:pPr>
              <w:spacing w:after="40" w:line="240" w:lineRule="auto"/>
            </w:pPr>
            <w:r>
              <w:rPr>
                <w:rFonts w:ascii="Aptos" w:hAnsi="Aptos"/>
                <w:sz w:val="16"/>
              </w:rPr>
              <w:t>No unnamed or ambiguous authority</w:t>
            </w:r>
          </w:p>
        </w:tc>
      </w:tr>
      <w:tr>
        <w:trPr>
          <w:cantSplit/>
        </w:trPr>
        <w:tc>
          <w:tcPr>
            <w:tcW w:type="dxa" w:w="2350"/>
            <w:tcMar>
              <w:top w:w="80" w:type="dxa"/>
              <w:bottom w:w="80" w:type="dxa"/>
              <w:start w:w="120" w:type="dxa"/>
              <w:end w:w="120" w:type="dxa"/>
            </w:tcMar>
            <w:vAlign w:val="top"/>
            <w:shd w:fill="FAF8F6"/>
          </w:tcPr>
          <w:p>
            <w:pPr>
              <w:spacing w:after="40" w:line="240" w:lineRule="auto"/>
            </w:pPr>
            <w:r>
              <w:rPr>
                <w:rFonts w:ascii="Aptos" w:hAnsi="Aptos"/>
                <w:sz w:val="16"/>
              </w:rPr>
              <w:t>BUILD_LEDGER.md</w:t>
            </w:r>
          </w:p>
        </w:tc>
        <w:tc>
          <w:tcPr>
            <w:tcW w:type="dxa" w:w="4500"/>
            <w:tcMar>
              <w:top w:w="80" w:type="dxa"/>
              <w:bottom w:w="80" w:type="dxa"/>
              <w:start w:w="120" w:type="dxa"/>
              <w:end w:w="120" w:type="dxa"/>
            </w:tcMar>
            <w:vAlign w:val="top"/>
            <w:shd w:fill="FAF8F6"/>
          </w:tcPr>
          <w:p>
            <w:pPr>
              <w:spacing w:after="40" w:line="240" w:lineRule="auto"/>
            </w:pPr>
            <w:r>
              <w:rPr>
                <w:rFonts w:ascii="Aptos" w:hAnsi="Aptos"/>
                <w:sz w:val="16"/>
              </w:rPr>
              <w:t>Commit current slice/prompt status, evidence links, decisions, carried-forward items and commit hashes</w:t>
            </w:r>
          </w:p>
        </w:tc>
        <w:tc>
          <w:tcPr>
            <w:tcW w:type="dxa" w:w="2510"/>
            <w:tcMar>
              <w:top w:w="80" w:type="dxa"/>
              <w:bottom w:w="80" w:type="dxa"/>
              <w:start w:w="120" w:type="dxa"/>
              <w:end w:w="120" w:type="dxa"/>
            </w:tcMar>
            <w:vAlign w:val="top"/>
            <w:shd w:fill="FAF8F6"/>
          </w:tcPr>
          <w:p>
            <w:pPr>
              <w:spacing w:after="40" w:line="240" w:lineRule="auto"/>
            </w:pPr>
            <w:r>
              <w:rPr>
                <w:rFonts w:ascii="Aptos" w:hAnsi="Aptos"/>
                <w:sz w:val="16"/>
              </w:rPr>
              <w:t>Updated after every accepted prompt</w:t>
            </w:r>
          </w:p>
        </w:tc>
      </w:tr>
      <w:tr>
        <w:trPr>
          <w:cantSplit/>
        </w:trPr>
        <w:tc>
          <w:tcPr>
            <w:tcW w:type="dxa" w:w="2350"/>
            <w:tcMar>
              <w:top w:w="80" w:type="dxa"/>
              <w:bottom w:w="80" w:type="dxa"/>
              <w:start w:w="120" w:type="dxa"/>
              <w:end w:w="120" w:type="dxa"/>
            </w:tcMar>
            <w:vAlign w:val="top"/>
          </w:tcPr>
          <w:p>
            <w:pPr>
              <w:spacing w:after="40" w:line="240" w:lineRule="auto"/>
            </w:pPr>
            <w:r>
              <w:rPr>
                <w:rFonts w:ascii="Aptos" w:hAnsi="Aptos"/>
                <w:sz w:val="16"/>
              </w:rPr>
              <w:t>DECISION_LOG.md and docs/adr/</w:t>
            </w:r>
          </w:p>
        </w:tc>
        <w:tc>
          <w:tcPr>
            <w:tcW w:type="dxa" w:w="4500"/>
            <w:tcMar>
              <w:top w:w="80" w:type="dxa"/>
              <w:bottom w:w="80" w:type="dxa"/>
              <w:start w:w="120" w:type="dxa"/>
              <w:end w:w="120" w:type="dxa"/>
            </w:tcMar>
            <w:vAlign w:val="top"/>
          </w:tcPr>
          <w:p>
            <w:pPr>
              <w:spacing w:after="40" w:line="240" w:lineRule="auto"/>
            </w:pPr>
            <w:r>
              <w:rPr>
                <w:rFonts w:ascii="Aptos" w:hAnsi="Aptos"/>
                <w:sz w:val="16"/>
              </w:rPr>
              <w:t>Commit architecture and material product decisions</w:t>
            </w:r>
          </w:p>
        </w:tc>
        <w:tc>
          <w:tcPr>
            <w:tcW w:type="dxa" w:w="2510"/>
            <w:tcMar>
              <w:top w:w="80" w:type="dxa"/>
              <w:bottom w:w="80" w:type="dxa"/>
              <w:start w:w="120" w:type="dxa"/>
              <w:end w:w="120" w:type="dxa"/>
            </w:tcMar>
            <w:vAlign w:val="top"/>
          </w:tcPr>
          <w:p>
            <w:pPr>
              <w:spacing w:after="40" w:line="240" w:lineRule="auto"/>
            </w:pPr>
            <w:r>
              <w:rPr>
                <w:rFonts w:ascii="Aptos" w:hAnsi="Aptos"/>
                <w:sz w:val="16"/>
              </w:rPr>
              <w:t>One decision, context and consequence per record</w:t>
            </w:r>
          </w:p>
        </w:tc>
      </w:tr>
      <w:tr>
        <w:trPr>
          <w:cantSplit/>
        </w:trPr>
        <w:tc>
          <w:tcPr>
            <w:tcW w:type="dxa" w:w="2350"/>
            <w:tcMar>
              <w:top w:w="80" w:type="dxa"/>
              <w:bottom w:w="80" w:type="dxa"/>
              <w:start w:w="120" w:type="dxa"/>
              <w:end w:w="120" w:type="dxa"/>
            </w:tcMar>
            <w:vAlign w:val="top"/>
            <w:shd w:fill="FAF8F6"/>
          </w:tcPr>
          <w:p>
            <w:pPr>
              <w:spacing w:after="40" w:line="240" w:lineRule="auto"/>
            </w:pPr>
            <w:r>
              <w:rPr>
                <w:rFonts w:ascii="Aptos" w:hAnsi="Aptos"/>
                <w:sz w:val="16"/>
              </w:rPr>
              <w:t>OS–Academy Integration Contract</w:t>
            </w:r>
          </w:p>
        </w:tc>
        <w:tc>
          <w:tcPr>
            <w:tcW w:type="dxa" w:w="4500"/>
            <w:tcMar>
              <w:top w:w="80" w:type="dxa"/>
              <w:bottom w:w="80" w:type="dxa"/>
              <w:start w:w="120" w:type="dxa"/>
              <w:end w:w="120" w:type="dxa"/>
            </w:tcMar>
            <w:vAlign w:val="top"/>
            <w:shd w:fill="FAF8F6"/>
          </w:tcPr>
          <w:p>
            <w:pPr>
              <w:spacing w:after="40" w:line="240" w:lineRule="auto"/>
            </w:pPr>
            <w:r>
              <w:rPr>
                <w:rFonts w:ascii="Aptos" w:hAnsi="Aptos"/>
                <w:sz w:val="16"/>
              </w:rPr>
              <w:t>Commit the same text/version in both repositories</w:t>
            </w:r>
          </w:p>
        </w:tc>
        <w:tc>
          <w:tcPr>
            <w:tcW w:type="dxa" w:w="2510"/>
            <w:tcMar>
              <w:top w:w="80" w:type="dxa"/>
              <w:bottom w:w="80" w:type="dxa"/>
              <w:start w:w="120" w:type="dxa"/>
              <w:end w:w="120" w:type="dxa"/>
            </w:tcMar>
            <w:vAlign w:val="top"/>
            <w:shd w:fill="FAF8F6"/>
          </w:tcPr>
          <w:p>
            <w:pPr>
              <w:spacing w:after="40" w:line="240" w:lineRule="auto"/>
            </w:pPr>
            <w:r>
              <w:rPr>
                <w:rFonts w:ascii="Aptos" w:hAnsi="Aptos"/>
                <w:sz w:val="16"/>
              </w:rPr>
              <w:t>CI or manual checksum confirms parity</w:t>
            </w:r>
          </w:p>
        </w:tc>
      </w:tr>
      <w:tr>
        <w:trPr>
          <w:cantSplit/>
        </w:trPr>
        <w:tc>
          <w:tcPr>
            <w:tcW w:type="dxa" w:w="2350"/>
            <w:tcMar>
              <w:top w:w="80" w:type="dxa"/>
              <w:bottom w:w="80" w:type="dxa"/>
              <w:start w:w="120" w:type="dxa"/>
              <w:end w:w="120" w:type="dxa"/>
            </w:tcMar>
            <w:vAlign w:val="top"/>
          </w:tcPr>
          <w:p>
            <w:pPr>
              <w:spacing w:after="40" w:line="240" w:lineRule="auto"/>
            </w:pPr>
            <w:r>
              <w:rPr>
                <w:rFonts w:ascii="Aptos" w:hAnsi="Aptos"/>
                <w:sz w:val="16"/>
              </w:rPr>
              <w:t>Knowledge manifest and doctrine IDs</w:t>
            </w:r>
          </w:p>
        </w:tc>
        <w:tc>
          <w:tcPr>
            <w:tcW w:type="dxa" w:w="4500"/>
            <w:tcMar>
              <w:top w:w="80" w:type="dxa"/>
              <w:bottom w:w="80" w:type="dxa"/>
              <w:start w:w="120" w:type="dxa"/>
              <w:end w:w="120" w:type="dxa"/>
            </w:tcMar>
            <w:vAlign w:val="top"/>
          </w:tcPr>
          <w:p>
            <w:pPr>
              <w:spacing w:after="40" w:line="240" w:lineRule="auto"/>
            </w:pPr>
            <w:r>
              <w:rPr>
                <w:rFonts w:ascii="Aptos" w:hAnsi="Aptos"/>
                <w:sz w:val="16"/>
              </w:rPr>
              <w:t>Commit a minimal shared manifest and applicable doctrine references</w:t>
            </w:r>
          </w:p>
        </w:tc>
        <w:tc>
          <w:tcPr>
            <w:tcW w:type="dxa" w:w="2510"/>
            <w:tcMar>
              <w:top w:w="80" w:type="dxa"/>
              <w:bottom w:w="80" w:type="dxa"/>
              <w:start w:w="120" w:type="dxa"/>
              <w:end w:w="120" w:type="dxa"/>
            </w:tcMar>
            <w:vAlign w:val="top"/>
          </w:tcPr>
          <w:p>
            <w:pPr>
              <w:spacing w:after="40" w:line="240" w:lineRule="auto"/>
            </w:pPr>
            <w:r>
              <w:rPr>
                <w:rFonts w:ascii="Aptos" w:hAnsi="Aptos"/>
                <w:sz w:val="16"/>
              </w:rPr>
              <w:t>No silent renumbering</w:t>
            </w:r>
          </w:p>
        </w:tc>
      </w:tr>
      <w:tr>
        <w:trPr>
          <w:cantSplit/>
        </w:trPr>
        <w:tc>
          <w:tcPr>
            <w:tcW w:type="dxa" w:w="2350"/>
            <w:tcMar>
              <w:top w:w="80" w:type="dxa"/>
              <w:bottom w:w="80" w:type="dxa"/>
              <w:start w:w="120" w:type="dxa"/>
              <w:end w:w="120" w:type="dxa"/>
            </w:tcMar>
            <w:vAlign w:val="top"/>
            <w:shd w:fill="FAF8F6"/>
          </w:tcPr>
          <w:p>
            <w:pPr>
              <w:spacing w:after="40" w:line="240" w:lineRule="auto"/>
            </w:pPr>
            <w:r>
              <w:rPr>
                <w:rFonts w:ascii="Aptos" w:hAnsi="Aptos"/>
                <w:sz w:val="16"/>
              </w:rPr>
              <w:t>Acceptance and release gates</w:t>
            </w:r>
          </w:p>
        </w:tc>
        <w:tc>
          <w:tcPr>
            <w:tcW w:type="dxa" w:w="4500"/>
            <w:tcMar>
              <w:top w:w="80" w:type="dxa"/>
              <w:bottom w:w="80" w:type="dxa"/>
              <w:start w:w="120" w:type="dxa"/>
              <w:end w:w="120" w:type="dxa"/>
            </w:tcMar>
            <w:vAlign w:val="top"/>
            <w:shd w:fill="FAF8F6"/>
          </w:tcPr>
          <w:p>
            <w:pPr>
              <w:spacing w:after="40" w:line="240" w:lineRule="auto"/>
            </w:pPr>
            <w:r>
              <w:rPr>
                <w:rFonts w:ascii="Aptos" w:hAnsi="Aptos"/>
                <w:sz w:val="16"/>
              </w:rPr>
              <w:t>Commit machine-executable tests plus readable acceptance criteria</w:t>
            </w:r>
          </w:p>
        </w:tc>
        <w:tc>
          <w:tcPr>
            <w:tcW w:type="dxa" w:w="2510"/>
            <w:tcMar>
              <w:top w:w="80" w:type="dxa"/>
              <w:bottom w:w="80" w:type="dxa"/>
              <w:start w:w="120" w:type="dxa"/>
              <w:end w:w="120" w:type="dxa"/>
            </w:tcMar>
            <w:vAlign w:val="top"/>
            <w:shd w:fill="FAF8F6"/>
          </w:tcPr>
          <w:p>
            <w:pPr>
              <w:spacing w:after="40" w:line="240" w:lineRule="auto"/>
            </w:pPr>
            <w:r>
              <w:rPr>
                <w:rFonts w:ascii="Aptos" w:hAnsi="Aptos"/>
                <w:sz w:val="16"/>
              </w:rPr>
              <w:t>A system cannot approve itself</w:t>
            </w:r>
          </w:p>
        </w:tc>
      </w:tr>
      <w:tr>
        <w:trPr>
          <w:cantSplit/>
        </w:trPr>
        <w:tc>
          <w:tcPr>
            <w:tcW w:type="dxa" w:w="2350"/>
            <w:tcMar>
              <w:top w:w="80" w:type="dxa"/>
              <w:bottom w:w="80" w:type="dxa"/>
              <w:start w:w="120" w:type="dxa"/>
              <w:end w:w="120" w:type="dxa"/>
            </w:tcMar>
            <w:vAlign w:val="top"/>
          </w:tcPr>
          <w:p>
            <w:pPr>
              <w:spacing w:after="40" w:line="240" w:lineRule="auto"/>
            </w:pPr>
            <w:r>
              <w:rPr>
                <w:rFonts w:ascii="Aptos" w:hAnsi="Aptos"/>
                <w:sz w:val="16"/>
              </w:rPr>
              <w:t>Security baseline and threat model</w:t>
            </w:r>
          </w:p>
        </w:tc>
        <w:tc>
          <w:tcPr>
            <w:tcW w:type="dxa" w:w="4500"/>
            <w:tcMar>
              <w:top w:w="80" w:type="dxa"/>
              <w:bottom w:w="80" w:type="dxa"/>
              <w:start w:w="120" w:type="dxa"/>
              <w:end w:w="120" w:type="dxa"/>
            </w:tcMar>
            <w:vAlign w:val="top"/>
          </w:tcPr>
          <w:p>
            <w:pPr>
              <w:spacing w:after="40" w:line="240" w:lineRule="auto"/>
            </w:pPr>
            <w:r>
              <w:rPr>
                <w:rFonts w:ascii="Aptos" w:hAnsi="Aptos"/>
                <w:sz w:val="16"/>
              </w:rPr>
              <w:t>Commit design controls without secrets or exploitable operational details</w:t>
            </w:r>
          </w:p>
        </w:tc>
        <w:tc>
          <w:tcPr>
            <w:tcW w:type="dxa" w:w="2510"/>
            <w:tcMar>
              <w:top w:w="80" w:type="dxa"/>
              <w:bottom w:w="80" w:type="dxa"/>
              <w:start w:w="120" w:type="dxa"/>
              <w:end w:w="120" w:type="dxa"/>
            </w:tcMar>
            <w:vAlign w:val="top"/>
          </w:tcPr>
          <w:p>
            <w:pPr>
              <w:spacing w:after="40" w:line="240" w:lineRule="auto"/>
            </w:pPr>
            <w:r>
              <w:rPr>
                <w:rFonts w:ascii="Aptos" w:hAnsi="Aptos"/>
                <w:sz w:val="16"/>
              </w:rPr>
              <w:t>Review on material architecture change</w:t>
            </w:r>
          </w:p>
        </w:tc>
      </w:tr>
      <w:tr>
        <w:trPr>
          <w:cantSplit/>
        </w:trPr>
        <w:tc>
          <w:tcPr>
            <w:tcW w:type="dxa" w:w="2350"/>
            <w:tcMar>
              <w:top w:w="80" w:type="dxa"/>
              <w:bottom w:w="80" w:type="dxa"/>
              <w:start w:w="120" w:type="dxa"/>
              <w:end w:w="120" w:type="dxa"/>
            </w:tcMar>
            <w:vAlign w:val="top"/>
            <w:shd w:fill="FAF8F6"/>
          </w:tcPr>
          <w:p>
            <w:pPr>
              <w:spacing w:after="40" w:line="240" w:lineRule="auto"/>
            </w:pPr>
            <w:r>
              <w:rPr>
                <w:rFonts w:ascii="Aptos" w:hAnsi="Aptos"/>
                <w:sz w:val="16"/>
              </w:rPr>
              <w:t>Contribution, branching and commit policy</w:t>
            </w:r>
          </w:p>
        </w:tc>
        <w:tc>
          <w:tcPr>
            <w:tcW w:type="dxa" w:w="4500"/>
            <w:tcMar>
              <w:top w:w="80" w:type="dxa"/>
              <w:bottom w:w="80" w:type="dxa"/>
              <w:start w:w="120" w:type="dxa"/>
              <w:end w:w="120" w:type="dxa"/>
            </w:tcMar>
            <w:vAlign w:val="top"/>
            <w:shd w:fill="FAF8F6"/>
          </w:tcPr>
          <w:p>
            <w:pPr>
              <w:spacing w:after="40" w:line="240" w:lineRule="auto"/>
            </w:pPr>
            <w:r>
              <w:rPr>
                <w:rFonts w:ascii="Aptos" w:hAnsi="Aptos"/>
                <w:sz w:val="16"/>
              </w:rPr>
              <w:t>Commit the exact workflow used by Cursor and humans</w:t>
            </w:r>
          </w:p>
        </w:tc>
        <w:tc>
          <w:tcPr>
            <w:tcW w:type="dxa" w:w="2510"/>
            <w:tcMar>
              <w:top w:w="80" w:type="dxa"/>
              <w:bottom w:w="80" w:type="dxa"/>
              <w:start w:w="120" w:type="dxa"/>
              <w:end w:w="120" w:type="dxa"/>
            </w:tcMar>
            <w:vAlign w:val="top"/>
            <w:shd w:fill="FAF8F6"/>
          </w:tcPr>
          <w:p>
            <w:pPr>
              <w:spacing w:after="40" w:line="240" w:lineRule="auto"/>
            </w:pPr>
            <w:r>
              <w:rPr>
                <w:rFonts w:ascii="Aptos" w:hAnsi="Aptos"/>
                <w:sz w:val="16"/>
              </w:rPr>
              <w:t>Applied consistently</w:t>
            </w:r>
          </w:p>
        </w:tc>
      </w:tr>
    </w:tbl>
    <w:p>
      <w:pPr>
        <w:spacing w:after="20"/>
      </w:pPr>
    </w:p>
    <w:p>
      <w:pPr>
        <w:pStyle w:val="Heading1"/>
        <w:keepNext/>
      </w:pPr>
      <w:r>
        <w:t>3. Event OS repository: what to commit</w:t>
      </w:r>
    </w:p>
    <w:tbl>
      <w:tblPr>
        <w:tblW w:type="dxa" w:w="9360"/>
        <w:jc w:val="left"/>
        <w:tblLayout w:type="fixed"/>
        <w:tblLook w:firstColumn="1" w:firstRow="1" w:lastColumn="0" w:lastRow="0" w:noHBand="0" w:noVBand="1" w:val="04A0"/>
        <w:tblInd w:w="120" w:type="dxa"/>
      </w:tblPr>
      <w:tblGrid>
        <w:gridCol w:w="2800"/>
        <w:gridCol w:w="1500"/>
        <w:gridCol w:w="5060"/>
      </w:tblGrid>
      <w:tr>
        <w:trPr>
          <w:tblHeader w:val="true"/>
        </w:trPr>
        <w:tc>
          <w:tcPr>
            <w:tcW w:type="dxa" w:w="2800"/>
            <w:shd w:fill="B79F85"/>
            <w:tcMar>
              <w:top w:w="80" w:type="dxa"/>
              <w:bottom w:w="80" w:type="dxa"/>
              <w:start w:w="120" w:type="dxa"/>
              <w:end w:w="120" w:type="dxa"/>
            </w:tcMar>
            <w:vAlign w:val="top"/>
          </w:tcPr>
          <w:p>
            <w:r>
              <w:rPr>
                <w:rFonts w:ascii="Aptos" w:hAnsi="Aptos"/>
                <w:b/>
                <w:sz w:val="15"/>
              </w:rPr>
              <w:t>Document or artifact</w:t>
            </w:r>
          </w:p>
        </w:tc>
        <w:tc>
          <w:tcPr>
            <w:tcW w:type="dxa" w:w="1500"/>
            <w:shd w:fill="B79F85"/>
            <w:tcMar>
              <w:top w:w="80" w:type="dxa"/>
              <w:bottom w:w="80" w:type="dxa"/>
              <w:start w:w="120" w:type="dxa"/>
              <w:end w:w="120" w:type="dxa"/>
            </w:tcMar>
            <w:vAlign w:val="top"/>
          </w:tcPr>
          <w:p>
            <w:r>
              <w:rPr>
                <w:rFonts w:ascii="Aptos" w:hAnsi="Aptos"/>
                <w:b/>
                <w:sz w:val="15"/>
              </w:rPr>
              <w:t>Commit?</w:t>
            </w:r>
          </w:p>
        </w:tc>
        <w:tc>
          <w:tcPr>
            <w:tcW w:type="dxa" w:w="5060"/>
            <w:shd w:fill="B79F85"/>
            <w:tcMar>
              <w:top w:w="80" w:type="dxa"/>
              <w:bottom w:w="80" w:type="dxa"/>
              <w:start w:w="120" w:type="dxa"/>
              <w:end w:w="120" w:type="dxa"/>
            </w:tcMar>
            <w:vAlign w:val="top"/>
          </w:tcPr>
          <w:p>
            <w:r>
              <w:rPr>
                <w:rFonts w:ascii="Aptos" w:hAnsi="Aptos"/>
                <w:b/>
                <w:sz w:val="15"/>
              </w:rPr>
              <w:t>Recommended repository form / location</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Canonical Build Blueprint</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docs/canonical/event-os-build-blueprint.md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Intelligence Specification</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docs/canonical/intelligence-specification.md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OS–Academy Integration Contract</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contracts/os-academy-integration.md plus schema files</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OS Data Model and Data Dictionary</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docs/specifications/data-model.md and executable schemas/migrations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Frontend Experience Specification</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docs/specifications/frontend-experience.md; component/state contracts beside code</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Roles, permissions and approval matrix</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docs/specifications/permissions.md plus policy tests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Slice 1–12 Implementation Specifications</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docs/slices/slice-01…slice-12/specification.md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Slice 1–12 Cursor Prompt Packs</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docs/slices/slice-NN/cursor-prompt-pack.md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OS reconciliation Cursor bundle</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docs/reconciliation/os-reconciliation-prompts.md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Independent Acceptance Pack</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docs/acceptance/independent-acceptance.md; automate applicable tests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Production Governance Register</w:t>
            </w:r>
          </w:p>
        </w:tc>
        <w:tc>
          <w:tcPr>
            <w:tcW w:type="dxa" w:w="1500"/>
            <w:tcMar>
              <w:top w:w="80" w:type="dxa"/>
              <w:bottom w:w="80" w:type="dxa"/>
              <w:start w:w="120" w:type="dxa"/>
              <w:end w:w="120" w:type="dxa"/>
            </w:tcMar>
            <w:vAlign w:val="top"/>
          </w:tcPr>
          <w:p>
            <w:pPr>
              <w:spacing w:after="40" w:line="240" w:lineRule="auto"/>
            </w:pPr>
            <w:r>
              <w:rPr>
                <w:rFonts w:ascii="Aptos" w:hAnsi="Aptos"/>
                <w:sz w:val="15"/>
              </w:rPr>
              <w:t>Yes, as clean template/current decisions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docs/governance/production-governance-register.md; no sensitive operational data</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Three-Way Traceability Register</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Applicable OS view only</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knowledge/traceability/os-doctrine-map.csv or JSON generated from controlled master</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Canonical Handbook</w:t>
            </w:r>
          </w:p>
        </w:tc>
        <w:tc>
          <w:tcPr>
            <w:tcW w:type="dxa" w:w="1500"/>
            <w:tcMar>
              <w:top w:w="80" w:type="dxa"/>
              <w:bottom w:w="80" w:type="dxa"/>
              <w:start w:w="120" w:type="dxa"/>
              <w:end w:w="120" w:type="dxa"/>
            </w:tcMar>
            <w:vAlign w:val="top"/>
          </w:tcPr>
          <w:p>
            <w:pPr>
              <w:spacing w:after="40" w:line="240" w:lineRule="auto"/>
            </w:pPr>
            <w:r>
              <w:rPr>
                <w:rFonts w:ascii="Aptos" w:hAnsi="Aptos"/>
                <w:sz w:val="15"/>
              </w:rPr>
              <w:t>Not as a large DOCX</w:t>
            </w:r>
          </w:p>
        </w:tc>
        <w:tc>
          <w:tcPr>
            <w:tcW w:type="dxa" w:w="5060"/>
            <w:tcMar>
              <w:top w:w="80" w:type="dxa"/>
              <w:bottom w:w="80" w:type="dxa"/>
              <w:start w:w="120" w:type="dxa"/>
              <w:end w:w="120" w:type="dxa"/>
            </w:tcMar>
            <w:vAlign w:val="top"/>
          </w:tcPr>
          <w:p>
            <w:pPr>
              <w:spacing w:after="40" w:line="240" w:lineRule="auto"/>
            </w:pPr>
            <w:r>
              <w:rPr>
                <w:rFonts w:ascii="Aptos" w:hAnsi="Aptos"/>
                <w:sz w:val="15"/>
              </w:rPr>
              <w:t>Store DOCX in controlled archive; commit extracted, approved OS doctrine package and manifest only</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CEO Handbook companions</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Usually no</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Commit only the field rules/templates explicitly implemented by the OS; keep full presentation documents in archive</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CEO Operating Manual</w:t>
            </w:r>
          </w:p>
        </w:tc>
        <w:tc>
          <w:tcPr>
            <w:tcW w:type="dxa" w:w="1500"/>
            <w:tcMar>
              <w:top w:w="80" w:type="dxa"/>
              <w:bottom w:w="80" w:type="dxa"/>
              <w:start w:w="120" w:type="dxa"/>
              <w:end w:w="120" w:type="dxa"/>
            </w:tcMar>
            <w:vAlign w:val="top"/>
          </w:tcPr>
          <w:p>
            <w:pPr>
              <w:spacing w:after="40" w:line="240" w:lineRule="auto"/>
            </w:pPr>
            <w:r>
              <w:rPr>
                <w:rFonts w:ascii="Aptos" w:hAnsi="Aptos"/>
                <w:sz w:val="15"/>
              </w:rPr>
              <w:t>No, unless developers need a specific workflow</w:t>
            </w:r>
          </w:p>
        </w:tc>
        <w:tc>
          <w:tcPr>
            <w:tcW w:type="dxa" w:w="5060"/>
            <w:tcMar>
              <w:top w:w="80" w:type="dxa"/>
              <w:bottom w:w="80" w:type="dxa"/>
              <w:start w:w="120" w:type="dxa"/>
              <w:end w:w="120" w:type="dxa"/>
            </w:tcMar>
            <w:vAlign w:val="top"/>
          </w:tcPr>
          <w:p>
            <w:pPr>
              <w:spacing w:after="40" w:line="240" w:lineRule="auto"/>
            </w:pPr>
            <w:r>
              <w:rPr>
                <w:rFonts w:ascii="Aptos" w:hAnsi="Aptos"/>
                <w:sz w:val="15"/>
              </w:rPr>
              <w:t>Commit referenced product rules as specifications; keep CEO manual in archive</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Business definition and financial plan</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No</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Controlled business archive; not necessary for product build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Legacy CTO reports</w:t>
            </w:r>
          </w:p>
        </w:tc>
        <w:tc>
          <w:tcPr>
            <w:tcW w:type="dxa" w:w="1500"/>
            <w:tcMar>
              <w:top w:w="80" w:type="dxa"/>
              <w:bottom w:w="80" w:type="dxa"/>
              <w:start w:w="120" w:type="dxa"/>
              <w:end w:w="120" w:type="dxa"/>
            </w:tcMar>
            <w:vAlign w:val="top"/>
          </w:tcPr>
          <w:p>
            <w:pPr>
              <w:spacing w:after="40" w:line="240" w:lineRule="auto"/>
            </w:pPr>
            <w:r>
              <w:rPr>
                <w:rFonts w:ascii="Aptos" w:hAnsi="Aptos"/>
                <w:sz w:val="15"/>
              </w:rPr>
              <w:t>No, after migration decisions captured</w:t>
            </w:r>
          </w:p>
        </w:tc>
        <w:tc>
          <w:tcPr>
            <w:tcW w:type="dxa" w:w="5060"/>
            <w:tcMar>
              <w:top w:w="80" w:type="dxa"/>
              <w:bottom w:w="80" w:type="dxa"/>
              <w:start w:w="120" w:type="dxa"/>
              <w:end w:w="120" w:type="dxa"/>
            </w:tcMar>
            <w:vAlign w:val="top"/>
          </w:tcPr>
          <w:p>
            <w:pPr>
              <w:spacing w:after="40" w:line="240" w:lineRule="auto"/>
            </w:pPr>
            <w:r>
              <w:rPr>
                <w:rFonts w:ascii="Aptos" w:hAnsi="Aptos"/>
                <w:sz w:val="15"/>
              </w:rPr>
              <w:t>Keep as provenance; commit resulting ADRs, migration fixtures and verified contracts</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Live event records or guest lists</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Never</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Application database/secure evidence store only</w:t>
            </w:r>
          </w:p>
        </w:tc>
      </w:tr>
    </w:tbl>
    <w:p>
      <w:pPr>
        <w:spacing w:after="20"/>
      </w:pPr>
    </w:p>
    <w:p>
      <w:pPr>
        <w:pStyle w:val="Heading1"/>
        <w:keepNext/>
      </w:pPr>
      <w:r>
        <w:t>4. Academy repository: what to commit</w:t>
      </w:r>
    </w:p>
    <w:tbl>
      <w:tblPr>
        <w:tblW w:type="dxa" w:w="9360"/>
        <w:jc w:val="left"/>
        <w:tblLayout w:type="fixed"/>
        <w:tblLook w:firstColumn="1" w:firstRow="1" w:lastColumn="0" w:lastRow="0" w:noHBand="0" w:noVBand="1" w:val="04A0"/>
        <w:tblInd w:w="120" w:type="dxa"/>
      </w:tblPr>
      <w:tblGrid>
        <w:gridCol w:w="2800"/>
        <w:gridCol w:w="1500"/>
        <w:gridCol w:w="5060"/>
      </w:tblGrid>
      <w:tr>
        <w:trPr>
          <w:tblHeader w:val="true"/>
        </w:trPr>
        <w:tc>
          <w:tcPr>
            <w:tcW w:type="dxa" w:w="2800"/>
            <w:shd w:fill="B79F85"/>
            <w:tcMar>
              <w:top w:w="80" w:type="dxa"/>
              <w:bottom w:w="80" w:type="dxa"/>
              <w:start w:w="120" w:type="dxa"/>
              <w:end w:w="120" w:type="dxa"/>
            </w:tcMar>
            <w:vAlign w:val="top"/>
          </w:tcPr>
          <w:p>
            <w:r>
              <w:rPr>
                <w:rFonts w:ascii="Aptos" w:hAnsi="Aptos"/>
                <w:b/>
                <w:sz w:val="15"/>
              </w:rPr>
              <w:t>Document or artifact</w:t>
            </w:r>
          </w:p>
        </w:tc>
        <w:tc>
          <w:tcPr>
            <w:tcW w:type="dxa" w:w="1500"/>
            <w:shd w:fill="B79F85"/>
            <w:tcMar>
              <w:top w:w="80" w:type="dxa"/>
              <w:bottom w:w="80" w:type="dxa"/>
              <w:start w:w="120" w:type="dxa"/>
              <w:end w:w="120" w:type="dxa"/>
            </w:tcMar>
            <w:vAlign w:val="top"/>
          </w:tcPr>
          <w:p>
            <w:r>
              <w:rPr>
                <w:rFonts w:ascii="Aptos" w:hAnsi="Aptos"/>
                <w:b/>
                <w:sz w:val="15"/>
              </w:rPr>
              <w:t>Commit?</w:t>
            </w:r>
          </w:p>
        </w:tc>
        <w:tc>
          <w:tcPr>
            <w:tcW w:type="dxa" w:w="5060"/>
            <w:shd w:fill="B79F85"/>
            <w:tcMar>
              <w:top w:w="80" w:type="dxa"/>
              <w:bottom w:w="80" w:type="dxa"/>
              <w:start w:w="120" w:type="dxa"/>
              <w:end w:w="120" w:type="dxa"/>
            </w:tcMar>
            <w:vAlign w:val="top"/>
          </w:tcPr>
          <w:p>
            <w:r>
              <w:rPr>
                <w:rFonts w:ascii="Aptos" w:hAnsi="Aptos"/>
                <w:b/>
                <w:sz w:val="15"/>
              </w:rPr>
              <w:t>Recommended repository form / location</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Academy Canonical Blueprint</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docs/canonical/academy-blueprint.md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OS–Academy Integration Contract</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contracts/os-academy-integration.md; identical version to OS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30-Module Competency Map</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curriculum/competencies/competency-map.yaml plus readable Markdown</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Role and Learning-Path Matrix</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curriculum/paths/role-learning-paths.yaml and docs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Curriculum Specification</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docs/specifications/curriculum.md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Assessment and Question-Bank Specification</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docs/specifications/assessment.md; no production answers in client bundle</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Certification and Operational-Authorisation Framework</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docs/specifications/certification-authorisation.md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Academy Data Model and Dictionary</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docs/specifications/data-model.md and migrations/schemas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Permissions and Approval Matrix</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docs/specifications/permissions.md plus tests</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Frontend Experience Specification</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docs/specifications/frontend-experience.md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Training Intelligence and Reporting Specification</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docs/specifications/training-intelligence.md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Content Governance and Versioning Framework</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docs/governance/content-versioning.md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Security, Privacy and Retention Specification</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docs/specifications/security-privacy-retention.md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Production Build Sequence</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docs/canonical/build-sequence.md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Slice Implementation Specifications</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docs/slices/slice-NN/specification.md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Slice Cursor Prompt Packs</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docs/slices/slice-NN/cursor-prompt-pack.md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Academy reconciliation Cursor bundle</w:t>
            </w:r>
          </w:p>
        </w:tc>
        <w:tc>
          <w:tcPr>
            <w:tcW w:type="dxa" w:w="1500"/>
            <w:tcMar>
              <w:top w:w="80" w:type="dxa"/>
              <w:bottom w:w="80" w:type="dxa"/>
              <w:start w:w="120" w:type="dxa"/>
              <w:end w:w="120" w:type="dxa"/>
            </w:tcMar>
            <w:vAlign w:val="top"/>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tcPr>
          <w:p>
            <w:pPr>
              <w:spacing w:after="40" w:line="240" w:lineRule="auto"/>
            </w:pPr>
            <w:r>
              <w:rPr>
                <w:rFonts w:ascii="Aptos" w:hAnsi="Aptos"/>
                <w:sz w:val="15"/>
              </w:rPr>
              <w:t>docs/reconciliation/academy-reconciliation-prompts.md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Independent Acceptance Pack</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docs/acceptance/independent-acceptance.md</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Academy Governance Register</w:t>
            </w:r>
          </w:p>
        </w:tc>
        <w:tc>
          <w:tcPr>
            <w:tcW w:type="dxa" w:w="1500"/>
            <w:tcMar>
              <w:top w:w="80" w:type="dxa"/>
              <w:bottom w:w="80" w:type="dxa"/>
              <w:start w:w="120" w:type="dxa"/>
              <w:end w:w="120" w:type="dxa"/>
            </w:tcMar>
            <w:vAlign w:val="top"/>
          </w:tcPr>
          <w:p>
            <w:pPr>
              <w:spacing w:after="40" w:line="240" w:lineRule="auto"/>
            </w:pPr>
            <w:r>
              <w:rPr>
                <w:rFonts w:ascii="Aptos" w:hAnsi="Aptos"/>
                <w:sz w:val="15"/>
              </w:rPr>
              <w:t>Yes, with safe content</w:t>
            </w:r>
          </w:p>
        </w:tc>
        <w:tc>
          <w:tcPr>
            <w:tcW w:type="dxa" w:w="5060"/>
            <w:tcMar>
              <w:top w:w="80" w:type="dxa"/>
              <w:bottom w:w="80" w:type="dxa"/>
              <w:start w:w="120" w:type="dxa"/>
              <w:end w:w="120" w:type="dxa"/>
            </w:tcMar>
            <w:vAlign w:val="top"/>
          </w:tcPr>
          <w:p>
            <w:pPr>
              <w:spacing w:after="40" w:line="240" w:lineRule="auto"/>
            </w:pPr>
            <w:r>
              <w:rPr>
                <w:rFonts w:ascii="Aptos" w:hAnsi="Aptos"/>
                <w:sz w:val="15"/>
              </w:rPr>
              <w:t>docs/governance/academy-governance-register.md</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Initial Course-Production Pack</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curriculum/content-production/; versioned source, rubrics and test fixtures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Canonical CEO Handbook</w:t>
            </w:r>
          </w:p>
        </w:tc>
        <w:tc>
          <w:tcPr>
            <w:tcW w:type="dxa" w:w="1500"/>
            <w:tcMar>
              <w:top w:w="80" w:type="dxa"/>
              <w:bottom w:w="80" w:type="dxa"/>
              <w:start w:w="120" w:type="dxa"/>
              <w:end w:w="120" w:type="dxa"/>
            </w:tcMar>
            <w:vAlign w:val="top"/>
          </w:tcPr>
          <w:p>
            <w:pPr>
              <w:spacing w:after="40" w:line="240" w:lineRule="auto"/>
            </w:pPr>
            <w:r>
              <w:rPr>
                <w:rFonts w:ascii="Aptos" w:hAnsi="Aptos"/>
                <w:sz w:val="15"/>
              </w:rPr>
              <w:t>Commit approved learning-source edition, not the presentation DOCX</w:t>
            </w:r>
          </w:p>
        </w:tc>
        <w:tc>
          <w:tcPr>
            <w:tcW w:type="dxa" w:w="5060"/>
            <w:tcMar>
              <w:top w:w="80" w:type="dxa"/>
              <w:bottom w:w="80" w:type="dxa"/>
              <w:start w:w="120" w:type="dxa"/>
              <w:end w:w="120" w:type="dxa"/>
            </w:tcMar>
            <w:vAlign w:val="top"/>
          </w:tcPr>
          <w:p>
            <w:pPr>
              <w:spacing w:after="40" w:line="240" w:lineRule="auto"/>
            </w:pPr>
            <w:r>
              <w:rPr>
                <w:rFonts w:ascii="Aptos" w:hAnsi="Aptos"/>
                <w:sz w:val="15"/>
              </w:rPr>
              <w:t>curriculum/sources/doctrine/ split by chapter plus manifest, version and checksum</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Full production question bank and answer key</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Yes, but protected</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Private repo paths with restricted release access; separate authoring and delivery bundles</w:t>
            </w:r>
          </w:p>
        </w:tc>
      </w:tr>
      <w:tr>
        <w:trPr>
          <w:cantSplit/>
        </w:trPr>
        <w:tc>
          <w:tcPr>
            <w:tcW w:type="dxa" w:w="2800"/>
            <w:tcMar>
              <w:top w:w="80" w:type="dxa"/>
              <w:bottom w:w="80" w:type="dxa"/>
              <w:start w:w="120" w:type="dxa"/>
              <w:end w:w="120" w:type="dxa"/>
            </w:tcMar>
            <w:vAlign w:val="top"/>
          </w:tcPr>
          <w:p>
            <w:pPr>
              <w:spacing w:after="40" w:line="240" w:lineRule="auto"/>
            </w:pPr>
            <w:r>
              <w:rPr>
                <w:rFonts w:ascii="Aptos" w:hAnsi="Aptos"/>
                <w:sz w:val="15"/>
              </w:rPr>
              <w:t>Learner attempts, results, evidence and certificates</w:t>
            </w:r>
          </w:p>
        </w:tc>
        <w:tc>
          <w:tcPr>
            <w:tcW w:type="dxa" w:w="1500"/>
            <w:tcMar>
              <w:top w:w="80" w:type="dxa"/>
              <w:bottom w:w="80" w:type="dxa"/>
              <w:start w:w="120" w:type="dxa"/>
              <w:end w:w="120" w:type="dxa"/>
            </w:tcMar>
            <w:vAlign w:val="top"/>
          </w:tcPr>
          <w:p>
            <w:pPr>
              <w:spacing w:after="40" w:line="240" w:lineRule="auto"/>
            </w:pPr>
            <w:r>
              <w:rPr>
                <w:rFonts w:ascii="Aptos" w:hAnsi="Aptos"/>
                <w:sz w:val="15"/>
              </w:rPr>
              <w:t>Never</w:t>
            </w:r>
          </w:p>
        </w:tc>
        <w:tc>
          <w:tcPr>
            <w:tcW w:type="dxa" w:w="5060"/>
            <w:tcMar>
              <w:top w:w="80" w:type="dxa"/>
              <w:bottom w:w="80" w:type="dxa"/>
              <w:start w:w="120" w:type="dxa"/>
              <w:end w:w="120" w:type="dxa"/>
            </w:tcMar>
            <w:vAlign w:val="top"/>
          </w:tcPr>
          <w:p>
            <w:pPr>
              <w:spacing w:after="40" w:line="240" w:lineRule="auto"/>
            </w:pPr>
            <w:r>
              <w:rPr>
                <w:rFonts w:ascii="Aptos" w:hAnsi="Aptos"/>
                <w:sz w:val="15"/>
              </w:rPr>
              <w:t>Academy database/object store only</w:t>
            </w:r>
          </w:p>
        </w:tc>
      </w:tr>
      <w:tr>
        <w:trPr>
          <w:cantSplit/>
        </w:trPr>
        <w:tc>
          <w:tcPr>
            <w:tcW w:type="dxa" w:w="2800"/>
            <w:tcMar>
              <w:top w:w="80" w:type="dxa"/>
              <w:bottom w:w="80" w:type="dxa"/>
              <w:start w:w="120" w:type="dxa"/>
              <w:end w:w="120" w:type="dxa"/>
            </w:tcMar>
            <w:vAlign w:val="top"/>
            <w:shd w:fill="FAF8F6"/>
          </w:tcPr>
          <w:p>
            <w:pPr>
              <w:spacing w:after="40" w:line="240" w:lineRule="auto"/>
            </w:pPr>
            <w:r>
              <w:rPr>
                <w:rFonts w:ascii="Aptos" w:hAnsi="Aptos"/>
                <w:sz w:val="15"/>
              </w:rPr>
              <w:t>CEO Academy Operating Manual</w:t>
            </w:r>
          </w:p>
        </w:tc>
        <w:tc>
          <w:tcPr>
            <w:tcW w:type="dxa" w:w="1500"/>
            <w:tcMar>
              <w:top w:w="80" w:type="dxa"/>
              <w:bottom w:w="80" w:type="dxa"/>
              <w:start w:w="120" w:type="dxa"/>
              <w:end w:w="120" w:type="dxa"/>
            </w:tcMar>
            <w:vAlign w:val="top"/>
            <w:shd w:fill="FAF8F6"/>
          </w:tcPr>
          <w:p>
            <w:pPr>
              <w:spacing w:after="40" w:line="240" w:lineRule="auto"/>
            </w:pPr>
            <w:r>
              <w:rPr>
                <w:rFonts w:ascii="Aptos" w:hAnsi="Aptos"/>
                <w:sz w:val="15"/>
              </w:rPr>
              <w:t>Usually no</w:t>
            </w:r>
          </w:p>
        </w:tc>
        <w:tc>
          <w:tcPr>
            <w:tcW w:type="dxa" w:w="5060"/>
            <w:tcMar>
              <w:top w:w="80" w:type="dxa"/>
              <w:bottom w:w="80" w:type="dxa"/>
              <w:start w:w="120" w:type="dxa"/>
              <w:end w:w="120" w:type="dxa"/>
            </w:tcMar>
            <w:vAlign w:val="top"/>
            <w:shd w:fill="FAF8F6"/>
          </w:tcPr>
          <w:p>
            <w:pPr>
              <w:spacing w:after="40" w:line="240" w:lineRule="auto"/>
            </w:pPr>
            <w:r>
              <w:rPr>
                <w:rFonts w:ascii="Aptos" w:hAnsi="Aptos"/>
                <w:sz w:val="15"/>
              </w:rPr>
              <w:t>Keep in controlled archive; commit system rules it requires</w:t>
            </w:r>
          </w:p>
        </w:tc>
      </w:tr>
    </w:tbl>
    <w:p>
      <w:pPr>
        <w:spacing w:after="20"/>
      </w:pPr>
    </w:p>
    <w:p>
      <w:pPr>
        <w:pStyle w:val="Heading1"/>
        <w:keepNext/>
      </w:pPr>
      <w:r>
        <w:t>5. Documents that must stay out of Git</w:t>
      </w:r>
    </w:p>
    <w:p>
      <w:pPr>
        <w:pStyle w:val="ListBullet"/>
      </w:pPr>
      <w:r>
        <w:t>Secrets: API keys, passwords, signing keys, certificates, tokens, database URLs and real .env files.</w:t>
      </w:r>
    </w:p>
    <w:p>
      <w:pPr>
        <w:pStyle w:val="ListBullet"/>
      </w:pPr>
      <w:r>
        <w:t>Personal data: guest lists, telephone numbers, addresses, dietary/medical information, biometrics, travel, VIP movements and staff assessment records.</w:t>
      </w:r>
    </w:p>
    <w:p>
      <w:pPr>
        <w:pStyle w:val="ListBullet"/>
      </w:pPr>
      <w:r>
        <w:t>Live event data, exports, database dumps and production logs.</w:t>
      </w:r>
    </w:p>
    <w:p>
      <w:pPr>
        <w:pStyle w:val="ListBullet"/>
      </w:pPr>
      <w:r>
        <w:t>Production question papers, answer keys or assessor notes in a repository accessible to learners or ordinary delivery staff.</w:t>
      </w:r>
    </w:p>
    <w:p>
      <w:pPr>
        <w:pStyle w:val="ListBullet"/>
      </w:pPr>
      <w:r>
        <w:t>Unredacted legal advice, insurance claims, security plans or vulnerability reports unless a tightly restricted security repository is deliberately approved.</w:t>
      </w:r>
    </w:p>
    <w:p>
      <w:pPr>
        <w:pStyle w:val="ListBullet"/>
      </w:pPr>
      <w:r>
        <w:t>Current bank information, financial projections, investor material and confidential CEO working papers not needed for the build.</w:t>
      </w:r>
    </w:p>
    <w:p>
      <w:pPr>
        <w:pStyle w:val="ListBullet"/>
      </w:pPr>
      <w:r>
        <w:t>Generated build folders, dependency directories, local caches, screenshots without evidence value and temporary exports.</w:t>
      </w:r>
    </w:p>
    <w:p>
      <w:pPr>
        <w:pStyle w:val="ListBullet"/>
      </w:pPr>
      <w:r>
        <w:t>Duplicate Word/PDF copies that cannot be diffed and have no formal retention purpose.</w:t>
      </w:r>
    </w:p>
    <w:p>
      <w:pPr>
        <w:pStyle w:val="ListBullet"/>
      </w:pPr>
      <w:r>
        <w:t>Superseded drafts without a documented audit requirement. Git history already preserves committed versions.</w:t>
      </w:r>
    </w:p>
    <w:p>
      <w:pPr>
        <w:pStyle w:val="Heading2"/>
        <w:keepNext/>
      </w:pPr>
      <w:r>
        <w:t>.gitignore minimum</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B79F85"/>
            <w:tcMar>
              <w:top w:w="80" w:type="dxa"/>
              <w:bottom w:w="80" w:type="dxa"/>
              <w:start w:w="120" w:type="dxa"/>
              <w:end w:w="120" w:type="dxa"/>
            </w:tcMar>
            <w:vAlign w:val="top"/>
          </w:tcPr>
          <w:p>
            <w:r>
              <w:rPr>
                <w:rFonts w:ascii="Aptos" w:hAnsi="Aptos"/>
                <w:b/>
                <w:sz w:val="16"/>
              </w:rPr>
              <w:t>Class</w:t>
            </w:r>
          </w:p>
        </w:tc>
        <w:tc>
          <w:tcPr>
            <w:tcW w:type="dxa" w:w="7560"/>
            <w:shd w:fill="B79F85"/>
            <w:tcMar>
              <w:top w:w="80" w:type="dxa"/>
              <w:bottom w:w="80" w:type="dxa"/>
              <w:start w:w="120" w:type="dxa"/>
              <w:end w:w="120" w:type="dxa"/>
            </w:tcMar>
            <w:vAlign w:val="top"/>
          </w:tcPr>
          <w:p>
            <w:r>
              <w:rPr>
                <w:rFonts w:ascii="Aptos" w:hAnsi="Aptos"/>
                <w:b/>
                <w:sz w:val="16"/>
              </w:rPr>
              <w:t>Patterns or control</w:t>
            </w:r>
          </w:p>
        </w:tc>
      </w:tr>
      <w:tr>
        <w:trPr>
          <w:cantSplit/>
        </w:trPr>
        <w:tc>
          <w:tcPr>
            <w:tcW w:type="dxa" w:w="1800"/>
            <w:tcMar>
              <w:top w:w="80" w:type="dxa"/>
              <w:bottom w:w="80" w:type="dxa"/>
              <w:start w:w="120" w:type="dxa"/>
              <w:end w:w="120" w:type="dxa"/>
            </w:tcMar>
            <w:vAlign w:val="top"/>
          </w:tcPr>
          <w:p>
            <w:pPr>
              <w:spacing w:after="40" w:line="240" w:lineRule="auto"/>
            </w:pPr>
            <w:r>
              <w:rPr>
                <w:rFonts w:ascii="Aptos" w:hAnsi="Aptos"/>
                <w:sz w:val="16"/>
              </w:rPr>
              <w:t>Environment</w:t>
            </w:r>
          </w:p>
        </w:tc>
        <w:tc>
          <w:tcPr>
            <w:tcW w:type="dxa" w:w="7560"/>
            <w:tcMar>
              <w:top w:w="80" w:type="dxa"/>
              <w:bottom w:w="80" w:type="dxa"/>
              <w:start w:w="120" w:type="dxa"/>
              <w:end w:w="120" w:type="dxa"/>
            </w:tcMar>
            <w:vAlign w:val="top"/>
          </w:tcPr>
          <w:p>
            <w:pPr>
              <w:spacing w:after="40" w:line="240" w:lineRule="auto"/>
            </w:pPr>
            <w:r>
              <w:rPr>
                <w:rFonts w:ascii="Aptos" w:hAnsi="Aptos"/>
                <w:sz w:val="16"/>
              </w:rPr>
              <w:t>​.env, .env.*, !.env.example</w:t>
            </w:r>
          </w:p>
        </w:tc>
      </w:tr>
      <w:tr>
        <w:trPr>
          <w:cantSplit/>
        </w:trPr>
        <w:tc>
          <w:tcPr>
            <w:tcW w:type="dxa" w:w="1800"/>
            <w:tcMar>
              <w:top w:w="80" w:type="dxa"/>
              <w:bottom w:w="80" w:type="dxa"/>
              <w:start w:w="120" w:type="dxa"/>
              <w:end w:w="120" w:type="dxa"/>
            </w:tcMar>
            <w:vAlign w:val="top"/>
            <w:shd w:fill="FAF8F6"/>
          </w:tcPr>
          <w:p>
            <w:pPr>
              <w:spacing w:after="40" w:line="240" w:lineRule="auto"/>
            </w:pPr>
            <w:r>
              <w:rPr>
                <w:rFonts w:ascii="Aptos" w:hAnsi="Aptos"/>
                <w:sz w:val="16"/>
              </w:rPr>
              <w:t>Dependencies/build</w:t>
            </w:r>
          </w:p>
        </w:tc>
        <w:tc>
          <w:tcPr>
            <w:tcW w:type="dxa" w:w="7560"/>
            <w:tcMar>
              <w:top w:w="80" w:type="dxa"/>
              <w:bottom w:w="80" w:type="dxa"/>
              <w:start w:w="120" w:type="dxa"/>
              <w:end w:w="120" w:type="dxa"/>
            </w:tcMar>
            <w:vAlign w:val="top"/>
            <w:shd w:fill="FAF8F6"/>
          </w:tcPr>
          <w:p>
            <w:pPr>
              <w:spacing w:after="40" w:line="240" w:lineRule="auto"/>
            </w:pPr>
            <w:r>
              <w:rPr>
                <w:rFonts w:ascii="Aptos" w:hAnsi="Aptos"/>
                <w:sz w:val="16"/>
              </w:rPr>
              <w:t>node_modules/, .next/, dist/, coverage/, tmp/, cache/</w:t>
            </w:r>
          </w:p>
        </w:tc>
      </w:tr>
      <w:tr>
        <w:trPr>
          <w:cantSplit/>
        </w:trPr>
        <w:tc>
          <w:tcPr>
            <w:tcW w:type="dxa" w:w="1800"/>
            <w:tcMar>
              <w:top w:w="80" w:type="dxa"/>
              <w:bottom w:w="80" w:type="dxa"/>
              <w:start w:w="120" w:type="dxa"/>
              <w:end w:w="120" w:type="dxa"/>
            </w:tcMar>
            <w:vAlign w:val="top"/>
          </w:tcPr>
          <w:p>
            <w:pPr>
              <w:spacing w:after="40" w:line="240" w:lineRule="auto"/>
            </w:pPr>
            <w:r>
              <w:rPr>
                <w:rFonts w:ascii="Aptos" w:hAnsi="Aptos"/>
                <w:sz w:val="16"/>
              </w:rPr>
              <w:t>Local tools</w:t>
            </w:r>
          </w:p>
        </w:tc>
        <w:tc>
          <w:tcPr>
            <w:tcW w:type="dxa" w:w="7560"/>
            <w:tcMar>
              <w:top w:w="80" w:type="dxa"/>
              <w:bottom w:w="80" w:type="dxa"/>
              <w:start w:w="120" w:type="dxa"/>
              <w:end w:w="120" w:type="dxa"/>
            </w:tcMar>
            <w:vAlign w:val="top"/>
          </w:tcPr>
          <w:p>
            <w:pPr>
              <w:spacing w:after="40" w:line="240" w:lineRule="auto"/>
            </w:pPr>
            <w:r>
              <w:rPr>
                <w:rFonts w:ascii="Aptos" w:hAnsi="Aptos"/>
                <w:sz w:val="16"/>
              </w:rPr>
              <w:t>​.cursor/local*, .DS_Store, editor settings not deliberately shared</w:t>
            </w:r>
          </w:p>
        </w:tc>
      </w:tr>
      <w:tr>
        <w:trPr>
          <w:cantSplit/>
        </w:trPr>
        <w:tc>
          <w:tcPr>
            <w:tcW w:type="dxa" w:w="1800"/>
            <w:tcMar>
              <w:top w:w="80" w:type="dxa"/>
              <w:bottom w:w="80" w:type="dxa"/>
              <w:start w:w="120" w:type="dxa"/>
              <w:end w:w="120" w:type="dxa"/>
            </w:tcMar>
            <w:vAlign w:val="top"/>
            <w:shd w:fill="FAF8F6"/>
          </w:tcPr>
          <w:p>
            <w:pPr>
              <w:spacing w:after="40" w:line="240" w:lineRule="auto"/>
            </w:pPr>
            <w:r>
              <w:rPr>
                <w:rFonts w:ascii="Aptos" w:hAnsi="Aptos"/>
                <w:sz w:val="16"/>
              </w:rPr>
              <w:t>Exports/data</w:t>
            </w:r>
          </w:p>
        </w:tc>
        <w:tc>
          <w:tcPr>
            <w:tcW w:type="dxa" w:w="7560"/>
            <w:tcMar>
              <w:top w:w="80" w:type="dxa"/>
              <w:bottom w:w="80" w:type="dxa"/>
              <w:start w:w="120" w:type="dxa"/>
              <w:end w:w="120" w:type="dxa"/>
            </w:tcMar>
            <w:vAlign w:val="top"/>
            <w:shd w:fill="FAF8F6"/>
          </w:tcPr>
          <w:p>
            <w:pPr>
              <w:spacing w:after="40" w:line="240" w:lineRule="auto"/>
            </w:pPr>
            <w:r>
              <w:rPr>
                <w:rFonts w:ascii="Aptos" w:hAnsi="Aptos"/>
                <w:sz w:val="16"/>
              </w:rPr>
              <w:t>exports/, dumps/, uploads/, guest-data/, assessment-attempts/</w:t>
            </w:r>
          </w:p>
        </w:tc>
      </w:tr>
      <w:tr>
        <w:trPr>
          <w:cantSplit/>
        </w:trPr>
        <w:tc>
          <w:tcPr>
            <w:tcW w:type="dxa" w:w="1800"/>
            <w:tcMar>
              <w:top w:w="80" w:type="dxa"/>
              <w:bottom w:w="80" w:type="dxa"/>
              <w:start w:w="120" w:type="dxa"/>
              <w:end w:w="120" w:type="dxa"/>
            </w:tcMar>
            <w:vAlign w:val="top"/>
          </w:tcPr>
          <w:p>
            <w:pPr>
              <w:spacing w:after="40" w:line="240" w:lineRule="auto"/>
            </w:pPr>
            <w:r>
              <w:rPr>
                <w:rFonts w:ascii="Aptos" w:hAnsi="Aptos"/>
                <w:sz w:val="16"/>
              </w:rPr>
              <w:t>Secrets/keys</w:t>
            </w:r>
          </w:p>
        </w:tc>
        <w:tc>
          <w:tcPr>
            <w:tcW w:type="dxa" w:w="7560"/>
            <w:tcMar>
              <w:top w:w="80" w:type="dxa"/>
              <w:bottom w:w="80" w:type="dxa"/>
              <w:start w:w="120" w:type="dxa"/>
              <w:end w:w="120" w:type="dxa"/>
            </w:tcMar>
            <w:vAlign w:val="top"/>
          </w:tcPr>
          <w:p>
            <w:pPr>
              <w:spacing w:after="40" w:line="240" w:lineRule="auto"/>
            </w:pPr>
            <w:r>
              <w:rPr>
                <w:rFonts w:ascii="Aptos" w:hAnsi="Aptos"/>
                <w:sz w:val="16"/>
              </w:rPr>
              <w:t>*.pem, *.key, *.p12, credentials*.json</w:t>
            </w:r>
          </w:p>
        </w:tc>
      </w:tr>
      <w:tr>
        <w:trPr>
          <w:cantSplit/>
        </w:trPr>
        <w:tc>
          <w:tcPr>
            <w:tcW w:type="dxa" w:w="1800"/>
            <w:tcMar>
              <w:top w:w="80" w:type="dxa"/>
              <w:bottom w:w="80" w:type="dxa"/>
              <w:start w:w="120" w:type="dxa"/>
              <w:end w:w="120" w:type="dxa"/>
            </w:tcMar>
            <w:vAlign w:val="top"/>
            <w:shd w:fill="FAF8F6"/>
          </w:tcPr>
          <w:p>
            <w:pPr>
              <w:spacing w:after="40" w:line="240" w:lineRule="auto"/>
            </w:pPr>
            <w:r>
              <w:rPr>
                <w:rFonts w:ascii="Aptos" w:hAnsi="Aptos"/>
                <w:sz w:val="16"/>
              </w:rPr>
              <w:t>Generated docs</w:t>
            </w:r>
          </w:p>
        </w:tc>
        <w:tc>
          <w:tcPr>
            <w:tcW w:type="dxa" w:w="7560"/>
            <w:tcMar>
              <w:top w:w="80" w:type="dxa"/>
              <w:bottom w:w="80" w:type="dxa"/>
              <w:start w:w="120" w:type="dxa"/>
              <w:end w:w="120" w:type="dxa"/>
            </w:tcMar>
            <w:vAlign w:val="top"/>
            <w:shd w:fill="FAF8F6"/>
          </w:tcPr>
          <w:p>
            <w:pPr>
              <w:spacing w:after="40" w:line="240" w:lineRule="auto"/>
            </w:pPr>
            <w:r>
              <w:rPr>
                <w:rFonts w:ascii="Aptos" w:hAnsi="Aptos"/>
                <w:sz w:val="16"/>
              </w:rPr>
              <w:t>rendered/, *.tmp.docx, page-*.png unless selected acceptance evidence</w:t>
            </w:r>
          </w:p>
        </w:tc>
      </w:tr>
      <w:tr>
        <w:trPr>
          <w:cantSplit/>
        </w:trPr>
        <w:tc>
          <w:tcPr>
            <w:tcW w:type="dxa" w:w="1800"/>
            <w:tcMar>
              <w:top w:w="80" w:type="dxa"/>
              <w:bottom w:w="80" w:type="dxa"/>
              <w:start w:w="120" w:type="dxa"/>
              <w:end w:w="120" w:type="dxa"/>
            </w:tcMar>
            <w:vAlign w:val="top"/>
          </w:tcPr>
          <w:p>
            <w:pPr>
              <w:spacing w:after="40" w:line="240" w:lineRule="auto"/>
            </w:pPr>
            <w:r>
              <w:rPr>
                <w:rFonts w:ascii="Aptos" w:hAnsi="Aptos"/>
                <w:sz w:val="16"/>
              </w:rPr>
              <w:t>Logs</w:t>
            </w:r>
          </w:p>
        </w:tc>
        <w:tc>
          <w:tcPr>
            <w:tcW w:type="dxa" w:w="7560"/>
            <w:tcMar>
              <w:top w:w="80" w:type="dxa"/>
              <w:bottom w:w="80" w:type="dxa"/>
              <w:start w:w="120" w:type="dxa"/>
              <w:end w:w="120" w:type="dxa"/>
            </w:tcMar>
            <w:vAlign w:val="top"/>
          </w:tcPr>
          <w:p>
            <w:pPr>
              <w:spacing w:after="40" w:line="240" w:lineRule="auto"/>
            </w:pPr>
            <w:r>
              <w:rPr>
                <w:rFonts w:ascii="Aptos" w:hAnsi="Aptos"/>
                <w:sz w:val="16"/>
              </w:rPr>
              <w:t>*.log, local logs and production downloads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IMPORTANT  </w:t>
            </w:r>
            <w:r>
              <w:rPr>
                <w:rFonts w:ascii="Aptos" w:hAnsi="Aptos"/>
                <w:sz w:val="18"/>
              </w:rPr>
              <w:t>A .gitignore rule is not security. If a secret or personal record is committed, treat it as exposed: revoke or rotate it, remove it through an approved history-cleaning process, record the incident and review access.</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A .gitignore rule is not security. If a secret or personal record is committed, treat it as exposed: revoke or rotate it, remove it through an approved history-cleaning process, record the incident and review access.</w:t>
            </w:r>
          </w:p>
        </w:tc>
      </w:tr>
    </w:tbl>
    <w:p>
      <w:pPr>
        <w:spacing w:after="20"/>
      </w:pPr>
    </w:p>
    <w:p>
      <w:pPr>
        <w:pStyle w:val="Heading1"/>
        <w:keepNext/>
      </w:pPr>
      <w:r>
        <w:t>6. Recommended repository structures</w:t>
      </w:r>
    </w:p>
    <w:p>
      <w:pPr>
        <w:pStyle w:val="Heading2"/>
        <w:keepNext/>
      </w:pPr>
      <w:r>
        <w:t>Event OS</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B79F85"/>
            <w:tcMar>
              <w:top w:w="80" w:type="dxa"/>
              <w:bottom w:w="80" w:type="dxa"/>
              <w:start w:w="120" w:type="dxa"/>
              <w:end w:w="120" w:type="dxa"/>
            </w:tcMar>
            <w:vAlign w:val="top"/>
          </w:tcPr>
          <w:p>
            <w:r>
              <w:rPr>
                <w:rFonts w:ascii="Aptos" w:hAnsi="Aptos"/>
                <w:b/>
                <w:sz w:val="16"/>
              </w:rPr>
              <w:t>Path</w:t>
            </w:r>
          </w:p>
        </w:tc>
        <w:tc>
          <w:tcPr>
            <w:tcW w:type="dxa" w:w="6360"/>
            <w:shd w:fill="B79F85"/>
            <w:tcMar>
              <w:top w:w="80" w:type="dxa"/>
              <w:bottom w:w="80" w:type="dxa"/>
              <w:start w:w="120" w:type="dxa"/>
              <w:end w:w="120" w:type="dxa"/>
            </w:tcMar>
            <w:vAlign w:val="top"/>
          </w:tcPr>
          <w:p>
            <w:r>
              <w:rPr>
                <w:rFonts w:ascii="Aptos" w:hAnsi="Aptos"/>
                <w:b/>
                <w:sz w:val="16"/>
              </w:rPr>
              <w:t>Purpose</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/apps/web</w:t>
            </w:r>
          </w:p>
        </w:tc>
        <w:tc>
          <w:tcPr>
            <w:tcW w:type="dxa" w:w="6360"/>
            <w:tcMar>
              <w:top w:w="80" w:type="dxa"/>
              <w:bottom w:w="80" w:type="dxa"/>
              <w:start w:w="120" w:type="dxa"/>
              <w:end w:w="120" w:type="dxa"/>
            </w:tcMar>
            <w:vAlign w:val="top"/>
          </w:tcPr>
          <w:p>
            <w:pPr>
              <w:spacing w:after="40" w:line="240" w:lineRule="auto"/>
            </w:pPr>
            <w:r>
              <w:rPr>
                <w:rFonts w:ascii="Aptos" w:hAnsi="Aptos"/>
                <w:sz w:val="16"/>
              </w:rPr>
              <w:t>Production frontend</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/apps/api or /packages/backend</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Application/API services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/packages/ui</w:t>
            </w:r>
          </w:p>
        </w:tc>
        <w:tc>
          <w:tcPr>
            <w:tcW w:type="dxa" w:w="6360"/>
            <w:tcMar>
              <w:top w:w="80" w:type="dxa"/>
              <w:bottom w:w="80" w:type="dxa"/>
              <w:start w:w="120" w:type="dxa"/>
              <w:end w:w="120" w:type="dxa"/>
            </w:tcMar>
            <w:vAlign w:val="top"/>
          </w:tcPr>
          <w:p>
            <w:pPr>
              <w:spacing w:after="40" w:line="240" w:lineRule="auto"/>
            </w:pPr>
            <w:r>
              <w:rPr>
                <w:rFonts w:ascii="Aptos" w:hAnsi="Aptos"/>
                <w:sz w:val="16"/>
              </w:rPr>
              <w:t>Shared, tested design system</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/packages/domain</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Domain rules and types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/packages/knowledge</w:t>
            </w:r>
          </w:p>
        </w:tc>
        <w:tc>
          <w:tcPr>
            <w:tcW w:type="dxa" w:w="6360"/>
            <w:tcMar>
              <w:top w:w="80" w:type="dxa"/>
              <w:bottom w:w="80" w:type="dxa"/>
              <w:start w:w="120" w:type="dxa"/>
              <w:end w:w="120" w:type="dxa"/>
            </w:tcMar>
            <w:vAlign w:val="top"/>
          </w:tcPr>
          <w:p>
            <w:pPr>
              <w:spacing w:after="40" w:line="240" w:lineRule="auto"/>
            </w:pPr>
            <w:r>
              <w:rPr>
                <w:rFonts w:ascii="Aptos" w:hAnsi="Aptos"/>
                <w:sz w:val="16"/>
              </w:rPr>
              <w:t>Versioned executable knowledge/rules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/contracts</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OS–Academy and external interface schemas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/database</w:t>
            </w:r>
          </w:p>
        </w:tc>
        <w:tc>
          <w:tcPr>
            <w:tcW w:type="dxa" w:w="6360"/>
            <w:tcMar>
              <w:top w:w="80" w:type="dxa"/>
              <w:bottom w:w="80" w:type="dxa"/>
              <w:start w:w="120" w:type="dxa"/>
              <w:end w:w="120" w:type="dxa"/>
            </w:tcMar>
            <w:vAlign w:val="top"/>
          </w:tcPr>
          <w:p>
            <w:pPr>
              <w:spacing w:after="40" w:line="240" w:lineRule="auto"/>
            </w:pPr>
            <w:r>
              <w:rPr>
                <w:rFonts w:ascii="Aptos" w:hAnsi="Aptos"/>
                <w:sz w:val="16"/>
              </w:rPr>
              <w:t>Migrations, seed fixtures and policies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/tests</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Unit, integration, contract, end-to-end, accessibility and security tests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/docs/canonical</w:t>
            </w:r>
          </w:p>
        </w:tc>
        <w:tc>
          <w:tcPr>
            <w:tcW w:type="dxa" w:w="6360"/>
            <w:tcMar>
              <w:top w:w="80" w:type="dxa"/>
              <w:bottom w:w="80" w:type="dxa"/>
              <w:start w:w="120" w:type="dxa"/>
              <w:end w:w="120" w:type="dxa"/>
            </w:tcMar>
            <w:vAlign w:val="top"/>
          </w:tcPr>
          <w:p>
            <w:pPr>
              <w:spacing w:after="40" w:line="240" w:lineRule="auto"/>
            </w:pPr>
            <w:r>
              <w:rPr>
                <w:rFonts w:ascii="Aptos" w:hAnsi="Aptos"/>
                <w:sz w:val="16"/>
              </w:rPr>
              <w:t>Ratified build-driving source documents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/docs/slices/slice-NN</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Specification, prompt pack, acceptance and evidence index</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/docs/architecture/adr</w:t>
            </w:r>
          </w:p>
        </w:tc>
        <w:tc>
          <w:tcPr>
            <w:tcW w:type="dxa" w:w="6360"/>
            <w:tcMar>
              <w:top w:w="80" w:type="dxa"/>
              <w:bottom w:w="80" w:type="dxa"/>
              <w:start w:w="120" w:type="dxa"/>
              <w:end w:w="120" w:type="dxa"/>
            </w:tcMar>
            <w:vAlign w:val="top"/>
          </w:tcPr>
          <w:p>
            <w:pPr>
              <w:spacing w:after="40" w:line="240" w:lineRule="auto"/>
            </w:pPr>
            <w:r>
              <w:rPr>
                <w:rFonts w:ascii="Aptos" w:hAnsi="Aptos"/>
                <w:sz w:val="16"/>
              </w:rPr>
              <w:t>Architecture decisions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/docs/governance</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Registers, release and exception controls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/knowledge/traceability</w:t>
            </w:r>
          </w:p>
        </w:tc>
        <w:tc>
          <w:tcPr>
            <w:tcW w:type="dxa" w:w="6360"/>
            <w:tcMar>
              <w:top w:w="80" w:type="dxa"/>
              <w:bottom w:w="80" w:type="dxa"/>
              <w:start w:w="120" w:type="dxa"/>
              <w:end w:w="120" w:type="dxa"/>
            </w:tcMar>
            <w:vAlign w:val="top"/>
          </w:tcPr>
          <w:p>
            <w:pPr>
              <w:spacing w:after="40" w:line="240" w:lineRule="auto"/>
            </w:pPr>
            <w:r>
              <w:rPr>
                <w:rFonts w:ascii="Aptos" w:hAnsi="Aptos"/>
                <w:sz w:val="16"/>
              </w:rPr>
              <w:t>Doctrine-to-rule/data/UI/test mapping</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/evidence</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Redacted non-sensitive acceptance evidence only</w:t>
            </w:r>
          </w:p>
        </w:tc>
      </w:tr>
    </w:tbl>
    <w:p>
      <w:pPr>
        <w:spacing w:after="20"/>
      </w:pPr>
    </w:p>
    <w:p>
      <w:pPr>
        <w:pStyle w:val="Heading2"/>
        <w:keepNext/>
      </w:pPr>
      <w:r>
        <w:t>Academy</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B79F85"/>
            <w:tcMar>
              <w:top w:w="80" w:type="dxa"/>
              <w:bottom w:w="80" w:type="dxa"/>
              <w:start w:w="120" w:type="dxa"/>
              <w:end w:w="120" w:type="dxa"/>
            </w:tcMar>
            <w:vAlign w:val="top"/>
          </w:tcPr>
          <w:p>
            <w:r>
              <w:rPr>
                <w:rFonts w:ascii="Aptos" w:hAnsi="Aptos"/>
                <w:b/>
                <w:sz w:val="16"/>
              </w:rPr>
              <w:t>Path</w:t>
            </w:r>
          </w:p>
        </w:tc>
        <w:tc>
          <w:tcPr>
            <w:tcW w:type="dxa" w:w="6360"/>
            <w:shd w:fill="B79F85"/>
            <w:tcMar>
              <w:top w:w="80" w:type="dxa"/>
              <w:bottom w:w="80" w:type="dxa"/>
              <w:start w:w="120" w:type="dxa"/>
              <w:end w:w="120" w:type="dxa"/>
            </w:tcMar>
            <w:vAlign w:val="top"/>
          </w:tcPr>
          <w:p>
            <w:r>
              <w:rPr>
                <w:rFonts w:ascii="Aptos" w:hAnsi="Aptos"/>
                <w:b/>
                <w:sz w:val="16"/>
              </w:rPr>
              <w:t>Purpose</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/apps/learner</w:t>
            </w:r>
          </w:p>
        </w:tc>
        <w:tc>
          <w:tcPr>
            <w:tcW w:type="dxa" w:w="6360"/>
            <w:tcMar>
              <w:top w:w="80" w:type="dxa"/>
              <w:bottom w:w="80" w:type="dxa"/>
              <w:start w:w="120" w:type="dxa"/>
              <w:end w:w="120" w:type="dxa"/>
            </w:tcMar>
            <w:vAlign w:val="top"/>
          </w:tcPr>
          <w:p>
            <w:pPr>
              <w:spacing w:after="40" w:line="240" w:lineRule="auto"/>
            </w:pPr>
            <w:r>
              <w:rPr>
                <w:rFonts w:ascii="Aptos" w:hAnsi="Aptos"/>
                <w:sz w:val="16"/>
              </w:rPr>
              <w:t>Mobile-first learner frontend</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/apps/admin</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Manager, assessor, author, reviewer, administrator and CEO interfaces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/apps/api or /packages/backend</w:t>
            </w:r>
          </w:p>
        </w:tc>
        <w:tc>
          <w:tcPr>
            <w:tcW w:type="dxa" w:w="6360"/>
            <w:tcMar>
              <w:top w:w="80" w:type="dxa"/>
              <w:bottom w:w="80" w:type="dxa"/>
              <w:start w:w="120" w:type="dxa"/>
              <w:end w:w="120" w:type="dxa"/>
            </w:tcMar>
            <w:vAlign w:val="top"/>
          </w:tcPr>
          <w:p>
            <w:pPr>
              <w:spacing w:after="40" w:line="240" w:lineRule="auto"/>
            </w:pPr>
            <w:r>
              <w:rPr>
                <w:rFonts w:ascii="Aptos" w:hAnsi="Aptos"/>
                <w:sz w:val="16"/>
              </w:rPr>
              <w:t>Academy services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/packages/ui</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Accessible design system</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/packages/domain</w:t>
            </w:r>
          </w:p>
        </w:tc>
        <w:tc>
          <w:tcPr>
            <w:tcW w:type="dxa" w:w="6360"/>
            <w:tcMar>
              <w:top w:w="80" w:type="dxa"/>
              <w:bottom w:w="80" w:type="dxa"/>
              <w:start w:w="120" w:type="dxa"/>
              <w:end w:w="120" w:type="dxa"/>
            </w:tcMar>
            <w:vAlign w:val="top"/>
          </w:tcPr>
          <w:p>
            <w:pPr>
              <w:spacing w:after="40" w:line="240" w:lineRule="auto"/>
            </w:pPr>
            <w:r>
              <w:rPr>
                <w:rFonts w:ascii="Aptos" w:hAnsi="Aptos"/>
                <w:sz w:val="16"/>
              </w:rPr>
              <w:t>Learning, assessment, certification and authorisation rules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/contracts</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Shared OS–Academy schemas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/curriculum/sources/doctrine</w:t>
            </w:r>
          </w:p>
        </w:tc>
        <w:tc>
          <w:tcPr>
            <w:tcW w:type="dxa" w:w="6360"/>
            <w:tcMar>
              <w:top w:w="80" w:type="dxa"/>
              <w:bottom w:w="80" w:type="dxa"/>
              <w:start w:w="120" w:type="dxa"/>
              <w:end w:w="120" w:type="dxa"/>
            </w:tcMar>
            <w:vAlign w:val="top"/>
          </w:tcPr>
          <w:p>
            <w:pPr>
              <w:spacing w:after="40" w:line="240" w:lineRule="auto"/>
            </w:pPr>
            <w:r>
              <w:rPr>
                <w:rFonts w:ascii="Aptos" w:hAnsi="Aptos"/>
                <w:sz w:val="16"/>
              </w:rPr>
              <w:t>Approved chapter-level source content and manifest</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/curriculum/competencies</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Competency definitions and mappings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/curriculum/courses</w:t>
            </w:r>
          </w:p>
        </w:tc>
        <w:tc>
          <w:tcPr>
            <w:tcW w:type="dxa" w:w="6360"/>
            <w:tcMar>
              <w:top w:w="80" w:type="dxa"/>
              <w:bottom w:w="80" w:type="dxa"/>
              <w:start w:w="120" w:type="dxa"/>
              <w:end w:w="120" w:type="dxa"/>
            </w:tcMar>
            <w:vAlign w:val="top"/>
          </w:tcPr>
          <w:p>
            <w:pPr>
              <w:spacing w:after="40" w:line="240" w:lineRule="auto"/>
            </w:pPr>
            <w:r>
              <w:rPr>
                <w:rFonts w:ascii="Aptos" w:hAnsi="Aptos"/>
                <w:sz w:val="16"/>
              </w:rPr>
              <w:t>Lessons, scenarios, practicals and role gating</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/curriculum/question-bank</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Protected source with strict access/release controls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/database</w:t>
            </w:r>
          </w:p>
        </w:tc>
        <w:tc>
          <w:tcPr>
            <w:tcW w:type="dxa" w:w="6360"/>
            <w:tcMar>
              <w:top w:w="80" w:type="dxa"/>
              <w:bottom w:w="80" w:type="dxa"/>
              <w:start w:w="120" w:type="dxa"/>
              <w:end w:w="120" w:type="dxa"/>
            </w:tcMar>
            <w:vAlign w:val="top"/>
          </w:tcPr>
          <w:p>
            <w:pPr>
              <w:spacing w:after="40" w:line="240" w:lineRule="auto"/>
            </w:pPr>
            <w:r>
              <w:rPr>
                <w:rFonts w:ascii="Aptos" w:hAnsi="Aptos"/>
                <w:sz w:val="16"/>
              </w:rPr>
              <w:t>Migrations, policies and synthetic fixtures</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/tests</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Assessment integrity, permissions, content, end-to-end and accessibility tests</w:t>
            </w:r>
          </w:p>
        </w:tc>
      </w:tr>
      <w:tr>
        <w:trPr>
          <w:cantSplit/>
        </w:trPr>
        <w:tc>
          <w:tcPr>
            <w:tcW w:type="dxa" w:w="3000"/>
            <w:tcMar>
              <w:top w:w="80" w:type="dxa"/>
              <w:bottom w:w="80" w:type="dxa"/>
              <w:start w:w="120" w:type="dxa"/>
              <w:end w:w="120" w:type="dxa"/>
            </w:tcMar>
            <w:vAlign w:val="top"/>
          </w:tcPr>
          <w:p>
            <w:pPr>
              <w:spacing w:after="40" w:line="240" w:lineRule="auto"/>
            </w:pPr>
            <w:r>
              <w:rPr>
                <w:rFonts w:ascii="Aptos" w:hAnsi="Aptos"/>
                <w:sz w:val="16"/>
              </w:rPr>
              <w:t>/docs/slices/slice-NN</w:t>
            </w:r>
          </w:p>
        </w:tc>
        <w:tc>
          <w:tcPr>
            <w:tcW w:type="dxa" w:w="6360"/>
            <w:tcMar>
              <w:top w:w="80" w:type="dxa"/>
              <w:bottom w:w="80" w:type="dxa"/>
              <w:start w:w="120" w:type="dxa"/>
              <w:end w:w="120" w:type="dxa"/>
            </w:tcMar>
            <w:vAlign w:val="top"/>
          </w:tcPr>
          <w:p>
            <w:pPr>
              <w:spacing w:after="40" w:line="240" w:lineRule="auto"/>
            </w:pPr>
            <w:r>
              <w:rPr>
                <w:rFonts w:ascii="Aptos" w:hAnsi="Aptos"/>
                <w:sz w:val="16"/>
              </w:rPr>
              <w:t>Specification, prompt pack and evidence index</w:t>
            </w:r>
          </w:p>
        </w:tc>
      </w:tr>
      <w:tr>
        <w:trPr>
          <w:cantSplit/>
        </w:trPr>
        <w:tc>
          <w:tcPr>
            <w:tcW w:type="dxa" w:w="3000"/>
            <w:tcMar>
              <w:top w:w="80" w:type="dxa"/>
              <w:bottom w:w="80" w:type="dxa"/>
              <w:start w:w="120" w:type="dxa"/>
              <w:end w:w="120" w:type="dxa"/>
            </w:tcMar>
            <w:vAlign w:val="top"/>
            <w:shd w:fill="FAF8F6"/>
          </w:tcPr>
          <w:p>
            <w:pPr>
              <w:spacing w:after="40" w:line="240" w:lineRule="auto"/>
            </w:pPr>
            <w:r>
              <w:rPr>
                <w:rFonts w:ascii="Aptos" w:hAnsi="Aptos"/>
                <w:sz w:val="16"/>
              </w:rPr>
              <w:t>/docs/governance</w:t>
            </w:r>
          </w:p>
        </w:tc>
        <w:tc>
          <w:tcPr>
            <w:tcW w:type="dxa" w:w="6360"/>
            <w:tcMar>
              <w:top w:w="80" w:type="dxa"/>
              <w:bottom w:w="80" w:type="dxa"/>
              <w:start w:w="120" w:type="dxa"/>
              <w:end w:w="120" w:type="dxa"/>
            </w:tcMar>
            <w:vAlign w:val="top"/>
            <w:shd w:fill="FAF8F6"/>
          </w:tcPr>
          <w:p>
            <w:pPr>
              <w:spacing w:after="40" w:line="240" w:lineRule="auto"/>
            </w:pPr>
            <w:r>
              <w:rPr>
                <w:rFonts w:ascii="Aptos" w:hAnsi="Aptos"/>
                <w:sz w:val="16"/>
              </w:rPr>
              <w:t>Content, certification, release and exception controls</w:t>
            </w:r>
          </w:p>
        </w:tc>
      </w:tr>
    </w:tbl>
    <w:p>
      <w:pPr>
        <w:spacing w:after="20"/>
      </w:pPr>
    </w:p>
    <w:p>
      <w:pPr>
        <w:pStyle w:val="Heading1"/>
        <w:keepNext/>
      </w:pPr>
      <w:r>
        <w:t>7. Preparing each clean repository</w:t>
      </w:r>
    </w:p>
    <w:p>
      <w:pPr>
        <w:pStyle w:val="ListNumber"/>
      </w:pPr>
      <w:r>
        <w:t>Create the private repository with the approved default branch and required reviews.</w:t>
      </w:r>
    </w:p>
    <w:p>
      <w:pPr>
        <w:pStyle w:val="ListNumber"/>
      </w:pPr>
      <w:r>
        <w:t>Add README.md, AGENTS.md or CURSOR_RULES.md, CONTRIBUTING.md, SECURITY.md and .gitignore before feature work.</w:t>
      </w:r>
    </w:p>
    <w:p>
      <w:pPr>
        <w:pStyle w:val="ListNumber"/>
      </w:pPr>
      <w:r>
        <w:t>Add the canonical document register and only the build-driving documents listed above.</w:t>
      </w:r>
    </w:p>
    <w:p>
      <w:pPr>
        <w:pStyle w:val="ListNumber"/>
      </w:pPr>
      <w:r>
        <w:t>Convert authoritative Word documents into reviewed Markdown or structured data. Record source filename, version, approval status and SHA-256 checksum in DOCUMENT_REGISTER.md.</w:t>
      </w:r>
    </w:p>
    <w:p>
      <w:pPr>
        <w:pStyle w:val="ListNumber"/>
      </w:pPr>
      <w:r>
        <w:t>Add BUILD_LEDGER.md, DECISION_LOG.md and the slice directory structure.</w:t>
      </w:r>
    </w:p>
    <w:p>
      <w:pPr>
        <w:pStyle w:val="ListNumber"/>
      </w:pPr>
      <w:r>
        <w:t>Add package manager lockfile, formatting, linting, type-checking and test commands.</w:t>
      </w:r>
    </w:p>
    <w:p>
      <w:pPr>
        <w:pStyle w:val="ListNumber"/>
      </w:pPr>
      <w:r>
        <w:t>Create a minimal CI workflow that runs the baseline checks on every pull request.</w:t>
      </w:r>
    </w:p>
    <w:p>
      <w:pPr>
        <w:pStyle w:val="ListNumber"/>
      </w:pPr>
      <w:r>
        <w:t>Make and tag the documentation baseline commit before Slice 1: docs-baseline-v1.0.</w:t>
      </w:r>
    </w:p>
    <w:p>
      <w:pPr>
        <w:pStyle w:val="ListNumber"/>
      </w:pPr>
      <w:r>
        <w:t>Confirm the working tree is clean. Cursor should not begin on an uncommitted baseline.</w:t>
      </w:r>
    </w:p>
    <w:p>
      <w:pPr>
        <w:pStyle w:val="Heading1"/>
        <w:keepNext/>
      </w:pPr>
      <w:r>
        <w:t>8. Can Cursor run a whole slice prompt pack?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RECOMMENDED ANSWER  </w:t>
            </w:r>
            <w:r>
              <w:rPr>
                <w:rFonts w:ascii="Aptos" w:hAnsi="Aptos"/>
                <w:sz w:val="18"/>
              </w:rPr>
              <w:t>Give Cursor the complete pack as a repository file, but direct it to execute one prompt at a time. The pack supplies context and sequence; the current instruction supplies permission to execute only the next prompt.</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Give Cursor the complete pack as a repository file, but direct it to execute one prompt at a time. The pack supplies context and sequence; the current instruction supplies permission to execute only the next prompt.</w:t>
            </w:r>
          </w:p>
        </w:tc>
      </w:tr>
    </w:tbl>
    <w:p>
      <w:pPr>
        <w:spacing w:after="20"/>
      </w:pPr>
    </w:p>
    <w:p>
      <w:r>
        <w:rPr>
          <w:rFonts w:ascii="Aptos" w:hAnsi="Aptos"/>
          <w:i w:val="0"/>
        </w:rPr>
        <w:t>A slice pack often contains discovery, data, backend, frontend, security, testing, browser validation, documentation and acceptance prompts. Allowing Cursor to treat all of them as one long instruction increases the chance of context drift, hidden failures, oversized commits and superficial frontend work.</w:t>
      </w:r>
    </w:p>
    <w:tbl>
      <w:tblPr>
        <w:tblW w:type="dxa" w:w="9360"/>
        <w:jc w:val="left"/>
        <w:tblLayout w:type="fixed"/>
        <w:tblLook w:firstColumn="1" w:firstRow="1" w:lastColumn="0" w:lastRow="0" w:noHBand="0" w:noVBand="1" w:val="04A0"/>
        <w:tblInd w:w="120" w:type="dxa"/>
      </w:tblPr>
      <w:tblGrid>
        <w:gridCol w:w="1900"/>
        <w:gridCol w:w="3950"/>
        <w:gridCol w:w="3510"/>
      </w:tblGrid>
      <w:tr>
        <w:trPr>
          <w:tblHeader w:val="true"/>
        </w:trPr>
        <w:tc>
          <w:tcPr>
            <w:tcW w:type="dxa" w:w="1900"/>
            <w:shd w:fill="B79F85"/>
            <w:tcMar>
              <w:top w:w="80" w:type="dxa"/>
              <w:bottom w:w="80" w:type="dxa"/>
              <w:start w:w="120" w:type="dxa"/>
              <w:end w:w="120" w:type="dxa"/>
            </w:tcMar>
            <w:vAlign w:val="top"/>
          </w:tcPr>
          <w:p>
            <w:r>
              <w:rPr>
                <w:rFonts w:ascii="Aptos" w:hAnsi="Aptos"/>
                <w:b/>
                <w:sz w:val="16"/>
              </w:rPr>
              <w:t>Mode</w:t>
            </w:r>
          </w:p>
        </w:tc>
        <w:tc>
          <w:tcPr>
            <w:tcW w:type="dxa" w:w="3950"/>
            <w:shd w:fill="B79F85"/>
            <w:tcMar>
              <w:top w:w="80" w:type="dxa"/>
              <w:bottom w:w="80" w:type="dxa"/>
              <w:start w:w="120" w:type="dxa"/>
              <w:end w:w="120" w:type="dxa"/>
            </w:tcMar>
            <w:vAlign w:val="top"/>
          </w:tcPr>
          <w:p>
            <w:r>
              <w:rPr>
                <w:rFonts w:ascii="Aptos" w:hAnsi="Aptos"/>
                <w:b/>
                <w:sz w:val="16"/>
              </w:rPr>
              <w:t>Use</w:t>
            </w:r>
          </w:p>
        </w:tc>
        <w:tc>
          <w:tcPr>
            <w:tcW w:type="dxa" w:w="3510"/>
            <w:shd w:fill="B79F85"/>
            <w:tcMar>
              <w:top w:w="80" w:type="dxa"/>
              <w:bottom w:w="80" w:type="dxa"/>
              <w:start w:w="120" w:type="dxa"/>
              <w:end w:w="120" w:type="dxa"/>
            </w:tcMar>
            <w:vAlign w:val="top"/>
          </w:tcPr>
          <w:p>
            <w:r>
              <w:rPr>
                <w:rFonts w:ascii="Aptos" w:hAnsi="Aptos"/>
                <w:b/>
                <w:sz w:val="16"/>
              </w:rPr>
              <w:t>Recommendation</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One prompt per approval</w:t>
            </w:r>
          </w:p>
        </w:tc>
        <w:tc>
          <w:tcPr>
            <w:tcW w:type="dxa" w:w="3950"/>
            <w:tcMar>
              <w:top w:w="80" w:type="dxa"/>
              <w:bottom w:w="80" w:type="dxa"/>
              <w:start w:w="120" w:type="dxa"/>
              <w:end w:w="120" w:type="dxa"/>
            </w:tcMar>
            <w:vAlign w:val="top"/>
          </w:tcPr>
          <w:p>
            <w:pPr>
              <w:spacing w:after="40" w:line="240" w:lineRule="auto"/>
            </w:pPr>
            <w:r>
              <w:rPr>
                <w:rFonts w:ascii="Aptos" w:hAnsi="Aptos"/>
                <w:sz w:val="16"/>
              </w:rPr>
              <w:t>Cursor executes Prompt N, reports, commits and stops. You review before Prompt N+1.</w:t>
            </w:r>
          </w:p>
        </w:tc>
        <w:tc>
          <w:tcPr>
            <w:tcW w:type="dxa" w:w="3510"/>
            <w:tcMar>
              <w:top w:w="80" w:type="dxa"/>
              <w:bottom w:w="80" w:type="dxa"/>
              <w:start w:w="120" w:type="dxa"/>
              <w:end w:w="120" w:type="dxa"/>
            </w:tcMar>
            <w:vAlign w:val="top"/>
          </w:tcPr>
          <w:p>
            <w:pPr>
              <w:spacing w:after="40" w:line="240" w:lineRule="auto"/>
            </w:pPr>
            <w:r>
              <w:rPr>
                <w:rFonts w:ascii="Aptos" w:hAnsi="Aptos"/>
                <w:sz w:val="16"/>
              </w:rPr>
              <w:t>Default and safest</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Controlled slice autopilot</w:t>
            </w:r>
          </w:p>
        </w:tc>
        <w:tc>
          <w:tcPr>
            <w:tcW w:type="dxa" w:w="3950"/>
            <w:tcMar>
              <w:top w:w="80" w:type="dxa"/>
              <w:bottom w:w="80" w:type="dxa"/>
              <w:start w:w="120" w:type="dxa"/>
              <w:end w:w="120" w:type="dxa"/>
            </w:tcMar>
            <w:vAlign w:val="top"/>
            <w:shd w:fill="FAF8F6"/>
          </w:tcPr>
          <w:p>
            <w:pPr>
              <w:spacing w:after="40" w:line="240" w:lineRule="auto"/>
            </w:pPr>
            <w:r>
              <w:rPr>
                <w:rFonts w:ascii="Aptos" w:hAnsi="Aptos"/>
                <w:sz w:val="16"/>
              </w:rPr>
              <w:t>Cursor executes prompts sequentially but stops after every commit/gate for explicit “continue.”</w:t>
            </w:r>
          </w:p>
        </w:tc>
        <w:tc>
          <w:tcPr>
            <w:tcW w:type="dxa" w:w="3510"/>
            <w:tcMar>
              <w:top w:w="80" w:type="dxa"/>
              <w:bottom w:w="80" w:type="dxa"/>
              <w:start w:w="120" w:type="dxa"/>
              <w:end w:w="120" w:type="dxa"/>
            </w:tcMar>
            <w:vAlign w:val="top"/>
            <w:shd w:fill="FAF8F6"/>
          </w:tcPr>
          <w:p>
            <w:pPr>
              <w:spacing w:after="40" w:line="240" w:lineRule="auto"/>
            </w:pPr>
            <w:r>
              <w:rPr>
                <w:rFonts w:ascii="Aptos" w:hAnsi="Aptos"/>
                <w:sz w:val="16"/>
              </w:rPr>
              <w:t>Acceptable when the pack is mature</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Unattended whole-pack run</w:t>
            </w:r>
          </w:p>
        </w:tc>
        <w:tc>
          <w:tcPr>
            <w:tcW w:type="dxa" w:w="3950"/>
            <w:tcMar>
              <w:top w:w="80" w:type="dxa"/>
              <w:bottom w:w="80" w:type="dxa"/>
              <w:start w:w="120" w:type="dxa"/>
              <w:end w:w="120" w:type="dxa"/>
            </w:tcMar>
            <w:vAlign w:val="top"/>
          </w:tcPr>
          <w:p>
            <w:pPr>
              <w:spacing w:after="40" w:line="240" w:lineRule="auto"/>
            </w:pPr>
            <w:r>
              <w:rPr>
                <w:rFonts w:ascii="Aptos" w:hAnsi="Aptos"/>
                <w:sz w:val="16"/>
              </w:rPr>
              <w:t>Cursor attempts every prompt and decides for itself whether results are acceptable.</w:t>
            </w:r>
          </w:p>
        </w:tc>
        <w:tc>
          <w:tcPr>
            <w:tcW w:type="dxa" w:w="3510"/>
            <w:tcMar>
              <w:top w:w="80" w:type="dxa"/>
              <w:bottom w:w="80" w:type="dxa"/>
              <w:start w:w="120" w:type="dxa"/>
              <w:end w:w="120" w:type="dxa"/>
            </w:tcMar>
            <w:vAlign w:val="top"/>
          </w:tcPr>
          <w:p>
            <w:pPr>
              <w:spacing w:after="40" w:line="240" w:lineRule="auto"/>
            </w:pPr>
            <w:r>
              <w:rPr>
                <w:rFonts w:ascii="Aptos" w:hAnsi="Aptos"/>
                <w:sz w:val="16"/>
              </w:rPr>
              <w:t>Do not use for production build</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Multiple packs together</w:t>
            </w:r>
          </w:p>
        </w:tc>
        <w:tc>
          <w:tcPr>
            <w:tcW w:type="dxa" w:w="3950"/>
            <w:tcMar>
              <w:top w:w="80" w:type="dxa"/>
              <w:bottom w:w="80" w:type="dxa"/>
              <w:start w:w="120" w:type="dxa"/>
              <w:end w:w="120" w:type="dxa"/>
            </w:tcMar>
            <w:vAlign w:val="top"/>
            <w:shd w:fill="FAF8F6"/>
          </w:tcPr>
          <w:p>
            <w:pPr>
              <w:spacing w:after="40" w:line="240" w:lineRule="auto"/>
            </w:pPr>
            <w:r>
              <w:rPr>
                <w:rFonts w:ascii="Aptos" w:hAnsi="Aptos"/>
                <w:sz w:val="16"/>
              </w:rPr>
              <w:t>Cursor mixes slices or OS/Academy work in one context.</w:t>
            </w:r>
          </w:p>
        </w:tc>
        <w:tc>
          <w:tcPr>
            <w:tcW w:type="dxa" w:w="3510"/>
            <w:tcMar>
              <w:top w:w="80" w:type="dxa"/>
              <w:bottom w:w="80" w:type="dxa"/>
              <w:start w:w="120" w:type="dxa"/>
              <w:end w:w="120" w:type="dxa"/>
            </w:tcMar>
            <w:vAlign w:val="top"/>
            <w:shd w:fill="FAF8F6"/>
          </w:tcPr>
          <w:p>
            <w:pPr>
              <w:spacing w:after="40" w:line="240" w:lineRule="auto"/>
            </w:pPr>
            <w:r>
              <w:rPr>
                <w:rFonts w:ascii="Aptos" w:hAnsi="Aptos"/>
                <w:sz w:val="16"/>
              </w:rPr>
              <w:t>Prohibited</w:t>
            </w:r>
          </w:p>
        </w:tc>
      </w:tr>
    </w:tbl>
    <w:p>
      <w:pPr>
        <w:spacing w:after="20"/>
      </w:pPr>
    </w:p>
    <w:p>
      <w:pPr>
        <w:pStyle w:val="Heading1"/>
        <w:keepNext/>
      </w:pPr>
      <w:r>
        <w:t>9. The standard Cursor cycle for every prompt</w:t>
      </w:r>
    </w:p>
    <w:p>
      <w:r>
        <w:rPr>
          <w:rFonts w:ascii="Aptos" w:hAnsi="Aptos"/>
          <w:b/>
        </w:rPr>
        <w:t xml:space="preserve">Step 1 — Open the correct repository. </w:t>
      </w:r>
      <w:r>
        <w:rPr>
          <w:rFonts w:ascii="Aptos" w:hAnsi="Aptos"/>
          <w:i w:val="0"/>
        </w:rPr>
        <w:t>Never work on OS and Academy in the same Cursor workspace or chat.</w:t>
      </w:r>
    </w:p>
    <w:p>
      <w:r>
        <w:rPr>
          <w:rFonts w:ascii="Aptos" w:hAnsi="Aptos"/>
          <w:b/>
        </w:rPr>
        <w:t xml:space="preserve">Step 2 — Select the correct branch. </w:t>
      </w:r>
      <w:r>
        <w:rPr>
          <w:rFonts w:ascii="Aptos" w:hAnsi="Aptos"/>
          <w:i w:val="0"/>
        </w:rPr>
        <w:t>Use one branch per slice, for example slice/01-foundation. Do not build directly on main.</w:t>
      </w:r>
    </w:p>
    <w:p>
      <w:r>
        <w:rPr>
          <w:rFonts w:ascii="Aptos" w:hAnsi="Aptos"/>
          <w:b/>
        </w:rPr>
        <w:t xml:space="preserve">Step 3 — Start a fresh Cursor chat for the slice. </w:t>
      </w:r>
      <w:r>
        <w:rPr>
          <w:rFonts w:ascii="Aptos" w:hAnsi="Aptos"/>
          <w:i w:val="0"/>
        </w:rPr>
        <w:t>Attach or reference the canonical files, slice specification and prompt pack by repository path.</w:t>
      </w:r>
    </w:p>
    <w:p>
      <w:r>
        <w:rPr>
          <w:rFonts w:ascii="Aptos" w:hAnsi="Aptos"/>
          <w:b/>
        </w:rPr>
        <w:t xml:space="preserve">Step 4 — Authorise only the next prompt. </w:t>
      </w:r>
      <w:r>
        <w:rPr>
          <w:rFonts w:ascii="Aptos" w:hAnsi="Aptos"/>
          <w:i w:val="0"/>
        </w:rPr>
        <w:t>State the prompt number. Tell Cursor to stop after tests, evidence and commit.</w:t>
      </w:r>
    </w:p>
    <w:p>
      <w:r>
        <w:rPr>
          <w:rFonts w:ascii="Aptos" w:hAnsi="Aptos"/>
          <w:b/>
        </w:rPr>
        <w:t xml:space="preserve">Step 5 — Require preflight. </w:t>
      </w:r>
      <w:r>
        <w:rPr>
          <w:rFonts w:ascii="Aptos" w:hAnsi="Aptos"/>
          <w:i w:val="0"/>
        </w:rPr>
        <w:t>Cursor reads AGENTS.md, checks git status/log, reads BUILD_LEDGER.md and identifies existing implementation before changing files.</w:t>
      </w:r>
    </w:p>
    <w:p>
      <w:r>
        <w:rPr>
          <w:rFonts w:ascii="Aptos" w:hAnsi="Aptos"/>
          <w:b/>
        </w:rPr>
        <w:t xml:space="preserve">Step 6 — Review the proposed change list. </w:t>
      </w:r>
      <w:r>
        <w:rPr>
          <w:rFonts w:ascii="Aptos" w:hAnsi="Aptos"/>
          <w:i w:val="0"/>
        </w:rPr>
        <w:t>Cursor should state files/domains affected and blockers before implementation.</w:t>
      </w:r>
    </w:p>
    <w:p>
      <w:r>
        <w:rPr>
          <w:rFonts w:ascii="Aptos" w:hAnsi="Aptos"/>
          <w:b/>
        </w:rPr>
        <w:t xml:space="preserve">Step 7 — Implement the complete vertical increment. </w:t>
      </w:r>
      <w:r>
        <w:rPr>
          <w:rFonts w:ascii="Aptos" w:hAnsi="Aptos"/>
          <w:i w:val="0"/>
        </w:rPr>
        <w:t>Backend, frontend, permissions, data, audit and tests move together where the prompt requires them.</w:t>
      </w:r>
    </w:p>
    <w:p>
      <w:r>
        <w:rPr>
          <w:rFonts w:ascii="Aptos" w:hAnsi="Aptos"/>
          <w:b/>
        </w:rPr>
        <w:t xml:space="preserve">Step 8 — Run all required checks. </w:t>
      </w:r>
      <w:r>
        <w:rPr>
          <w:rFonts w:ascii="Aptos" w:hAnsi="Aptos"/>
          <w:i w:val="0"/>
        </w:rPr>
        <w:t>Formatting, lint, types, unit, integration, contract, end-to-end, accessibility, security and build checks as applicable.</w:t>
      </w:r>
    </w:p>
    <w:p>
      <w:r>
        <w:rPr>
          <w:rFonts w:ascii="Aptos" w:hAnsi="Aptos"/>
          <w:b/>
        </w:rPr>
        <w:t xml:space="preserve">Step 9 — Validate the frontend in a real browser. </w:t>
      </w:r>
      <w:r>
        <w:rPr>
          <w:rFonts w:ascii="Aptos" w:hAnsi="Aptos"/>
          <w:i w:val="0"/>
        </w:rPr>
        <w:t>Test desktop and mobile, empty/loading/error/permission/offline states and keyboard/accessibility. Screenshots alone are not functional validation.</w:t>
      </w:r>
    </w:p>
    <w:p>
      <w:r>
        <w:rPr>
          <w:rFonts w:ascii="Aptos" w:hAnsi="Aptos"/>
          <w:b/>
        </w:rPr>
        <w:t xml:space="preserve">Step 10 — Create acceptance evidence. </w:t>
      </w:r>
      <w:r>
        <w:rPr>
          <w:rFonts w:ascii="Aptos" w:hAnsi="Aptos"/>
          <w:i w:val="0"/>
        </w:rPr>
        <w:t>Record commands, results, browser journeys, changed files, known limitations and traceability.</w:t>
      </w:r>
    </w:p>
    <w:p>
      <w:r>
        <w:rPr>
          <w:rFonts w:ascii="Aptos" w:hAnsi="Aptos"/>
          <w:b/>
        </w:rPr>
        <w:t xml:space="preserve">Step 11 — Commit only an accepted prompt. </w:t>
      </w:r>
      <w:r>
        <w:rPr>
          <w:rFonts w:ascii="Aptos" w:hAnsi="Aptos"/>
          <w:i w:val="0"/>
        </w:rPr>
        <w:t>Use a focused commit. Report the full commit hash and verify the tree is clean.</w:t>
      </w:r>
    </w:p>
    <w:p>
      <w:r>
        <w:rPr>
          <w:rFonts w:ascii="Aptos" w:hAnsi="Aptos"/>
          <w:b/>
        </w:rPr>
        <w:t xml:space="preserve">Step 12 — Update the ledger. </w:t>
      </w:r>
      <w:r>
        <w:rPr>
          <w:rFonts w:ascii="Aptos" w:hAnsi="Aptos"/>
          <w:i w:val="0"/>
        </w:rPr>
        <w:t>Mark the prompt complete, add evidence and carry unresolved work forward explicitly.</w:t>
      </w:r>
    </w:p>
    <w:p>
      <w:r>
        <w:rPr>
          <w:rFonts w:ascii="Aptos" w:hAnsi="Aptos"/>
          <w:b/>
        </w:rPr>
        <w:t xml:space="preserve">Step 13 — Review and continue. </w:t>
      </w:r>
      <w:r>
        <w:rPr>
          <w:rFonts w:ascii="Aptos" w:hAnsi="Aptos"/>
          <w:i w:val="0"/>
        </w:rPr>
        <w:t>You or the appointed reviewer says continue with the next prompt. No silence is approval.</w:t>
      </w:r>
    </w:p>
    <w:p>
      <w:pPr>
        <w:pStyle w:val="Heading1"/>
        <w:keepNext/>
      </w:pPr>
      <w:r>
        <w:t>10. Exact instruction to start a slice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COPY INTO CURSOR  </w:t>
            </w:r>
            <w:r>
              <w:rPr>
                <w:rFonts w:ascii="Aptos" w:hAnsi="Aptos"/>
                <w:sz w:val="18"/>
              </w:rPr>
              <w:t>Read AGENTS.md, DOCUMENT_REGISTER.md, BUILD_LEDGER.md, the Slice [NN] Implementation Specification and the complete Slice [NN] Cursor Prompt Pack. Confirm the working tree is clean and the preceding slice gate is accepted. Execute Prompt [NN.PP] only. Follow it exactly; do not combine, skip, reinterpret or begin later prompts. Before editing, report the current state, affected files and blockers. Implement the full backend, frontend, data, permission, audit and test scope required by this prompt. Run every required check and browser journey. If a stop condition occurs, stop without claiming completion. If acceptance passes, update BUILD_LEDGER.md, create the required focused commit, report the full commit hash, evidence and carried-forward items, then stop and wait for approval.</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Read AGENTS.md, DOCUMENT_REGISTER.md, BUILD_LEDGER.md, the Slice [NN] Implementation Specification and the complete Slice [NN] Cursor Prompt Pack. Confirm the working tree is clean and the preceding slice gate is accepted. Execute Prompt [NN.PP] only. Follow it exactly; do not combine, skip, reinterpret or begin later prompts. Before editing, report the current state, affected files and blockers. Implement the full backend, frontend, data, permission, audit and test scope required by this prompt. Run every required check and browser journey. If a stop condition occurs, stop without claiming completion. If acceptance passes, update BUILD_LEDGER.md, create the required focused commit, report the full commit hash, evidence and carried-forward items, then stop and wait for approval.</w:t>
            </w:r>
          </w:p>
        </w:tc>
      </w:tr>
    </w:tbl>
    <w:p>
      <w:pPr>
        <w:spacing w:after="20"/>
      </w:pPr>
    </w:p>
    <w:p>
      <w:pPr>
        <w:pStyle w:val="Heading2"/>
        <w:keepNext/>
      </w:pPr>
      <w:r>
        <w:t>Instruction for the next prompt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COPY INTO CURSOR  </w:t>
            </w:r>
            <w:r>
              <w:rPr>
                <w:rFonts w:ascii="Aptos" w:hAnsi="Aptos"/>
                <w:sz w:val="18"/>
              </w:rPr>
              <w:t>Review the previous prompt's commit, evidence and BUILD_LEDGER.md. Confirm the tree is clean and no blocker is open. Execute the next incomplete prompt in the Slice [NN] Cursor Prompt Pack only. Apply all pack rules, tests, evidence, commit and stop conditions. Do not begin another prompt after reporting completion.</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Review the previous prompt's commit, evidence and BUILD_LEDGER.md. Confirm the tree is clean and no blocker is open. Execute the next incomplete prompt in the Slice [NN] Cursor Prompt Pack only. Apply all pack rules, tests, evidence, commit and stop conditions. Do not begin another prompt after reporting completion.</w:t>
            </w:r>
          </w:p>
        </w:tc>
      </w:tr>
    </w:tbl>
    <w:p>
      <w:pPr>
        <w:spacing w:after="20"/>
      </w:pPr>
    </w:p>
    <w:p>
      <w:pPr>
        <w:pStyle w:val="Heading2"/>
        <w:keepNext/>
      </w:pPr>
      <w:r>
        <w:t>Instruction after interruption or new chat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COPY INTO CURSOR  </w:t>
            </w:r>
            <w:r>
              <w:rPr>
                <w:rFonts w:ascii="Aptos" w:hAnsi="Aptos"/>
                <w:sz w:val="18"/>
              </w:rPr>
              <w:t>Reconstruct state from Git and repository records, not from assumptions. Read AGENTS.md, DOCUMENT_REGISTER.md, BUILD_LEDGER.md, recent commits, the Slice [NN] specification and prompt pack. Identify the last accepted prompt and verify its commit/evidence. Report the exact next incomplete prompt and any inconsistent state. Do not edit until the state report is complete; then execute only the authorised prompt.</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Reconstruct state from Git and repository records, not from assumptions. Read AGENTS.md, DOCUMENT_REGISTER.md, BUILD_LEDGER.md, recent commits, the Slice [NN] specification and prompt pack. Identify the last accepted prompt and verify its commit/evidence. Report the exact next incomplete prompt and any inconsistent state. Do not edit until the state report is complete; then execute only the authorised prompt.</w:t>
            </w:r>
          </w:p>
        </w:tc>
      </w:tr>
    </w:tbl>
    <w:p>
      <w:pPr>
        <w:spacing w:after="20"/>
      </w:pPr>
    </w:p>
    <w:p>
      <w:pPr>
        <w:pStyle w:val="Heading1"/>
        <w:keepNext/>
      </w:pPr>
      <w:r>
        <w:t>11. Required Cursor completion report</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B79F85"/>
            <w:tcMar>
              <w:top w:w="80" w:type="dxa"/>
              <w:bottom w:w="80" w:type="dxa"/>
              <w:start w:w="120" w:type="dxa"/>
              <w:end w:w="120" w:type="dxa"/>
            </w:tcMar>
            <w:vAlign w:val="top"/>
          </w:tcPr>
          <w:p>
            <w:r>
              <w:rPr>
                <w:rFonts w:ascii="Aptos" w:hAnsi="Aptos"/>
                <w:b/>
                <w:sz w:val="16"/>
              </w:rPr>
              <w:t>Field</w:t>
            </w:r>
          </w:p>
        </w:tc>
        <w:tc>
          <w:tcPr>
            <w:tcW w:type="dxa" w:w="7260"/>
            <w:shd w:fill="B79F85"/>
            <w:tcMar>
              <w:top w:w="80" w:type="dxa"/>
              <w:bottom w:w="80" w:type="dxa"/>
              <w:start w:w="120" w:type="dxa"/>
              <w:end w:w="120" w:type="dxa"/>
            </w:tcMar>
            <w:vAlign w:val="top"/>
          </w:tcPr>
          <w:p>
            <w:r>
              <w:rPr>
                <w:rFonts w:ascii="Aptos" w:hAnsi="Aptos"/>
                <w:b/>
                <w:sz w:val="16"/>
              </w:rPr>
              <w:t>Cursor must provide</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Prompt</w:t>
            </w:r>
          </w:p>
        </w:tc>
        <w:tc>
          <w:tcPr>
            <w:tcW w:type="dxa" w:w="7260"/>
            <w:tcMar>
              <w:top w:w="80" w:type="dxa"/>
              <w:bottom w:w="80" w:type="dxa"/>
              <w:start w:w="120" w:type="dxa"/>
              <w:end w:w="120" w:type="dxa"/>
            </w:tcMar>
            <w:vAlign w:val="top"/>
          </w:tcPr>
          <w:p>
            <w:pPr>
              <w:spacing w:after="40" w:line="240" w:lineRule="auto"/>
            </w:pPr>
            <w:r>
              <w:rPr>
                <w:rFonts w:ascii="Aptos" w:hAnsi="Aptos"/>
                <w:sz w:val="16"/>
              </w:rPr>
              <w:t>Slice and prompt identifier</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Outcome</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Complete / blocked / failed / partially complete—not vague “done”</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Changed files</w:t>
            </w:r>
          </w:p>
        </w:tc>
        <w:tc>
          <w:tcPr>
            <w:tcW w:type="dxa" w:w="7260"/>
            <w:tcMar>
              <w:top w:w="80" w:type="dxa"/>
              <w:bottom w:w="80" w:type="dxa"/>
              <w:start w:w="120" w:type="dxa"/>
              <w:end w:w="120" w:type="dxa"/>
            </w:tcMar>
            <w:vAlign w:val="top"/>
          </w:tcPr>
          <w:p>
            <w:pPr>
              <w:spacing w:after="40" w:line="240" w:lineRule="auto"/>
            </w:pPr>
            <w:r>
              <w:rPr>
                <w:rFonts w:ascii="Aptos" w:hAnsi="Aptos"/>
                <w:sz w:val="16"/>
              </w:rPr>
              <w:t>Every created, modified or removed path and why</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Data changes</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Migrations, seeds, policies and rollback</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Backend</w:t>
            </w:r>
          </w:p>
        </w:tc>
        <w:tc>
          <w:tcPr>
            <w:tcW w:type="dxa" w:w="7260"/>
            <w:tcMar>
              <w:top w:w="80" w:type="dxa"/>
              <w:bottom w:w="80" w:type="dxa"/>
              <w:start w:w="120" w:type="dxa"/>
              <w:end w:w="120" w:type="dxa"/>
            </w:tcMar>
            <w:vAlign w:val="top"/>
          </w:tcPr>
          <w:p>
            <w:pPr>
              <w:spacing w:after="40" w:line="240" w:lineRule="auto"/>
            </w:pPr>
            <w:r>
              <w:rPr>
                <w:rFonts w:ascii="Aptos" w:hAnsi="Aptos"/>
                <w:sz w:val="16"/>
              </w:rPr>
              <w:t>Rules, services, APIs, events and permission enforcement</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Frontend</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Routes, components, states, responsive behaviour and accessibility</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Tests</w:t>
            </w:r>
          </w:p>
        </w:tc>
        <w:tc>
          <w:tcPr>
            <w:tcW w:type="dxa" w:w="7260"/>
            <w:tcMar>
              <w:top w:w="80" w:type="dxa"/>
              <w:bottom w:w="80" w:type="dxa"/>
              <w:start w:w="120" w:type="dxa"/>
              <w:end w:w="120" w:type="dxa"/>
            </w:tcMar>
            <w:vAlign w:val="top"/>
          </w:tcPr>
          <w:p>
            <w:pPr>
              <w:spacing w:after="40" w:line="240" w:lineRule="auto"/>
            </w:pPr>
            <w:r>
              <w:rPr>
                <w:rFonts w:ascii="Aptos" w:hAnsi="Aptos"/>
                <w:sz w:val="16"/>
              </w:rPr>
              <w:t>Commands and exact pass/fail totals</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Browser evidence</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Journeys, viewports, roles and observed results</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Security/privacy</w:t>
            </w:r>
          </w:p>
        </w:tc>
        <w:tc>
          <w:tcPr>
            <w:tcW w:type="dxa" w:w="7260"/>
            <w:tcMar>
              <w:top w:w="80" w:type="dxa"/>
              <w:bottom w:w="80" w:type="dxa"/>
              <w:start w:w="120" w:type="dxa"/>
              <w:end w:w="120" w:type="dxa"/>
            </w:tcMar>
            <w:vAlign w:val="top"/>
          </w:tcPr>
          <w:p>
            <w:pPr>
              <w:spacing w:after="40" w:line="240" w:lineRule="auto"/>
            </w:pPr>
            <w:r>
              <w:rPr>
                <w:rFonts w:ascii="Aptos" w:hAnsi="Aptos"/>
                <w:sz w:val="16"/>
              </w:rPr>
              <w:t>Controls exercised and sensitive-data checks</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Traceability</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Acceptance criteria and doctrine/spec IDs satisfied</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Known gaps</w:t>
            </w:r>
          </w:p>
        </w:tc>
        <w:tc>
          <w:tcPr>
            <w:tcW w:type="dxa" w:w="7260"/>
            <w:tcMar>
              <w:top w:w="80" w:type="dxa"/>
              <w:bottom w:w="80" w:type="dxa"/>
              <w:start w:w="120" w:type="dxa"/>
              <w:end w:w="120" w:type="dxa"/>
            </w:tcMar>
            <w:vAlign w:val="top"/>
          </w:tcPr>
          <w:p>
            <w:pPr>
              <w:spacing w:after="40" w:line="240" w:lineRule="auto"/>
            </w:pPr>
            <w:r>
              <w:rPr>
                <w:rFonts w:ascii="Aptos" w:hAnsi="Aptos"/>
                <w:sz w:val="16"/>
              </w:rPr>
              <w:t>No hidden deferrals; owner and target prompt</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Commit</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Focused message and full SHA</w:t>
            </w:r>
          </w:p>
        </w:tc>
      </w:tr>
      <w:tr>
        <w:trPr>
          <w:cantSplit/>
        </w:trPr>
        <w:tc>
          <w:tcPr>
            <w:tcW w:type="dxa" w:w="2100"/>
            <w:tcMar>
              <w:top w:w="80" w:type="dxa"/>
              <w:bottom w:w="80" w:type="dxa"/>
              <w:start w:w="120" w:type="dxa"/>
              <w:end w:w="120" w:type="dxa"/>
            </w:tcMar>
            <w:vAlign w:val="top"/>
          </w:tcPr>
          <w:p>
            <w:pPr>
              <w:spacing w:after="40" w:line="240" w:lineRule="auto"/>
            </w:pPr>
            <w:r>
              <w:rPr>
                <w:rFonts w:ascii="Aptos" w:hAnsi="Aptos"/>
                <w:sz w:val="16"/>
              </w:rPr>
              <w:t>Repository state</w:t>
            </w:r>
          </w:p>
        </w:tc>
        <w:tc>
          <w:tcPr>
            <w:tcW w:type="dxa" w:w="7260"/>
            <w:tcMar>
              <w:top w:w="80" w:type="dxa"/>
              <w:bottom w:w="80" w:type="dxa"/>
              <w:start w:w="120" w:type="dxa"/>
              <w:end w:w="120" w:type="dxa"/>
            </w:tcMar>
            <w:vAlign w:val="top"/>
          </w:tcPr>
          <w:p>
            <w:pPr>
              <w:spacing w:after="40" w:line="240" w:lineRule="auto"/>
            </w:pPr>
            <w:r>
              <w:rPr>
                <w:rFonts w:ascii="Aptos" w:hAnsi="Aptos"/>
                <w:sz w:val="16"/>
              </w:rPr>
              <w:t>git status result; must be clean after accepted commit</w:t>
            </w:r>
          </w:p>
        </w:tc>
      </w:tr>
      <w:tr>
        <w:trPr>
          <w:cantSplit/>
        </w:trPr>
        <w:tc>
          <w:tcPr>
            <w:tcW w:type="dxa" w:w="2100"/>
            <w:tcMar>
              <w:top w:w="80" w:type="dxa"/>
              <w:bottom w:w="80" w:type="dxa"/>
              <w:start w:w="120" w:type="dxa"/>
              <w:end w:w="120" w:type="dxa"/>
            </w:tcMar>
            <w:vAlign w:val="top"/>
            <w:shd w:fill="FAF8F6"/>
          </w:tcPr>
          <w:p>
            <w:pPr>
              <w:spacing w:after="40" w:line="240" w:lineRule="auto"/>
            </w:pPr>
            <w:r>
              <w:rPr>
                <w:rFonts w:ascii="Aptos" w:hAnsi="Aptos"/>
                <w:sz w:val="16"/>
              </w:rPr>
              <w:t>Items brought forward</w:t>
            </w:r>
          </w:p>
        </w:tc>
        <w:tc>
          <w:tcPr>
            <w:tcW w:type="dxa" w:w="7260"/>
            <w:tcMar>
              <w:top w:w="80" w:type="dxa"/>
              <w:bottom w:w="80" w:type="dxa"/>
              <w:start w:w="120" w:type="dxa"/>
              <w:end w:w="120" w:type="dxa"/>
            </w:tcMar>
            <w:vAlign w:val="top"/>
            <w:shd w:fill="FAF8F6"/>
          </w:tcPr>
          <w:p>
            <w:pPr>
              <w:spacing w:after="40" w:line="240" w:lineRule="auto"/>
            </w:pPr>
            <w:r>
              <w:rPr>
                <w:rFonts w:ascii="Aptos" w:hAnsi="Aptos"/>
                <w:sz w:val="16"/>
              </w:rPr>
              <w:t>Explicitly state “none” or list each item</w:t>
            </w:r>
          </w:p>
        </w:tc>
      </w:tr>
    </w:tbl>
    <w:p>
      <w:pPr>
        <w:spacing w:after="20"/>
      </w:pPr>
    </w:p>
    <w:p>
      <w:pPr>
        <w:pStyle w:val="Heading1"/>
        <w:keepNext/>
      </w:pPr>
      <w:r>
        <w:t>12. Stop conditions</w:t>
      </w:r>
    </w:p>
    <w:p>
      <w:pPr>
        <w:pStyle w:val="ListBullet"/>
      </w:pPr>
      <w:r>
        <w:t>The working tree contains unexplained changes.</w:t>
      </w:r>
    </w:p>
    <w:p>
      <w:pPr>
        <w:pStyle w:val="ListBullet"/>
      </w:pPr>
      <w:r>
        <w:t>The previous prompt or slice is not committed and accepted.</w:t>
      </w:r>
    </w:p>
    <w:p>
      <w:pPr>
        <w:pStyle w:val="ListBullet"/>
      </w:pPr>
      <w:r>
        <w:t>A required canonical document is absent, ambiguous or superseded.</w:t>
      </w:r>
    </w:p>
    <w:p>
      <w:pPr>
        <w:pStyle w:val="ListBullet"/>
      </w:pPr>
      <w:r>
        <w:t>Implementation would contradict a ratified architecture, permission boundary or data contract.</w:t>
      </w:r>
    </w:p>
    <w:p>
      <w:pPr>
        <w:pStyle w:val="ListBullet"/>
      </w:pPr>
      <w:r>
        <w:t>A migration could destroy or rewrite data without an approved plan.</w:t>
      </w:r>
    </w:p>
    <w:p>
      <w:pPr>
        <w:pStyle w:val="ListBullet"/>
      </w:pPr>
      <w:r>
        <w:t>A legal, privacy, protocol, cultural, safety or security decision requires qualified authority.</w:t>
      </w:r>
    </w:p>
    <w:p>
      <w:pPr>
        <w:pStyle w:val="ListBullet"/>
      </w:pPr>
      <w:r>
        <w:t>A secret, production personal record or real event dataset appears in the repository.</w:t>
      </w:r>
    </w:p>
    <w:p>
      <w:pPr>
        <w:pStyle w:val="ListBullet"/>
      </w:pPr>
      <w:r>
        <w:t>A required service or credential is unavailable and a mock would conceal the gap.</w:t>
      </w:r>
    </w:p>
    <w:p>
      <w:pPr>
        <w:pStyle w:val="ListBullet"/>
      </w:pPr>
      <w:r>
        <w:t>Tests fail, browser validation cannot be completed, or acceptance evidence is missing.</w:t>
      </w:r>
    </w:p>
    <w:p>
      <w:pPr>
        <w:pStyle w:val="ListBullet"/>
      </w:pPr>
      <w:r>
        <w:t>Cursor proposes to defer required frontend states or replace them with placeholders.</w:t>
      </w:r>
    </w:p>
    <w:p>
      <w:pPr>
        <w:pStyle w:val="ListBullet"/>
      </w:pPr>
      <w:r>
        <w:t>Cursor cannot explain the existing code it intends to replace.</w:t>
      </w:r>
    </w:p>
    <w:p>
      <w:pPr>
        <w:pStyle w:val="ListBullet"/>
      </w:pPr>
      <w:r>
        <w:t>The prompt would require work from a later slice or the other repository without an approved contract change.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BLOCKED WORK  </w:t>
            </w:r>
            <w:r>
              <w:rPr>
                <w:rFonts w:ascii="Aptos" w:hAnsi="Aptos"/>
                <w:sz w:val="18"/>
              </w:rPr>
              <w:t>Cursor should preserve evidence, describe the smallest decision needed and stop. It must not manufacture approval, comment out a failing test, weaken a permission or silently defer the requirement.</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Cursor should preserve evidence, describe the smallest decision needed and stop. It must not manufacture approval, comment out a failing test, weaken a permission or silently defer the requirement.</w:t>
            </w:r>
          </w:p>
        </w:tc>
      </w:tr>
    </w:tbl>
    <w:p>
      <w:pPr>
        <w:spacing w:after="20"/>
      </w:pPr>
    </w:p>
    <w:p>
      <w:pPr>
        <w:pStyle w:val="Heading1"/>
        <w:keepNext/>
      </w:pPr>
      <w:r>
        <w:t>13. Working through the Event OS</w:t>
      </w:r>
    </w:p>
    <w:p>
      <w:pPr>
        <w:pStyle w:val="ListNumber"/>
      </w:pPr>
      <w:r>
        <w:t>Complete repository baseline and documentation commit.</w:t>
      </w:r>
    </w:p>
    <w:p>
      <w:pPr>
        <w:pStyle w:val="ListNumber"/>
      </w:pPr>
      <w:r>
        <w:t>Run Slice 1 through Slice 12 in the ratified build order. A later slice cannot compensate for an unaccepted earlier gate.</w:t>
      </w:r>
    </w:p>
    <w:p>
      <w:pPr>
        <w:pStyle w:val="ListNumber"/>
      </w:pPr>
      <w:r>
        <w:t>Within every slice, enforce event scope and tenant boundaries first. Cross-event capability is explicit, permissioned and tested.</w:t>
      </w:r>
    </w:p>
    <w:p>
      <w:pPr>
        <w:pStyle w:val="ListNumber"/>
      </w:pPr>
      <w:r>
        <w:t>Require vertical completion: migrations/domain → service/API → permissions/audit → frontend journey/states → tests/browser evidence.</w:t>
      </w:r>
    </w:p>
    <w:p>
      <w:pPr>
        <w:pStyle w:val="ListNumber"/>
      </w:pPr>
      <w:r>
        <w:t>Test mobile event operations, unreliable connectivity and offline recovery whenever the slice touches live delivery.</w:t>
      </w:r>
    </w:p>
    <w:p>
      <w:pPr>
        <w:pStyle w:val="ListNumber"/>
      </w:pPr>
      <w:r>
        <w:t>After Slice 12, run the original OS Independent Acceptance Pack.</w:t>
      </w:r>
    </w:p>
    <w:p>
      <w:pPr>
        <w:pStyle w:val="ListNumber"/>
      </w:pPr>
      <w:r>
        <w:t>Then run the separate Event OS reconciliation prompt bundle for KIR-002–KIR-012. Do not rewrite the original packs; the reconciliation pack is an additional controlled pass.</w:t>
      </w:r>
    </w:p>
    <w:p>
      <w:pPr>
        <w:pStyle w:val="ListNumber"/>
      </w:pPr>
      <w:r>
        <w:t>Repeat contract, security, performance, accessibility, backup/recovery and production-readiness acceptance.</w:t>
      </w:r>
    </w:p>
    <w:p>
      <w:pPr>
        <w:pStyle w:val="ListNumber"/>
      </w:pPr>
      <w:r>
        <w:t>Obtain independent acceptance and CEO production authorisation before relying on the OS at a live event.</w:t>
      </w:r>
    </w:p>
    <w:p>
      <w:pPr>
        <w:pStyle w:val="Heading2"/>
        <w:keepNext/>
      </w:pPr>
      <w:r>
        <w:t>Event OS slice gate</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B79F85"/>
            <w:tcMar>
              <w:top w:w="80" w:type="dxa"/>
              <w:bottom w:w="80" w:type="dxa"/>
              <w:start w:w="120" w:type="dxa"/>
              <w:end w:w="120" w:type="dxa"/>
            </w:tcMar>
            <w:vAlign w:val="top"/>
          </w:tcPr>
          <w:p>
            <w:r>
              <w:rPr>
                <w:rFonts w:ascii="Aptos" w:hAnsi="Aptos"/>
                <w:b/>
                <w:sz w:val="16"/>
              </w:rPr>
              <w:t>Gate</w:t>
            </w:r>
          </w:p>
        </w:tc>
        <w:tc>
          <w:tcPr>
            <w:tcW w:type="dxa" w:w="7460"/>
            <w:shd w:fill="B79F85"/>
            <w:tcMar>
              <w:top w:w="80" w:type="dxa"/>
              <w:bottom w:w="80" w:type="dxa"/>
              <w:start w:w="120" w:type="dxa"/>
              <w:end w:w="120" w:type="dxa"/>
            </w:tcMar>
            <w:vAlign w:val="top"/>
          </w:tcPr>
          <w:p>
            <w:r>
              <w:rPr>
                <w:rFonts w:ascii="Aptos" w:hAnsi="Aptos"/>
                <w:b/>
                <w:sz w:val="16"/>
              </w:rPr>
              <w:t>Required proof</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Architecture</w:t>
            </w:r>
          </w:p>
        </w:tc>
        <w:tc>
          <w:tcPr>
            <w:tcW w:type="dxa" w:w="7460"/>
            <w:tcMar>
              <w:top w:w="80" w:type="dxa"/>
              <w:bottom w:w="80" w:type="dxa"/>
              <w:start w:w="120" w:type="dxa"/>
              <w:end w:w="120" w:type="dxa"/>
            </w:tcMar>
            <w:vAlign w:val="top"/>
          </w:tcPr>
          <w:p>
            <w:pPr>
              <w:spacing w:after="40" w:line="240" w:lineRule="auto"/>
            </w:pPr>
            <w:r>
              <w:rPr>
                <w:rFonts w:ascii="Aptos" w:hAnsi="Aptos"/>
                <w:sz w:val="16"/>
              </w:rPr>
              <w:t>Change follows blueprint and ADRs; no accidental parallel model</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Event scope</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Cross-event and cross-tenant isolation tests pass</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Data</w:t>
            </w:r>
          </w:p>
        </w:tc>
        <w:tc>
          <w:tcPr>
            <w:tcW w:type="dxa" w:w="7460"/>
            <w:tcMar>
              <w:top w:w="80" w:type="dxa"/>
              <w:bottom w:w="80" w:type="dxa"/>
              <w:start w:w="120" w:type="dxa"/>
              <w:end w:w="120" w:type="dxa"/>
            </w:tcMar>
            <w:vAlign w:val="top"/>
          </w:tcPr>
          <w:p>
            <w:pPr>
              <w:spacing w:after="40" w:line="240" w:lineRule="auto"/>
            </w:pPr>
            <w:r>
              <w:rPr>
                <w:rFonts w:ascii="Aptos" w:hAnsi="Aptos"/>
                <w:sz w:val="16"/>
              </w:rPr>
              <w:t>Migration, constraints, audit, seed fixtures and rollback verified</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Backend</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Rules and APIs enforce permissions server-side</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Frontend</w:t>
            </w:r>
          </w:p>
        </w:tc>
        <w:tc>
          <w:tcPr>
            <w:tcW w:type="dxa" w:w="7460"/>
            <w:tcMar>
              <w:top w:w="80" w:type="dxa"/>
              <w:bottom w:w="80" w:type="dxa"/>
              <w:start w:w="120" w:type="dxa"/>
              <w:end w:w="120" w:type="dxa"/>
            </w:tcMar>
            <w:vAlign w:val="top"/>
          </w:tcPr>
          <w:p>
            <w:pPr>
              <w:spacing w:after="40" w:line="240" w:lineRule="auto"/>
            </w:pPr>
            <w:r>
              <w:rPr>
                <w:rFonts w:ascii="Aptos" w:hAnsi="Aptos"/>
                <w:sz w:val="16"/>
              </w:rPr>
              <w:t>Complete role journeys and all operational states validated</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Live resilience</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Mobile, latency, reconnect and offline/fallback behaviour tested where relevant</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Intelligence</w:t>
            </w:r>
          </w:p>
        </w:tc>
        <w:tc>
          <w:tcPr>
            <w:tcW w:type="dxa" w:w="7460"/>
            <w:tcMar>
              <w:top w:w="80" w:type="dxa"/>
              <w:bottom w:w="80" w:type="dxa"/>
              <w:start w:w="120" w:type="dxa"/>
              <w:end w:w="120" w:type="dxa"/>
            </w:tcMar>
            <w:vAlign w:val="top"/>
          </w:tcPr>
          <w:p>
            <w:pPr>
              <w:spacing w:after="40" w:line="240" w:lineRule="auto"/>
            </w:pPr>
            <w:r>
              <w:rPr>
                <w:rFonts w:ascii="Aptos" w:hAnsi="Aptos"/>
                <w:sz w:val="16"/>
              </w:rPr>
              <w:t>Output is explainable, owned, actionable and human-overridable</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Evidence</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Acceptance mapping, commands, browser journeys and full commit SHA</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Governance</w:t>
            </w:r>
          </w:p>
        </w:tc>
        <w:tc>
          <w:tcPr>
            <w:tcW w:type="dxa" w:w="7460"/>
            <w:tcMar>
              <w:top w:w="80" w:type="dxa"/>
              <w:bottom w:w="80" w:type="dxa"/>
              <w:start w:w="120" w:type="dxa"/>
              <w:end w:w="120" w:type="dxa"/>
            </w:tcMar>
            <w:vAlign w:val="top"/>
          </w:tcPr>
          <w:p>
            <w:pPr>
              <w:spacing w:after="40" w:line="240" w:lineRule="auto"/>
            </w:pPr>
            <w:r>
              <w:rPr>
                <w:rFonts w:ascii="Aptos" w:hAnsi="Aptos"/>
                <w:sz w:val="16"/>
              </w:rPr>
              <w:t>No unresolved blocking risk or unauthorised exception</w:t>
            </w:r>
          </w:p>
        </w:tc>
      </w:tr>
    </w:tbl>
    <w:p>
      <w:pPr>
        <w:spacing w:after="20"/>
      </w:pPr>
    </w:p>
    <w:p>
      <w:pPr>
        <w:pStyle w:val="Heading1"/>
        <w:keepNext/>
      </w:pPr>
      <w:r>
        <w:t>14. Working through the Maison Doclar Academy</w:t>
      </w:r>
    </w:p>
    <w:p>
      <w:pPr>
        <w:pStyle w:val="ListNumber"/>
      </w:pPr>
      <w:r>
        <w:t>Create the Academy repository independently; do not clone the Event OS application and rename it.</w:t>
      </w:r>
    </w:p>
    <w:p>
      <w:pPr>
        <w:pStyle w:val="ListNumber"/>
      </w:pPr>
      <w:r>
        <w:t>Commit the shared integration contract and Academy-specific canonical specifications.</w:t>
      </w:r>
    </w:p>
    <w:p>
      <w:pPr>
        <w:pStyle w:val="ListNumber"/>
      </w:pPr>
      <w:r>
        <w:t>Run Academy slices in the ratified production sequence, one prompt at a time.</w:t>
      </w:r>
    </w:p>
    <w:p>
      <w:pPr>
        <w:pStyle w:val="ListNumber"/>
      </w:pPr>
      <w:r>
        <w:t>Treat content as versioned production data: doctrine source, competencies, lessons, scenarios, question bank, rubrics and certificates require exact version/hash and approval.</w:t>
      </w:r>
    </w:p>
    <w:p>
      <w:pPr>
        <w:pStyle w:val="ListNumber"/>
      </w:pPr>
      <w:r>
        <w:t>Build learner mobile journeys and manager, assessor, author, reviewer, administrator and CEO interfaces alongside backend capabilities.</w:t>
      </w:r>
    </w:p>
    <w:p>
      <w:pPr>
        <w:pStyle w:val="ListNumber"/>
      </w:pPr>
      <w:r>
        <w:t>Test role gating and restricted content from the frontend and the server; hiding a button is not permission enforcement.</w:t>
      </w:r>
    </w:p>
    <w:p>
      <w:pPr>
        <w:pStyle w:val="ListNumber"/>
      </w:pPr>
      <w:r>
        <w:t>Separate question authoring, review, release and learner delivery. Protect answer keys and assessment integrity.</w:t>
      </w:r>
    </w:p>
    <w:p>
      <w:pPr>
        <w:pStyle w:val="ListNumber"/>
      </w:pPr>
      <w:r>
        <w:t>For event-specific training, test the OS-to-Academy package, acknowledgements, completion/readiness return and revocation/expiry behaviour.</w:t>
      </w:r>
    </w:p>
    <w:p>
      <w:pPr>
        <w:pStyle w:val="ListNumber"/>
      </w:pPr>
      <w:r>
        <w:t>After all slices, run the Academy Independent Acceptance Pack.</w:t>
      </w:r>
    </w:p>
    <w:p>
      <w:pPr>
        <w:pStyle w:val="ListNumber"/>
      </w:pPr>
      <w:r>
        <w:t>Then run the separate Academy reconciliation prompt bundle for KIR-002–KIR-012.</w:t>
      </w:r>
    </w:p>
    <w:p>
      <w:pPr>
        <w:pStyle w:val="ListNumber"/>
      </w:pPr>
      <w:r>
        <w:t>Complete content production and recognised-authority review; architecture alone is not an operational Academy.</w:t>
      </w:r>
    </w:p>
    <w:p>
      <w:pPr>
        <w:pStyle w:val="ListNumber"/>
      </w:pPr>
      <w:r>
        <w:t>Obtain independent acceptance and CEO authorisation before certifications control event deployment.</w:t>
      </w:r>
    </w:p>
    <w:p>
      <w:pPr>
        <w:pStyle w:val="Heading2"/>
        <w:keepNext/>
      </w:pPr>
      <w:r>
        <w:t>Academy slice gate</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B79F85"/>
            <w:tcMar>
              <w:top w:w="80" w:type="dxa"/>
              <w:bottom w:w="80" w:type="dxa"/>
              <w:start w:w="120" w:type="dxa"/>
              <w:end w:w="120" w:type="dxa"/>
            </w:tcMar>
            <w:vAlign w:val="top"/>
          </w:tcPr>
          <w:p>
            <w:r>
              <w:rPr>
                <w:rFonts w:ascii="Aptos" w:hAnsi="Aptos"/>
                <w:b/>
                <w:sz w:val="16"/>
              </w:rPr>
              <w:t>Gate</w:t>
            </w:r>
          </w:p>
        </w:tc>
        <w:tc>
          <w:tcPr>
            <w:tcW w:type="dxa" w:w="7460"/>
            <w:shd w:fill="B79F85"/>
            <w:tcMar>
              <w:top w:w="80" w:type="dxa"/>
              <w:bottom w:w="80" w:type="dxa"/>
              <w:start w:w="120" w:type="dxa"/>
              <w:end w:w="120" w:type="dxa"/>
            </w:tcMar>
            <w:vAlign w:val="top"/>
          </w:tcPr>
          <w:p>
            <w:r>
              <w:rPr>
                <w:rFonts w:ascii="Aptos" w:hAnsi="Aptos"/>
                <w:b/>
                <w:sz w:val="16"/>
              </w:rPr>
              <w:t>Required proof</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Doctrine fidelity</w:t>
            </w:r>
          </w:p>
        </w:tc>
        <w:tc>
          <w:tcPr>
            <w:tcW w:type="dxa" w:w="7460"/>
            <w:tcMar>
              <w:top w:w="80" w:type="dxa"/>
              <w:bottom w:w="80" w:type="dxa"/>
              <w:start w:w="120" w:type="dxa"/>
              <w:end w:w="120" w:type="dxa"/>
            </w:tcMar>
            <w:vAlign w:val="top"/>
          </w:tcPr>
          <w:p>
            <w:pPr>
              <w:spacing w:after="40" w:line="240" w:lineRule="auto"/>
            </w:pPr>
            <w:r>
              <w:rPr>
                <w:rFonts w:ascii="Aptos" w:hAnsi="Aptos"/>
                <w:sz w:val="16"/>
              </w:rPr>
              <w:t>Lesson/assessment traces to exact approved source/version</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Role path</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Mandatory, optional and restricted learning enforced</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Assessment integrity</w:t>
            </w:r>
          </w:p>
        </w:tc>
        <w:tc>
          <w:tcPr>
            <w:tcW w:type="dxa" w:w="7460"/>
            <w:tcMar>
              <w:top w:w="80" w:type="dxa"/>
              <w:bottom w:w="80" w:type="dxa"/>
              <w:start w:w="120" w:type="dxa"/>
              <w:end w:w="120" w:type="dxa"/>
            </w:tcMar>
            <w:vAlign w:val="top"/>
          </w:tcPr>
          <w:p>
            <w:pPr>
              <w:spacing w:after="40" w:line="240" w:lineRule="auto"/>
            </w:pPr>
            <w:r>
              <w:rPr>
                <w:rFonts w:ascii="Aptos" w:hAnsi="Aptos"/>
                <w:sz w:val="16"/>
              </w:rPr>
              <w:t>Randomisation, critical questions, retakes, pass/distinction and manual assessment tested</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Certification</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Expiry, renewal, role change, revocation and event eligibility correct</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Frontend</w:t>
            </w:r>
          </w:p>
        </w:tc>
        <w:tc>
          <w:tcPr>
            <w:tcW w:type="dxa" w:w="7460"/>
            <w:tcMar>
              <w:top w:w="80" w:type="dxa"/>
              <w:bottom w:w="80" w:type="dxa"/>
              <w:start w:w="120" w:type="dxa"/>
              <w:end w:w="120" w:type="dxa"/>
            </w:tcMar>
            <w:vAlign w:val="top"/>
          </w:tcPr>
          <w:p>
            <w:pPr>
              <w:spacing w:after="40" w:line="240" w:lineRule="auto"/>
            </w:pPr>
            <w:r>
              <w:rPr>
                <w:rFonts w:ascii="Aptos" w:hAnsi="Aptos"/>
                <w:sz w:val="16"/>
              </w:rPr>
              <w:t>Mobile learner and all administrative role journeys complete</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Integration</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OS event package and Academy readiness return pass contract tests</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Content governance</w:t>
            </w:r>
          </w:p>
        </w:tc>
        <w:tc>
          <w:tcPr>
            <w:tcW w:type="dxa" w:w="7460"/>
            <w:tcMar>
              <w:top w:w="80" w:type="dxa"/>
              <w:bottom w:w="80" w:type="dxa"/>
              <w:start w:w="120" w:type="dxa"/>
              <w:end w:w="120" w:type="dxa"/>
            </w:tcMar>
            <w:vAlign w:val="top"/>
          </w:tcPr>
          <w:p>
            <w:pPr>
              <w:spacing w:after="40" w:line="240" w:lineRule="auto"/>
            </w:pPr>
            <w:r>
              <w:rPr>
                <w:rFonts w:ascii="Aptos" w:hAnsi="Aptos"/>
                <w:sz w:val="16"/>
              </w:rPr>
              <w:t>Author, reviewer and approver separation; material change triggers reassignment</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Privacy/security</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Learner, assessor, event and evidence data separated and retained correctly</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Evidence</w:t>
            </w:r>
          </w:p>
        </w:tc>
        <w:tc>
          <w:tcPr>
            <w:tcW w:type="dxa" w:w="7460"/>
            <w:tcMar>
              <w:top w:w="80" w:type="dxa"/>
              <w:bottom w:w="80" w:type="dxa"/>
              <w:start w:w="120" w:type="dxa"/>
              <w:end w:w="120" w:type="dxa"/>
            </w:tcMar>
            <w:vAlign w:val="top"/>
          </w:tcPr>
          <w:p>
            <w:pPr>
              <w:spacing w:after="40" w:line="240" w:lineRule="auto"/>
            </w:pPr>
            <w:r>
              <w:rPr>
                <w:rFonts w:ascii="Aptos" w:hAnsi="Aptos"/>
                <w:sz w:val="16"/>
              </w:rPr>
              <w:t>Automated and browser tests, content samples and commit SHA</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Governance</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Independent acceptance; no self-issued release approval</w:t>
            </w:r>
          </w:p>
        </w:tc>
      </w:tr>
    </w:tbl>
    <w:p>
      <w:pPr>
        <w:spacing w:after="20"/>
      </w:pPr>
    </w:p>
    <w:p>
      <w:pPr>
        <w:pStyle w:val="Heading1"/>
        <w:keepNext/>
      </w:pPr>
      <w:r>
        <w:t>15. Branch, commit and merge discipline</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B79F85"/>
            <w:tcMar>
              <w:top w:w="80" w:type="dxa"/>
              <w:bottom w:w="80" w:type="dxa"/>
              <w:start w:w="120" w:type="dxa"/>
              <w:end w:w="120" w:type="dxa"/>
            </w:tcMar>
            <w:vAlign w:val="top"/>
          </w:tcPr>
          <w:p>
            <w:r>
              <w:rPr>
                <w:rFonts w:ascii="Aptos" w:hAnsi="Aptos"/>
                <w:b/>
                <w:sz w:val="16"/>
              </w:rPr>
              <w:t>Item</w:t>
            </w:r>
          </w:p>
        </w:tc>
        <w:tc>
          <w:tcPr>
            <w:tcW w:type="dxa" w:w="7460"/>
            <w:shd w:fill="B79F85"/>
            <w:tcMar>
              <w:top w:w="80" w:type="dxa"/>
              <w:bottom w:w="80" w:type="dxa"/>
              <w:start w:w="120" w:type="dxa"/>
              <w:end w:w="120" w:type="dxa"/>
            </w:tcMar>
            <w:vAlign w:val="top"/>
          </w:tcPr>
          <w:p>
            <w:r>
              <w:rPr>
                <w:rFonts w:ascii="Aptos" w:hAnsi="Aptos"/>
                <w:b/>
                <w:sz w:val="16"/>
              </w:rPr>
              <w:t>Rule</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Branch</w:t>
            </w:r>
          </w:p>
        </w:tc>
        <w:tc>
          <w:tcPr>
            <w:tcW w:type="dxa" w:w="7460"/>
            <w:tcMar>
              <w:top w:w="80" w:type="dxa"/>
              <w:bottom w:w="80" w:type="dxa"/>
              <w:start w:w="120" w:type="dxa"/>
              <w:end w:w="120" w:type="dxa"/>
            </w:tcMar>
            <w:vAlign w:val="top"/>
          </w:tcPr>
          <w:p>
            <w:pPr>
              <w:spacing w:after="40" w:line="240" w:lineRule="auto"/>
            </w:pPr>
            <w:r>
              <w:rPr>
                <w:rFonts w:ascii="Aptos" w:hAnsi="Aptos"/>
                <w:sz w:val="16"/>
              </w:rPr>
              <w:t>One branch per slice: slice/NN-short-name. Hotfixes and documentation corrections use separate branches.</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Prompt commit</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Normally one focused commit per accepted prompt; never mix unrelated cleanup.</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Commit message</w:t>
            </w:r>
          </w:p>
        </w:tc>
        <w:tc>
          <w:tcPr>
            <w:tcW w:type="dxa" w:w="7460"/>
            <w:tcMar>
              <w:top w:w="80" w:type="dxa"/>
              <w:bottom w:w="80" w:type="dxa"/>
              <w:start w:w="120" w:type="dxa"/>
              <w:end w:w="120" w:type="dxa"/>
            </w:tcMar>
            <w:vAlign w:val="top"/>
          </w:tcPr>
          <w:p>
            <w:pPr>
              <w:spacing w:after="40" w:line="240" w:lineRule="auto"/>
            </w:pPr>
            <w:r>
              <w:rPr>
                <w:rFonts w:ascii="Aptos" w:hAnsi="Aptos"/>
                <w:sz w:val="16"/>
              </w:rPr>
              <w:t>slice(NN): complete PP short outcome; use fix/test/docs/refactor types where appropriate.</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Pull request</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One PR per slice after all internal prompt gates; include acceptance evidence and carried-forward items.</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Review</w:t>
            </w:r>
          </w:p>
        </w:tc>
        <w:tc>
          <w:tcPr>
            <w:tcW w:type="dxa" w:w="7460"/>
            <w:tcMar>
              <w:top w:w="80" w:type="dxa"/>
              <w:bottom w:w="80" w:type="dxa"/>
              <w:start w:w="120" w:type="dxa"/>
              <w:end w:w="120" w:type="dxa"/>
            </w:tcMar>
            <w:vAlign w:val="top"/>
          </w:tcPr>
          <w:p>
            <w:pPr>
              <w:spacing w:after="40" w:line="240" w:lineRule="auto"/>
            </w:pPr>
            <w:r>
              <w:rPr>
                <w:rFonts w:ascii="Aptos" w:hAnsi="Aptos"/>
                <w:sz w:val="16"/>
              </w:rPr>
              <w:t>Code, product/UX, security/privacy and data review as relevant. Cursor is not the independent reviewer.</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Merge</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Only when slice acceptance passes and blocking findings are closed or formally excepted.</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Tag</w:t>
            </w:r>
          </w:p>
        </w:tc>
        <w:tc>
          <w:tcPr>
            <w:tcW w:type="dxa" w:w="7460"/>
            <w:tcMar>
              <w:top w:w="80" w:type="dxa"/>
              <w:bottom w:w="80" w:type="dxa"/>
              <w:start w:w="120" w:type="dxa"/>
              <w:end w:w="120" w:type="dxa"/>
            </w:tcMar>
            <w:vAlign w:val="top"/>
          </w:tcPr>
          <w:p>
            <w:pPr>
              <w:spacing w:after="40" w:line="240" w:lineRule="auto"/>
            </w:pPr>
            <w:r>
              <w:rPr>
                <w:rFonts w:ascii="Aptos" w:hAnsi="Aptos"/>
                <w:sz w:val="16"/>
              </w:rPr>
              <w:t>Tag accepted slice baselines when useful: os-slice-01-accepted or academy-slice-01-accepted.</w:t>
            </w:r>
          </w:p>
        </w:tc>
      </w:tr>
      <w:tr>
        <w:trPr>
          <w:cantSplit/>
        </w:trPr>
        <w:tc>
          <w:tcPr>
            <w:tcW w:type="dxa" w:w="1900"/>
            <w:tcMar>
              <w:top w:w="80" w:type="dxa"/>
              <w:bottom w:w="80" w:type="dxa"/>
              <w:start w:w="120" w:type="dxa"/>
              <w:end w:w="120" w:type="dxa"/>
            </w:tcMar>
            <w:vAlign w:val="top"/>
            <w:shd w:fill="FAF8F6"/>
          </w:tcPr>
          <w:p>
            <w:pPr>
              <w:spacing w:after="40" w:line="240" w:lineRule="auto"/>
            </w:pPr>
            <w:r>
              <w:rPr>
                <w:rFonts w:ascii="Aptos" w:hAnsi="Aptos"/>
                <w:sz w:val="16"/>
              </w:rPr>
              <w:t>Main branch</w:t>
            </w:r>
          </w:p>
        </w:tc>
        <w:tc>
          <w:tcPr>
            <w:tcW w:type="dxa" w:w="7460"/>
            <w:tcMar>
              <w:top w:w="80" w:type="dxa"/>
              <w:bottom w:w="80" w:type="dxa"/>
              <w:start w:w="120" w:type="dxa"/>
              <w:end w:w="120" w:type="dxa"/>
            </w:tcMar>
            <w:vAlign w:val="top"/>
            <w:shd w:fill="FAF8F6"/>
          </w:tcPr>
          <w:p>
            <w:pPr>
              <w:spacing w:after="40" w:line="240" w:lineRule="auto"/>
            </w:pPr>
            <w:r>
              <w:rPr>
                <w:rFonts w:ascii="Aptos" w:hAnsi="Aptos"/>
                <w:sz w:val="16"/>
              </w:rPr>
              <w:t>Protected; no direct Cursor commits; CI and review required.</w:t>
            </w:r>
          </w:p>
        </w:tc>
      </w:tr>
      <w:tr>
        <w:trPr>
          <w:cantSplit/>
        </w:trPr>
        <w:tc>
          <w:tcPr>
            <w:tcW w:type="dxa" w:w="1900"/>
            <w:tcMar>
              <w:top w:w="80" w:type="dxa"/>
              <w:bottom w:w="80" w:type="dxa"/>
              <w:start w:w="120" w:type="dxa"/>
              <w:end w:w="120" w:type="dxa"/>
            </w:tcMar>
            <w:vAlign w:val="top"/>
          </w:tcPr>
          <w:p>
            <w:pPr>
              <w:spacing w:after="40" w:line="240" w:lineRule="auto"/>
            </w:pPr>
            <w:r>
              <w:rPr>
                <w:rFonts w:ascii="Aptos" w:hAnsi="Aptos"/>
                <w:sz w:val="16"/>
              </w:rPr>
              <w:t>Reversion</w:t>
            </w:r>
          </w:p>
        </w:tc>
        <w:tc>
          <w:tcPr>
            <w:tcW w:type="dxa" w:w="7460"/>
            <w:tcMar>
              <w:top w:w="80" w:type="dxa"/>
              <w:bottom w:w="80" w:type="dxa"/>
              <w:start w:w="120" w:type="dxa"/>
              <w:end w:w="120" w:type="dxa"/>
            </w:tcMar>
            <w:vAlign w:val="top"/>
          </w:tcPr>
          <w:p>
            <w:pPr>
              <w:spacing w:after="40" w:line="240" w:lineRule="auto"/>
            </w:pPr>
            <w:r>
              <w:rPr>
                <w:rFonts w:ascii="Aptos" w:hAnsi="Aptos"/>
                <w:sz w:val="16"/>
              </w:rPr>
              <w:t>Prefer revertable commits and forward fixes. Do not rewrite shared history without explicit authority.</w:t>
            </w:r>
          </w:p>
        </w:tc>
      </w:tr>
    </w:tbl>
    <w:p>
      <w:pPr>
        <w:spacing w:after="20"/>
      </w:pPr>
    </w:p>
    <w:p>
      <w:pPr>
        <w:pStyle w:val="Heading1"/>
        <w:keepNext/>
      </w:pPr>
      <w:r>
        <w:t>16. When to start a new Cursor chat</w:t>
      </w:r>
    </w:p>
    <w:p>
      <w:pPr>
        <w:pStyle w:val="ListBullet"/>
      </w:pPr>
      <w:r>
        <w:t>Start a new chat at the beginning of every slice.</w:t>
      </w:r>
    </w:p>
    <w:p>
      <w:pPr>
        <w:pStyle w:val="ListBullet"/>
      </w:pPr>
      <w:r>
        <w:t>Start a new chat after a long debugging episode or when Cursor starts referring to stale files or decisions.</w:t>
      </w:r>
    </w:p>
    <w:p>
      <w:pPr>
        <w:pStyle w:val="ListBullet"/>
      </w:pPr>
      <w:r>
        <w:t>Start a new chat for independent review, security audit or acceptance; do not let the implementation conversation grade itself.</w:t>
      </w:r>
    </w:p>
    <w:p>
      <w:pPr>
        <w:pStyle w:val="ListBullet"/>
      </w:pPr>
      <w:r>
        <w:t>Start a different workspace and chat when moving between Event OS and Academy.</w:t>
      </w:r>
    </w:p>
    <w:p>
      <w:pPr>
        <w:pStyle w:val="ListBullet"/>
      </w:pPr>
      <w:r>
        <w:t>Do not depend on chat memory. Git, the ledger, specifications, ADRs and commits are the recovery system.</w:t>
      </w:r>
    </w:p>
    <w:p>
      <w:pPr>
        <w:pStyle w:val="Heading1"/>
        <w:keepNext/>
      </w:pPr>
      <w:r>
        <w:t>17. Frontend protection rules</w:t>
      </w:r>
    </w:p>
    <w:p>
      <w:pPr>
        <w:pStyle w:val="ListBullet"/>
      </w:pPr>
      <w:r>
        <w:t>Every backend capability must identify its user, decision and frontend surface.</w:t>
      </w:r>
    </w:p>
    <w:p>
      <w:pPr>
        <w:pStyle w:val="ListBullet"/>
      </w:pPr>
      <w:r>
        <w:t>Do not accept placeholder dashboards, generic admin tables or “happy path only” screens.</w:t>
      </w:r>
    </w:p>
    <w:p>
      <w:pPr>
        <w:pStyle w:val="ListBullet"/>
      </w:pPr>
      <w:r>
        <w:t>Test empty, loading, partial, stale, error, conflict, unauthorised, offline/reconnecting, success and superseded states where applicable.</w:t>
      </w:r>
    </w:p>
    <w:p>
      <w:pPr>
        <w:pStyle w:val="ListBullet"/>
      </w:pPr>
      <w:r>
        <w:t>Validate real role journeys at mobile, tablet and desktop widths; live-event surfaces are mobile-first.</w:t>
      </w:r>
    </w:p>
    <w:p>
      <w:pPr>
        <w:pStyle w:val="ListBullet"/>
      </w:pPr>
      <w:r>
        <w:t>Accessibility is functional: keyboard, focus, labels, contrast, errors, status announcements and reduced motion.</w:t>
      </w:r>
    </w:p>
    <w:p>
      <w:pPr>
        <w:pStyle w:val="ListBullet"/>
      </w:pPr>
      <w:r>
        <w:t>Event context and data sensitivity must be unmistakable on every screen.</w:t>
      </w:r>
    </w:p>
    <w:p>
      <w:pPr>
        <w:pStyle w:val="ListBullet"/>
      </w:pPr>
      <w:r>
        <w:t>Destructive and high-impact actions require clear consequences, correct authority and auditable confirmation.</w:t>
      </w:r>
    </w:p>
    <w:p>
      <w:pPr>
        <w:pStyle w:val="ListBullet"/>
      </w:pPr>
      <w:r>
        <w:t>Intelligence must show why, evidence, confidence/limitations, owner, next action and human override.</w:t>
      </w:r>
    </w:p>
    <w:p>
      <w:pPr>
        <w:pStyle w:val="ListBullet"/>
      </w:pPr>
      <w:r>
        <w:t>A screenshot is evidence of appearance, not proof that the workflow works. Browser actions and assertions are required.</w:t>
      </w:r>
    </w:p>
    <w:p>
      <w:pPr>
        <w:pStyle w:val="Heading1"/>
        <w:keepNext/>
      </w:pPr>
      <w:r>
        <w:t>18. Recommended build ledger template</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B79F85"/>
            <w:tcMar>
              <w:top w:w="80" w:type="dxa"/>
              <w:bottom w:w="80" w:type="dxa"/>
              <w:start w:w="120" w:type="dxa"/>
              <w:end w:w="120" w:type="dxa"/>
            </w:tcMar>
            <w:vAlign w:val="top"/>
          </w:tcPr>
          <w:p>
            <w:r>
              <w:rPr>
                <w:rFonts w:ascii="Aptos" w:hAnsi="Aptos"/>
                <w:b/>
                <w:sz w:val="16"/>
              </w:rPr>
              <w:t>Field</w:t>
            </w:r>
          </w:p>
        </w:tc>
        <w:tc>
          <w:tcPr>
            <w:tcW w:type="dxa" w:w="7060"/>
            <w:shd w:fill="B79F85"/>
            <w:tcMar>
              <w:top w:w="80" w:type="dxa"/>
              <w:bottom w:w="80" w:type="dxa"/>
              <w:start w:w="120" w:type="dxa"/>
              <w:end w:w="120" w:type="dxa"/>
            </w:tcMar>
            <w:vAlign w:val="top"/>
          </w:tcPr>
          <w:p>
            <w:r>
              <w:rPr>
                <w:rFonts w:ascii="Aptos" w:hAnsi="Aptos"/>
                <w:b/>
                <w:sz w:val="16"/>
              </w:rPr>
              <w:t>Example</w:t>
            </w:r>
          </w:p>
        </w:tc>
      </w:tr>
      <w:tr>
        <w:trPr>
          <w:cantSplit/>
        </w:trPr>
        <w:tc>
          <w:tcPr>
            <w:tcW w:type="dxa" w:w="2300"/>
            <w:tcMar>
              <w:top w:w="80" w:type="dxa"/>
              <w:bottom w:w="80" w:type="dxa"/>
              <w:start w:w="120" w:type="dxa"/>
              <w:end w:w="120" w:type="dxa"/>
            </w:tcMar>
            <w:vAlign w:val="top"/>
          </w:tcPr>
          <w:p>
            <w:pPr>
              <w:spacing w:after="40" w:line="240" w:lineRule="auto"/>
            </w:pPr>
            <w:r>
              <w:rPr>
                <w:rFonts w:ascii="Aptos" w:hAnsi="Aptos"/>
                <w:sz w:val="16"/>
              </w:rPr>
              <w:t>Repository</w:t>
            </w:r>
          </w:p>
        </w:tc>
        <w:tc>
          <w:tcPr>
            <w:tcW w:type="dxa" w:w="7060"/>
            <w:tcMar>
              <w:top w:w="80" w:type="dxa"/>
              <w:bottom w:w="80" w:type="dxa"/>
              <w:start w:w="120" w:type="dxa"/>
              <w:end w:w="120" w:type="dxa"/>
            </w:tcMar>
            <w:vAlign w:val="top"/>
          </w:tcPr>
          <w:p>
            <w:pPr>
              <w:spacing w:after="40" w:line="240" w:lineRule="auto"/>
            </w:pPr>
            <w:r>
              <w:rPr>
                <w:rFonts w:ascii="Aptos" w:hAnsi="Aptos"/>
                <w:sz w:val="16"/>
              </w:rPr>
              <w:t>Event OS</w:t>
            </w:r>
          </w:p>
        </w:tc>
      </w:tr>
      <w:tr>
        <w:trPr>
          <w:cantSplit/>
        </w:trPr>
        <w:tc>
          <w:tcPr>
            <w:tcW w:type="dxa" w:w="2300"/>
            <w:tcMar>
              <w:top w:w="80" w:type="dxa"/>
              <w:bottom w:w="80" w:type="dxa"/>
              <w:start w:w="120" w:type="dxa"/>
              <w:end w:w="120" w:type="dxa"/>
            </w:tcMar>
            <w:vAlign w:val="top"/>
            <w:shd w:fill="FAF8F6"/>
          </w:tcPr>
          <w:p>
            <w:pPr>
              <w:spacing w:after="40" w:line="240" w:lineRule="auto"/>
            </w:pPr>
            <w:r>
              <w:rPr>
                <w:rFonts w:ascii="Aptos" w:hAnsi="Aptos"/>
                <w:sz w:val="16"/>
              </w:rPr>
              <w:t>Slice</w:t>
            </w:r>
          </w:p>
        </w:tc>
        <w:tc>
          <w:tcPr>
            <w:tcW w:type="dxa" w:w="7060"/>
            <w:tcMar>
              <w:top w:w="80" w:type="dxa"/>
              <w:bottom w:w="80" w:type="dxa"/>
              <w:start w:w="120" w:type="dxa"/>
              <w:end w:w="120" w:type="dxa"/>
            </w:tcMar>
            <w:vAlign w:val="top"/>
            <w:shd w:fill="FAF8F6"/>
          </w:tcPr>
          <w:p>
            <w:pPr>
              <w:spacing w:after="40" w:line="240" w:lineRule="auto"/>
            </w:pPr>
            <w:r>
              <w:rPr>
                <w:rFonts w:ascii="Aptos" w:hAnsi="Aptos"/>
                <w:sz w:val="16"/>
              </w:rPr>
              <w:t>01 — Foundation and Governance</w:t>
            </w:r>
          </w:p>
        </w:tc>
      </w:tr>
      <w:tr>
        <w:trPr>
          <w:cantSplit/>
        </w:trPr>
        <w:tc>
          <w:tcPr>
            <w:tcW w:type="dxa" w:w="2300"/>
            <w:tcMar>
              <w:top w:w="80" w:type="dxa"/>
              <w:bottom w:w="80" w:type="dxa"/>
              <w:start w:w="120" w:type="dxa"/>
              <w:end w:w="120" w:type="dxa"/>
            </w:tcMar>
            <w:vAlign w:val="top"/>
          </w:tcPr>
          <w:p>
            <w:pPr>
              <w:spacing w:after="40" w:line="240" w:lineRule="auto"/>
            </w:pPr>
            <w:r>
              <w:rPr>
                <w:rFonts w:ascii="Aptos" w:hAnsi="Aptos"/>
                <w:sz w:val="16"/>
              </w:rPr>
              <w:t>Prompt</w:t>
            </w:r>
          </w:p>
        </w:tc>
        <w:tc>
          <w:tcPr>
            <w:tcW w:type="dxa" w:w="7060"/>
            <w:tcMar>
              <w:top w:w="80" w:type="dxa"/>
              <w:bottom w:w="80" w:type="dxa"/>
              <w:start w:w="120" w:type="dxa"/>
              <w:end w:w="120" w:type="dxa"/>
            </w:tcMar>
            <w:vAlign w:val="top"/>
          </w:tcPr>
          <w:p>
            <w:pPr>
              <w:spacing w:after="40" w:line="240" w:lineRule="auto"/>
            </w:pPr>
            <w:r>
              <w:rPr>
                <w:rFonts w:ascii="Aptos" w:hAnsi="Aptos"/>
                <w:sz w:val="16"/>
              </w:rPr>
              <w:t>01.03 — Event and tenant context</w:t>
            </w:r>
          </w:p>
        </w:tc>
      </w:tr>
      <w:tr>
        <w:trPr>
          <w:cantSplit/>
        </w:trPr>
        <w:tc>
          <w:tcPr>
            <w:tcW w:type="dxa" w:w="2300"/>
            <w:tcMar>
              <w:top w:w="80" w:type="dxa"/>
              <w:bottom w:w="80" w:type="dxa"/>
              <w:start w:w="120" w:type="dxa"/>
              <w:end w:w="120" w:type="dxa"/>
            </w:tcMar>
            <w:vAlign w:val="top"/>
            <w:shd w:fill="FAF8F6"/>
          </w:tcPr>
          <w:p>
            <w:pPr>
              <w:spacing w:after="40" w:line="240" w:lineRule="auto"/>
            </w:pPr>
            <w:r>
              <w:rPr>
                <w:rFonts w:ascii="Aptos" w:hAnsi="Aptos"/>
                <w:sz w:val="16"/>
              </w:rPr>
              <w:t>Status</w:t>
            </w:r>
          </w:p>
        </w:tc>
        <w:tc>
          <w:tcPr>
            <w:tcW w:type="dxa" w:w="7060"/>
            <w:tcMar>
              <w:top w:w="80" w:type="dxa"/>
              <w:bottom w:w="80" w:type="dxa"/>
              <w:start w:w="120" w:type="dxa"/>
              <w:end w:w="120" w:type="dxa"/>
            </w:tcMar>
            <w:vAlign w:val="top"/>
            <w:shd w:fill="FAF8F6"/>
          </w:tcPr>
          <w:p>
            <w:pPr>
              <w:spacing w:after="40" w:line="240" w:lineRule="auto"/>
            </w:pPr>
            <w:r>
              <w:rPr>
                <w:rFonts w:ascii="Aptos" w:hAnsi="Aptos"/>
                <w:sz w:val="16"/>
              </w:rPr>
              <w:t>Accepted</w:t>
            </w:r>
          </w:p>
        </w:tc>
      </w:tr>
      <w:tr>
        <w:trPr>
          <w:cantSplit/>
        </w:trPr>
        <w:tc>
          <w:tcPr>
            <w:tcW w:type="dxa" w:w="2300"/>
            <w:tcMar>
              <w:top w:w="80" w:type="dxa"/>
              <w:bottom w:w="80" w:type="dxa"/>
              <w:start w:w="120" w:type="dxa"/>
              <w:end w:w="120" w:type="dxa"/>
            </w:tcMar>
            <w:vAlign w:val="top"/>
          </w:tcPr>
          <w:p>
            <w:pPr>
              <w:spacing w:after="40" w:line="240" w:lineRule="auto"/>
            </w:pPr>
            <w:r>
              <w:rPr>
                <w:rFonts w:ascii="Aptos" w:hAnsi="Aptos"/>
                <w:sz w:val="16"/>
              </w:rPr>
              <w:t>Commit SHA</w:t>
            </w:r>
          </w:p>
        </w:tc>
        <w:tc>
          <w:tcPr>
            <w:tcW w:type="dxa" w:w="7060"/>
            <w:tcMar>
              <w:top w:w="80" w:type="dxa"/>
              <w:bottom w:w="80" w:type="dxa"/>
              <w:start w:w="120" w:type="dxa"/>
              <w:end w:w="120" w:type="dxa"/>
            </w:tcMar>
            <w:vAlign w:val="top"/>
          </w:tcPr>
          <w:p>
            <w:pPr>
              <w:spacing w:after="40" w:line="240" w:lineRule="auto"/>
            </w:pPr>
            <w:r>
              <w:rPr>
                <w:rFonts w:ascii="Aptos" w:hAnsi="Aptos"/>
                <w:sz w:val="16"/>
              </w:rPr>
              <w:t>Full 40-character hash</w:t>
            </w:r>
          </w:p>
        </w:tc>
      </w:tr>
      <w:tr>
        <w:trPr>
          <w:cantSplit/>
        </w:trPr>
        <w:tc>
          <w:tcPr>
            <w:tcW w:type="dxa" w:w="2300"/>
            <w:tcMar>
              <w:top w:w="80" w:type="dxa"/>
              <w:bottom w:w="80" w:type="dxa"/>
              <w:start w:w="120" w:type="dxa"/>
              <w:end w:w="120" w:type="dxa"/>
            </w:tcMar>
            <w:vAlign w:val="top"/>
            <w:shd w:fill="FAF8F6"/>
          </w:tcPr>
          <w:p>
            <w:pPr>
              <w:spacing w:after="40" w:line="240" w:lineRule="auto"/>
            </w:pPr>
            <w:r>
              <w:rPr>
                <w:rFonts w:ascii="Aptos" w:hAnsi="Aptos"/>
                <w:sz w:val="16"/>
              </w:rPr>
              <w:t>Acceptance evidence</w:t>
            </w:r>
          </w:p>
        </w:tc>
        <w:tc>
          <w:tcPr>
            <w:tcW w:type="dxa" w:w="7060"/>
            <w:tcMar>
              <w:top w:w="80" w:type="dxa"/>
              <w:bottom w:w="80" w:type="dxa"/>
              <w:start w:w="120" w:type="dxa"/>
              <w:end w:w="120" w:type="dxa"/>
            </w:tcMar>
            <w:vAlign w:val="top"/>
            <w:shd w:fill="FAF8F6"/>
          </w:tcPr>
          <w:p>
            <w:pPr>
              <w:spacing w:after="40" w:line="240" w:lineRule="auto"/>
            </w:pPr>
            <w:r>
              <w:rPr>
                <w:rFonts w:ascii="Aptos" w:hAnsi="Aptos"/>
                <w:sz w:val="16"/>
              </w:rPr>
              <w:t>Test report path; browser journey; migration verification</w:t>
            </w:r>
          </w:p>
        </w:tc>
      </w:tr>
      <w:tr>
        <w:trPr>
          <w:cantSplit/>
        </w:trPr>
        <w:tc>
          <w:tcPr>
            <w:tcW w:type="dxa" w:w="2300"/>
            <w:tcMar>
              <w:top w:w="80" w:type="dxa"/>
              <w:bottom w:w="80" w:type="dxa"/>
              <w:start w:w="120" w:type="dxa"/>
              <w:end w:w="120" w:type="dxa"/>
            </w:tcMar>
            <w:vAlign w:val="top"/>
          </w:tcPr>
          <w:p>
            <w:pPr>
              <w:spacing w:after="40" w:line="240" w:lineRule="auto"/>
            </w:pPr>
            <w:r>
              <w:rPr>
                <w:rFonts w:ascii="Aptos" w:hAnsi="Aptos"/>
                <w:sz w:val="16"/>
              </w:rPr>
              <w:t>Decision records</w:t>
            </w:r>
          </w:p>
        </w:tc>
        <w:tc>
          <w:tcPr>
            <w:tcW w:type="dxa" w:w="7060"/>
            <w:tcMar>
              <w:top w:w="80" w:type="dxa"/>
              <w:bottom w:w="80" w:type="dxa"/>
              <w:start w:w="120" w:type="dxa"/>
              <w:end w:w="120" w:type="dxa"/>
            </w:tcMar>
            <w:vAlign w:val="top"/>
          </w:tcPr>
          <w:p>
            <w:pPr>
              <w:spacing w:after="40" w:line="240" w:lineRule="auto"/>
            </w:pPr>
            <w:r>
              <w:rPr>
                <w:rFonts w:ascii="Aptos" w:hAnsi="Aptos"/>
                <w:sz w:val="16"/>
              </w:rPr>
              <w:t>ADR-003; DEC-014</w:t>
            </w:r>
          </w:p>
        </w:tc>
      </w:tr>
      <w:tr>
        <w:trPr>
          <w:cantSplit/>
        </w:trPr>
        <w:tc>
          <w:tcPr>
            <w:tcW w:type="dxa" w:w="2300"/>
            <w:tcMar>
              <w:top w:w="80" w:type="dxa"/>
              <w:bottom w:w="80" w:type="dxa"/>
              <w:start w:w="120" w:type="dxa"/>
              <w:end w:w="120" w:type="dxa"/>
            </w:tcMar>
            <w:vAlign w:val="top"/>
            <w:shd w:fill="FAF8F6"/>
          </w:tcPr>
          <w:p>
            <w:pPr>
              <w:spacing w:after="40" w:line="240" w:lineRule="auto"/>
            </w:pPr>
            <w:r>
              <w:rPr>
                <w:rFonts w:ascii="Aptos" w:hAnsi="Aptos"/>
                <w:sz w:val="16"/>
              </w:rPr>
              <w:t>Risks/blockers</w:t>
            </w:r>
          </w:p>
        </w:tc>
        <w:tc>
          <w:tcPr>
            <w:tcW w:type="dxa" w:w="7060"/>
            <w:tcMar>
              <w:top w:w="80" w:type="dxa"/>
              <w:bottom w:w="80" w:type="dxa"/>
              <w:start w:w="120" w:type="dxa"/>
              <w:end w:w="120" w:type="dxa"/>
            </w:tcMar>
            <w:vAlign w:val="top"/>
            <w:shd w:fill="FAF8F6"/>
          </w:tcPr>
          <w:p>
            <w:pPr>
              <w:spacing w:after="40" w:line="240" w:lineRule="auto"/>
            </w:pPr>
            <w:r>
              <w:rPr>
                <w:rFonts w:ascii="Aptos" w:hAnsi="Aptos"/>
                <w:sz w:val="16"/>
              </w:rPr>
              <w:t>None / exact reference</w:t>
            </w:r>
          </w:p>
        </w:tc>
      </w:tr>
      <w:tr>
        <w:trPr>
          <w:cantSplit/>
        </w:trPr>
        <w:tc>
          <w:tcPr>
            <w:tcW w:type="dxa" w:w="2300"/>
            <w:tcMar>
              <w:top w:w="80" w:type="dxa"/>
              <w:bottom w:w="80" w:type="dxa"/>
              <w:start w:w="120" w:type="dxa"/>
              <w:end w:w="120" w:type="dxa"/>
            </w:tcMar>
            <w:vAlign w:val="top"/>
          </w:tcPr>
          <w:p>
            <w:pPr>
              <w:spacing w:after="40" w:line="240" w:lineRule="auto"/>
            </w:pPr>
            <w:r>
              <w:rPr>
                <w:rFonts w:ascii="Aptos" w:hAnsi="Aptos"/>
                <w:sz w:val="16"/>
              </w:rPr>
              <w:t>Items brought forward</w:t>
            </w:r>
          </w:p>
        </w:tc>
        <w:tc>
          <w:tcPr>
            <w:tcW w:type="dxa" w:w="7060"/>
            <w:tcMar>
              <w:top w:w="80" w:type="dxa"/>
              <w:bottom w:w="80" w:type="dxa"/>
              <w:start w:w="120" w:type="dxa"/>
              <w:end w:w="120" w:type="dxa"/>
            </w:tcMar>
            <w:vAlign w:val="top"/>
          </w:tcPr>
          <w:p>
            <w:pPr>
              <w:spacing w:after="40" w:line="240" w:lineRule="auto"/>
            </w:pPr>
            <w:r>
              <w:rPr>
                <w:rFonts w:ascii="Aptos" w:hAnsi="Aptos"/>
                <w:sz w:val="16"/>
              </w:rPr>
              <w:t>Item, reason, owner and target prompt</w:t>
            </w:r>
          </w:p>
        </w:tc>
      </w:tr>
      <w:tr>
        <w:trPr>
          <w:cantSplit/>
        </w:trPr>
        <w:tc>
          <w:tcPr>
            <w:tcW w:type="dxa" w:w="2300"/>
            <w:tcMar>
              <w:top w:w="80" w:type="dxa"/>
              <w:bottom w:w="80" w:type="dxa"/>
              <w:start w:w="120" w:type="dxa"/>
              <w:end w:w="120" w:type="dxa"/>
            </w:tcMar>
            <w:vAlign w:val="top"/>
            <w:shd w:fill="FAF8F6"/>
          </w:tcPr>
          <w:p>
            <w:pPr>
              <w:spacing w:after="40" w:line="240" w:lineRule="auto"/>
            </w:pPr>
            <w:r>
              <w:rPr>
                <w:rFonts w:ascii="Aptos" w:hAnsi="Aptos"/>
                <w:sz w:val="16"/>
              </w:rPr>
              <w:t>Reviewer/acceptance</w:t>
            </w:r>
          </w:p>
        </w:tc>
        <w:tc>
          <w:tcPr>
            <w:tcW w:type="dxa" w:w="7060"/>
            <w:tcMar>
              <w:top w:w="80" w:type="dxa"/>
              <w:bottom w:w="80" w:type="dxa"/>
              <w:start w:w="120" w:type="dxa"/>
              <w:end w:w="120" w:type="dxa"/>
            </w:tcMar>
            <w:vAlign w:val="top"/>
            <w:shd w:fill="FAF8F6"/>
          </w:tcPr>
          <w:p>
            <w:pPr>
              <w:spacing w:after="40" w:line="240" w:lineRule="auto"/>
            </w:pPr>
            <w:r>
              <w:rPr>
                <w:rFonts w:ascii="Aptos" w:hAnsi="Aptos"/>
                <w:sz w:val="16"/>
              </w:rPr>
              <w:t>Name/role/date</w:t>
            </w:r>
          </w:p>
        </w:tc>
      </w:tr>
      <w:tr>
        <w:trPr>
          <w:cantSplit/>
        </w:trPr>
        <w:tc>
          <w:tcPr>
            <w:tcW w:type="dxa" w:w="2300"/>
            <w:tcMar>
              <w:top w:w="80" w:type="dxa"/>
              <w:bottom w:w="80" w:type="dxa"/>
              <w:start w:w="120" w:type="dxa"/>
              <w:end w:w="120" w:type="dxa"/>
            </w:tcMar>
            <w:vAlign w:val="top"/>
          </w:tcPr>
          <w:p>
            <w:pPr>
              <w:spacing w:after="40" w:line="240" w:lineRule="auto"/>
            </w:pPr>
            <w:r>
              <w:rPr>
                <w:rFonts w:ascii="Aptos" w:hAnsi="Aptos"/>
                <w:sz w:val="16"/>
              </w:rPr>
              <w:t>Next authorised prompt</w:t>
            </w:r>
          </w:p>
        </w:tc>
        <w:tc>
          <w:tcPr>
            <w:tcW w:type="dxa" w:w="7060"/>
            <w:tcMar>
              <w:top w:w="80" w:type="dxa"/>
              <w:bottom w:w="80" w:type="dxa"/>
              <w:start w:w="120" w:type="dxa"/>
              <w:end w:w="120" w:type="dxa"/>
            </w:tcMar>
            <w:vAlign w:val="top"/>
          </w:tcPr>
          <w:p>
            <w:pPr>
              <w:spacing w:after="40" w:line="240" w:lineRule="auto"/>
            </w:pPr>
            <w:r>
              <w:rPr>
                <w:rFonts w:ascii="Aptos" w:hAnsi="Aptos"/>
                <w:sz w:val="16"/>
              </w:rPr>
              <w:t>01.04</w:t>
            </w:r>
          </w:p>
        </w:tc>
      </w:tr>
    </w:tbl>
    <w:p>
      <w:pPr>
        <w:spacing w:after="20"/>
      </w:pPr>
    </w:p>
    <w:p>
      <w:pPr>
        <w:pStyle w:val="Heading1"/>
        <w:keepNext/>
      </w:pPr>
      <w:r>
        <w:t>19. CEO operating checklist</w:t>
      </w:r>
    </w:p>
    <w:p>
      <w:pPr>
        <w:pStyle w:val="ListBullet"/>
      </w:pPr>
      <w:r>
        <w:t>Confirm Cursor is in the correct repository and branch.</w:t>
      </w:r>
    </w:p>
    <w:p>
      <w:pPr>
        <w:pStyle w:val="ListBullet"/>
      </w:pPr>
      <w:r>
        <w:t>Confirm the requested prompt is the next incomplete prompt.</w:t>
      </w:r>
    </w:p>
    <w:p>
      <w:pPr>
        <w:pStyle w:val="ListBullet"/>
      </w:pPr>
      <w:r>
        <w:t>Read the preflight report before authorising implementation.</w:t>
      </w:r>
    </w:p>
    <w:p>
      <w:pPr>
        <w:pStyle w:val="ListBullet"/>
      </w:pPr>
      <w:r>
        <w:t>Reject any proposal that removes required frontend, evidence, permission or recovery work.</w:t>
      </w:r>
    </w:p>
    <w:p>
      <w:pPr>
        <w:pStyle w:val="ListBullet"/>
      </w:pPr>
      <w:r>
        <w:t>After completion, read failed/skipped tests and carried-forward items—not only the success summary.</w:t>
      </w:r>
    </w:p>
    <w:p>
      <w:pPr>
        <w:pStyle w:val="ListBullet"/>
      </w:pPr>
      <w:r>
        <w:t>Check the full commit hash and clean working tree.</w:t>
      </w:r>
    </w:p>
    <w:p>
      <w:pPr>
        <w:pStyle w:val="ListBullet"/>
      </w:pPr>
      <w:r>
        <w:t>Open and test important frontend journeys yourself at slice gates.</w:t>
      </w:r>
    </w:p>
    <w:p>
      <w:pPr>
        <w:pStyle w:val="ListBullet"/>
      </w:pPr>
      <w:r>
        <w:t>Use a separate review chat/person for acceptance.</w:t>
      </w:r>
    </w:p>
    <w:p>
      <w:pPr>
        <w:pStyle w:val="ListBullet"/>
      </w:pPr>
      <w:r>
        <w:t>Do not merge while a blocking item is described as “later” without formal authority.</w:t>
      </w:r>
    </w:p>
    <w:p>
      <w:pPr>
        <w:pStyle w:val="ListBullet"/>
      </w:pPr>
      <w:r>
        <w:t>Keep OS and Academy contract versions synchronized.</w:t>
      </w:r>
    </w:p>
    <w:p>
      <w:pPr>
        <w:pStyle w:val="ListBullet"/>
      </w:pPr>
      <w:r>
        <w:t>Run reconciliation only after the original build prompts, then repeat acceptance.</w:t>
      </w:r>
    </w:p>
    <w:p>
      <w:pPr>
        <w:pStyle w:val="ListBullet"/>
      </w:pPr>
      <w:r>
        <w:t>Personally authorise production only after independent acceptance and required specialist validation.</w:t>
      </w:r>
    </w:p>
    <w:p>
      <w:pPr>
        <w:pStyle w:val="Heading1"/>
        <w:keepNext/>
      </w:pPr>
      <w:r>
        <w:t>20. Final operating position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REPOSITORY RULE  </w:t>
            </w:r>
            <w:r>
              <w:rPr>
                <w:rFonts w:ascii="Aptos" w:hAnsi="Aptos"/>
                <w:sz w:val="18"/>
              </w:rPr>
              <w:t>Commit the smallest complete set of build-driving truths, not every document that has been produced.</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Commit the smallest complete set of build-driving truths, not every document that has been produced.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CURSOR RULE  </w:t>
            </w:r>
            <w:r>
              <w:rPr>
                <w:rFonts w:ascii="Aptos" w:hAnsi="Aptos"/>
                <w:sz w:val="18"/>
              </w:rPr>
              <w:t>Give Cursor the complete slice pack for context, but permission to execute only one prompt at a time.</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Give Cursor the complete slice pack for context, but permission to execute only one prompt at a time.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SYSTEM RULE  </w:t>
            </w:r>
            <w:r>
              <w:rPr>
                <w:rFonts w:ascii="Aptos" w:hAnsi="Aptos"/>
                <w:sz w:val="18"/>
              </w:rPr>
              <w:t>Build the Event OS and Academy separately, connect them only through the ratified contract, and never allow one repository or Cursor conversation to blur their data ownership.</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Build the Event OS and Academy separately, connect them only through the ratified contract, and never allow one repository or Cursor conversation to blur their data ownership.</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3EEE9"/>
            <w:tcMar>
              <w:top w:w="80" w:type="dxa"/>
              <w:bottom w:w="80" w:type="dxa"/>
              <w:start w:w="120" w:type="dxa"/>
              <w:end w:w="120" w:type="dxa"/>
            </w:tcMar>
            <w:vAlign w:val="top"/>
          </w:tcPr>
          <w:p>
            <w:r/>
            <w:r>
              <w:rPr>
                <w:rFonts w:ascii="Aptos" w:hAnsi="Aptos"/>
                <w:b/>
                <w:color w:val="B79F85"/>
                <w:sz w:val="18"/>
              </w:rPr>
              <w:t xml:space="preserve">RELEASE RULE  </w:t>
            </w:r>
            <w:r>
              <w:rPr>
                <w:rFonts w:ascii="Aptos" w:hAnsi="Aptos"/>
                <w:sz w:val="18"/>
              </w:rPr>
              <w:t>Passing Cursor’s tests is necessary but not sufficient. Reconciliation, independent acceptance, specialist validation where required and CEO authorisation remain mandatory.</w:t>
            </w:r>
          </w:p>
        </w:tc>
      </w:tr>
      <w:tr>
        <w:trPr>
          <w:cantSplit/>
        </w:trPr>
        <w:tc>
          <w:tcPr>
            <w:tcW w:type="dxa" w:w="9360"/>
            <w:tcMar>
              <w:top w:w="80" w:type="dxa"/>
              <w:bottom w:w="80" w:type="dxa"/>
              <w:start w:w="120" w:type="dxa"/>
              <w:end w:w="120" w:type="dxa"/>
            </w:tcMar>
            <w:vAlign w:val="top"/>
          </w:tcPr>
          <w:p>
            <w:pPr>
              <w:spacing w:after="40" w:line="240" w:lineRule="auto"/>
            </w:pPr>
            <w:r>
              <w:rPr>
                <w:rFonts w:ascii="Aptos" w:hAnsi="Aptos"/>
                <w:sz w:val="18"/>
              </w:rPr>
              <w:t>Passing Cursor’s tests is necessary but not sufficient. Reconciliation, independent acceptance, specialist validation where required and CEO authorisation remain mandatory.</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5"/>
      </w:rPr>
      <w:t xml:space="preserve">CONTROLLED BUILD GUIDANCE  •  v1.0  •  4 SEPTEMBER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66666"/>
        <w:sz w:val="16"/>
      </w:rPr>
      <w:t>MAISON DOCLAR  |  REPOSITORY &amp; CURSOR OPERATING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7171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B79F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1717"/>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B79F8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Repository Document Control and Cursor Execution Manual</dc:title>
  <dc:subject>Git document selection and controlled Cursor workflow for Event OS and Academy</dc:subject>
  <dc:creator>Maison Doclar</dc:creator>
  <cp:keywords>Maison Doclar, Event OS, Academy, Cursor, Git, repository, slice, prompt pack, acceptance</cp:keywords>
  <dc:description>generated by python-docx</dc:description>
  <cp:lastModifiedBy/>
  <cp:revision>1</cp:revision>
  <dcterms:created xsi:type="dcterms:W3CDTF">2013-12-23T23:15:00Z</dcterms:created>
  <dcterms:modified xsi:type="dcterms:W3CDTF">2013-12-23T23:15:00Z</dcterms:modified>
  <cp:category/>
</cp:coreProperties>
</file>