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MAISON DOCLAR</w:t>
      </w:r>
    </w:p>
    <w:p>
      <w:pPr>
        <w:pStyle w:val="Title"/>
        <w:jc w:val="center"/>
      </w:pPr>
      <w:r>
        <w:t>Canonical Marketing &amp; Growth Doctrine</w:t>
      </w:r>
    </w:p>
    <w:p>
      <w:pPr>
        <w:pStyle w:val="Subtitle"/>
        <w:jc w:val="center"/>
      </w:pPr>
      <w:r>
        <w:t>The governing intelligence for a human-centred AI Marketing Director</w:t>
      </w:r>
    </w:p>
    <w:p/>
    <w:tbl>
      <w:tblPr>
        <w:tblW w:type="auto" w:w="0"/>
        <w:jc w:val="center"/>
        <w:tblLayout w:type="fixed"/>
        <w:tblLook w:firstColumn="1" w:firstRow="1" w:lastColumn="0" w:lastRow="0" w:noHBand="0" w:noVBand="1" w:val="04A0"/>
      </w:tblPr>
      <w:tblGrid>
        <w:gridCol w:w="4752"/>
        <w:gridCol w:w="4752"/>
      </w:tblGrid>
      <w:tr>
        <w:tc>
          <w:tcPr>
            <w:tcW w:type="dxa" w:w="2088"/>
            <w:shd w:fill="18202A"/>
            <w:tcMar>
              <w:top w:w="100" w:type="dxa"/>
              <w:start w:w="120" w:type="dxa"/>
              <w:bottom w:w="100" w:type="dxa"/>
              <w:end w:w="120" w:type="dxa"/>
            </w:tcMar>
            <w:vAlign w:val="center"/>
          </w:tcPr>
          <w:p>
            <w:r>
              <w:rPr>
                <w:b/>
                <w:color w:val="FFFFFF"/>
              </w:rPr>
              <w:t>Document ID</w:t>
            </w:r>
          </w:p>
        </w:tc>
        <w:tc>
          <w:tcPr>
            <w:tcW w:type="dxa" w:w="6912"/>
            <w:tcMar>
              <w:top w:w="100" w:type="dxa"/>
              <w:start w:w="120" w:type="dxa"/>
              <w:bottom w:w="100" w:type="dxa"/>
              <w:end w:w="120" w:type="dxa"/>
            </w:tcMar>
            <w:vAlign w:val="center"/>
          </w:tcPr>
          <w:p>
            <w:r>
              <w:t>MD-MKT-DOC-001</w:t>
            </w:r>
          </w:p>
        </w:tc>
      </w:tr>
      <w:tr>
        <w:tc>
          <w:tcPr>
            <w:tcW w:type="dxa" w:w="2088"/>
            <w:shd w:fill="18202A"/>
            <w:tcMar>
              <w:top w:w="100" w:type="dxa"/>
              <w:start w:w="120" w:type="dxa"/>
              <w:bottom w:w="100" w:type="dxa"/>
              <w:end w:w="120" w:type="dxa"/>
            </w:tcMar>
            <w:vAlign w:val="center"/>
          </w:tcPr>
          <w:p>
            <w:r>
              <w:rPr>
                <w:b/>
                <w:color w:val="FFFFFF"/>
              </w:rPr>
              <w:t>Version</w:t>
            </w:r>
          </w:p>
        </w:tc>
        <w:tc>
          <w:tcPr>
            <w:tcW w:type="dxa" w:w="6912"/>
            <w:tcMar>
              <w:top w:w="100" w:type="dxa"/>
              <w:start w:w="120" w:type="dxa"/>
              <w:bottom w:w="100" w:type="dxa"/>
              <w:end w:w="120" w:type="dxa"/>
            </w:tcMar>
            <w:vAlign w:val="center"/>
          </w:tcPr>
          <w:p>
            <w:r>
              <w:t>1.0</w:t>
            </w:r>
          </w:p>
        </w:tc>
      </w:tr>
      <w:tr>
        <w:tc>
          <w:tcPr>
            <w:tcW w:type="dxa" w:w="2088"/>
            <w:shd w:fill="18202A"/>
            <w:tcMar>
              <w:top w:w="100" w:type="dxa"/>
              <w:start w:w="120" w:type="dxa"/>
              <w:bottom w:w="100" w:type="dxa"/>
              <w:end w:w="120" w:type="dxa"/>
            </w:tcMar>
            <w:vAlign w:val="center"/>
          </w:tcPr>
          <w:p>
            <w:r>
              <w:rPr>
                <w:b/>
                <w:color w:val="FFFFFF"/>
              </w:rPr>
              <w:t>Status</w:t>
            </w:r>
          </w:p>
        </w:tc>
        <w:tc>
          <w:tcPr>
            <w:tcW w:type="dxa" w:w="6912"/>
            <w:tcMar>
              <w:top w:w="100" w:type="dxa"/>
              <w:start w:w="120" w:type="dxa"/>
              <w:bottom w:w="100" w:type="dxa"/>
              <w:end w:w="120" w:type="dxa"/>
            </w:tcMar>
            <w:vAlign w:val="center"/>
          </w:tcPr>
          <w:p>
            <w:r>
              <w:t>DRAFT FOR CEO RATIFICATION</w:t>
            </w:r>
          </w:p>
        </w:tc>
      </w:tr>
      <w:tr>
        <w:tc>
          <w:tcPr>
            <w:tcW w:type="dxa" w:w="2088"/>
            <w:shd w:fill="18202A"/>
            <w:tcMar>
              <w:top w:w="100" w:type="dxa"/>
              <w:start w:w="120" w:type="dxa"/>
              <w:bottom w:w="100" w:type="dxa"/>
              <w:end w:w="120" w:type="dxa"/>
            </w:tcMar>
            <w:vAlign w:val="center"/>
          </w:tcPr>
          <w:p>
            <w:r>
              <w:rPr>
                <w:b/>
                <w:color w:val="FFFFFF"/>
              </w:rPr>
              <w:t>Prepared</w:t>
            </w:r>
          </w:p>
        </w:tc>
        <w:tc>
          <w:tcPr>
            <w:tcW w:type="dxa" w:w="6912"/>
            <w:tcMar>
              <w:top w:w="100" w:type="dxa"/>
              <w:start w:w="120" w:type="dxa"/>
              <w:bottom w:w="100" w:type="dxa"/>
              <w:end w:w="120" w:type="dxa"/>
            </w:tcMar>
            <w:vAlign w:val="center"/>
          </w:tcPr>
          <w:p>
            <w:r>
              <w:t>04 September 2026</w:t>
            </w:r>
          </w:p>
        </w:tc>
      </w:tr>
    </w:tbl>
    <w:p>
      <w:pPr>
        <w:pStyle w:val="Heading2"/>
      </w:pPr>
      <w:r>
        <w:t>Authority note</w:t>
      </w:r>
    </w:p>
    <w:p>
      <w:r>
        <w:t>This document is a proposed Maison Doclar control instrument. It becomes authoritative only after CEO ratification. Legal, regulatory, cultural, protocol, financial, tax and platform-specific conclusions remain subject to the named competent authority. Unsupported facts are never converted into doctrine merely because an AI generated them.</w:t>
      </w:r>
    </w:p>
    <w:p>
      <w:r>
        <w:br w:type="page"/>
      </w:r>
    </w:p>
    <w:p>
      <w:pPr>
        <w:pStyle w:val="Title"/>
      </w:pPr>
      <w:r>
        <w:t>Contents</w:t>
      </w:r>
    </w:p>
    <w:p>
      <w:pPr>
        <w:spacing w:after="40" w:line="240" w:lineRule="auto"/>
      </w:pPr>
      <w:r>
        <w:rPr>
          <w:rFonts w:ascii="Aptos" w:hAnsi="Aptos"/>
          <w:color w:val="5D6670"/>
          <w:sz w:val="17"/>
        </w:rPr>
        <w:t>Authority note</w:t>
        <w:br/>
      </w:r>
      <w:r>
        <w:rPr>
          <w:rFonts w:ascii="Aptos" w:hAnsi="Aptos"/>
          <w:b/>
          <w:color w:val="18202A"/>
          <w:sz w:val="18"/>
        </w:rPr>
        <w:t>1. Executive doctrine</w:t>
        <w:br/>
      </w:r>
      <w:r>
        <w:rPr>
          <w:rFonts w:ascii="Aptos" w:hAnsi="Aptos"/>
          <w:b/>
          <w:color w:val="18202A"/>
          <w:sz w:val="18"/>
        </w:rPr>
        <w:t>2. Purpose, outcomes and exclusions</w:t>
        <w:br/>
      </w:r>
      <w:r>
        <w:rPr>
          <w:rFonts w:ascii="Aptos" w:hAnsi="Aptos"/>
          <w:b/>
          <w:color w:val="18202A"/>
          <w:sz w:val="18"/>
        </w:rPr>
        <w:t>3. The Maison Doclar market thesis</w:t>
        <w:br/>
      </w:r>
      <w:r>
        <w:rPr>
          <w:rFonts w:ascii="Aptos" w:hAnsi="Aptos"/>
          <w:b/>
          <w:color w:val="18202A"/>
          <w:sz w:val="18"/>
        </w:rPr>
        <w:t>4. Customer and relationship doctrine</w:t>
        <w:br/>
      </w:r>
      <w:r>
        <w:rPr>
          <w:rFonts w:ascii="Aptos" w:hAnsi="Aptos"/>
          <w:color w:val="5D6670"/>
          <w:sz w:val="17"/>
        </w:rPr>
        <w:t>Clients and commissioning organisations</w:t>
        <w:br/>
      </w:r>
      <w:r>
        <w:rPr>
          <w:rFonts w:ascii="Aptos" w:hAnsi="Aptos"/>
          <w:color w:val="5D6670"/>
          <w:sz w:val="17"/>
        </w:rPr>
        <w:t>Guests and invitees</w:t>
        <w:br/>
      </w:r>
      <w:r>
        <w:rPr>
          <w:rFonts w:ascii="Aptos" w:hAnsi="Aptos"/>
          <w:color w:val="5D6670"/>
          <w:sz w:val="17"/>
        </w:rPr>
        <w:t>Partners, suppliers and venues</w:t>
        <w:br/>
      </w:r>
      <w:r>
        <w:rPr>
          <w:rFonts w:ascii="Aptos" w:hAnsi="Aptos"/>
          <w:color w:val="5D6670"/>
          <w:sz w:val="17"/>
        </w:rPr>
        <w:t>Press and creators</w:t>
        <w:br/>
      </w:r>
      <w:r>
        <w:rPr>
          <w:rFonts w:ascii="Aptos" w:hAnsi="Aptos"/>
          <w:color w:val="5D6670"/>
          <w:sz w:val="17"/>
        </w:rPr>
        <w:t>Dormant, dissatisfied and vulnerable contacts</w:t>
        <w:br/>
      </w:r>
      <w:r>
        <w:rPr>
          <w:rFonts w:ascii="Aptos" w:hAnsi="Aptos"/>
          <w:b/>
          <w:color w:val="18202A"/>
          <w:sz w:val="18"/>
        </w:rPr>
        <w:t>5. Segmentation and ideal-client doctrine</w:t>
        <w:br/>
      </w:r>
      <w:r>
        <w:rPr>
          <w:rFonts w:ascii="Aptos" w:hAnsi="Aptos"/>
          <w:b/>
          <w:color w:val="18202A"/>
          <w:sz w:val="18"/>
        </w:rPr>
        <w:t>6. Offer and commercial doctrine</w:t>
        <w:br/>
      </w:r>
      <w:r>
        <w:rPr>
          <w:rFonts w:ascii="Aptos" w:hAnsi="Aptos"/>
          <w:b/>
          <w:color w:val="18202A"/>
          <w:sz w:val="18"/>
        </w:rPr>
        <w:t>7. Positioning, messaging and brand voice</w:t>
        <w:br/>
      </w:r>
      <w:r>
        <w:rPr>
          <w:rFonts w:ascii="Aptos" w:hAnsi="Aptos"/>
          <w:b/>
          <w:color w:val="18202A"/>
          <w:sz w:val="18"/>
        </w:rPr>
        <w:t>8. Full-funnel doctrine</w:t>
        <w:br/>
      </w:r>
      <w:r>
        <w:rPr>
          <w:rFonts w:ascii="Aptos" w:hAnsi="Aptos"/>
          <w:color w:val="5D6670"/>
          <w:sz w:val="17"/>
        </w:rPr>
        <w:t>Awareness</w:t>
        <w:br/>
      </w:r>
      <w:r>
        <w:rPr>
          <w:rFonts w:ascii="Aptos" w:hAnsi="Aptos"/>
          <w:color w:val="5D6670"/>
          <w:sz w:val="17"/>
        </w:rPr>
        <w:t>Acquisition</w:t>
        <w:br/>
      </w:r>
      <w:r>
        <w:rPr>
          <w:rFonts w:ascii="Aptos" w:hAnsi="Aptos"/>
          <w:color w:val="5D6670"/>
          <w:sz w:val="17"/>
        </w:rPr>
        <w:t>Activation</w:t>
        <w:br/>
      </w:r>
      <w:r>
        <w:rPr>
          <w:rFonts w:ascii="Aptos" w:hAnsi="Aptos"/>
          <w:color w:val="5D6670"/>
          <w:sz w:val="17"/>
        </w:rPr>
        <w:t>Revenue</w:t>
        <w:br/>
      </w:r>
      <w:r>
        <w:rPr>
          <w:rFonts w:ascii="Aptos" w:hAnsi="Aptos"/>
          <w:color w:val="5D6670"/>
          <w:sz w:val="17"/>
        </w:rPr>
        <w:t>Retention</w:t>
        <w:br/>
      </w:r>
      <w:r>
        <w:rPr>
          <w:rFonts w:ascii="Aptos" w:hAnsi="Aptos"/>
          <w:color w:val="5D6670"/>
          <w:sz w:val="17"/>
        </w:rPr>
        <w:t>Advocacy</w:t>
        <w:br/>
      </w:r>
      <w:r>
        <w:rPr>
          <w:rFonts w:ascii="Aptos" w:hAnsi="Aptos"/>
          <w:b/>
          <w:color w:val="18202A"/>
          <w:sz w:val="18"/>
        </w:rPr>
        <w:t>9. Channel doctrine</w:t>
        <w:br/>
      </w:r>
      <w:r>
        <w:rPr>
          <w:rFonts w:ascii="Aptos" w:hAnsi="Aptos"/>
          <w:b/>
          <w:color w:val="18202A"/>
          <w:sz w:val="18"/>
        </w:rPr>
        <w:t>10. Content, creative and evidence doctrine</w:t>
        <w:br/>
      </w:r>
      <w:r>
        <w:rPr>
          <w:rFonts w:ascii="Aptos" w:hAnsi="Aptos"/>
          <w:b/>
          <w:color w:val="18202A"/>
          <w:sz w:val="18"/>
        </w:rPr>
        <w:t>11. Research and competitive-intelligence doctrine</w:t>
        <w:br/>
      </w:r>
      <w:r>
        <w:rPr>
          <w:rFonts w:ascii="Aptos" w:hAnsi="Aptos"/>
          <w:b/>
          <w:color w:val="18202A"/>
          <w:sz w:val="18"/>
        </w:rPr>
        <w:t>12. Measurement, attribution and experimentation doctrine</w:t>
        <w:br/>
      </w:r>
      <w:r>
        <w:rPr>
          <w:rFonts w:ascii="Aptos" w:hAnsi="Aptos"/>
          <w:b/>
          <w:color w:val="18202A"/>
          <w:sz w:val="18"/>
        </w:rPr>
        <w:t>13. AI operating doctrine</w:t>
        <w:br/>
      </w:r>
      <w:r>
        <w:rPr>
          <w:rFonts w:ascii="Aptos" w:hAnsi="Aptos"/>
          <w:b/>
          <w:color w:val="18202A"/>
          <w:sz w:val="18"/>
        </w:rPr>
        <w:t>14. Privacy, dignity, safety and inclusion</w:t>
        <w:br/>
      </w:r>
      <w:r>
        <w:rPr>
          <w:rFonts w:ascii="Aptos" w:hAnsi="Aptos"/>
          <w:b/>
          <w:color w:val="18202A"/>
          <w:sz w:val="18"/>
        </w:rPr>
        <w:t>15. Governance, decision rights and change control</w:t>
        <w:br/>
      </w:r>
      <w:r>
        <w:rPr>
          <w:rFonts w:ascii="Aptos" w:hAnsi="Aptos"/>
          <w:b/>
          <w:color w:val="18202A"/>
          <w:sz w:val="18"/>
        </w:rPr>
        <w:t>16. Doctrine ratification schedule</w:t>
        <w:br/>
      </w:r>
      <w:r>
        <w:rPr>
          <w:rFonts w:ascii="Aptos" w:hAnsi="Aptos"/>
          <w:color w:val="5D6670"/>
          <w:sz w:val="17"/>
        </w:rPr>
        <w:t>Appendix A. External sources</w:t>
      </w:r>
    </w:p>
    <w:p>
      <w:r>
        <w:br w:type="page"/>
      </w:r>
    </w:p>
    <w:p>
      <w:pPr>
        <w:pStyle w:val="Heading1"/>
      </w:pPr>
      <w:r>
        <w:t>1. Executive doctrine</w:t>
      </w:r>
    </w:p>
    <w:tbl>
      <w:tblPr>
        <w:tblW w:type="auto" w:w="0"/>
        <w:tblLook w:firstColumn="1" w:firstRow="1" w:lastColumn="0" w:lastRow="0" w:noHBand="0" w:noVBand="1" w:val="04A0"/>
      </w:tblPr>
      <w:tblGrid>
        <w:gridCol w:w="9504"/>
      </w:tblGrid>
      <w:tr>
        <w:tc>
          <w:tcPr>
            <w:tcW w:type="dxa" w:w="9504"/>
            <w:shd w:fill="F3F0EB"/>
            <w:tcMar>
              <w:top w:w="140" w:type="dxa"/>
              <w:start w:w="160" w:type="dxa"/>
              <w:bottom w:w="140" w:type="dxa"/>
              <w:end w:w="160" w:type="dxa"/>
            </w:tcMar>
          </w:tcPr>
          <w:p>
            <w:r>
              <w:rPr>
                <w:b/>
              </w:rPr>
              <w:t xml:space="preserve">Category decision: </w:t>
            </w:r>
            <w:r>
              <w:t>Maison Doclar will compete as a software-enabled premium service enterprise in White-glove Guest Experience, Protocol &amp; Event Operations. Marketing must make this category understandable, credible and commercially valuable; it must not reduce the company to “another event planner”.</w:t>
            </w:r>
          </w:p>
        </w:tc>
      </w:tr>
    </w:tbl>
    <w:p/>
    <w:p>
      <w:r>
        <w:t>Marketing exists to create appropriate demand, convert trust into qualified commercial relationships, strengthen delivery outcomes and cultivate advocacy. It does not exist to maximise impressions, imitate competitors or manufacture activity. The governing brand promise is “Every Guest, Considered.”</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656"/>
            <w:shd w:fill="18202A"/>
            <w:tcMar>
              <w:top w:w="100" w:type="dxa"/>
              <w:start w:w="120" w:type="dxa"/>
              <w:bottom w:w="100" w:type="dxa"/>
              <w:end w:w="120" w:type="dxa"/>
            </w:tcMar>
          </w:tcPr>
          <w:p>
            <w:r>
              <w:rPr>
                <w:b/>
                <w:color w:val="FFFFFF"/>
                <w:sz w:val="16"/>
              </w:rPr>
              <w:t>Doctrine ID</w:t>
            </w:r>
          </w:p>
        </w:tc>
        <w:tc>
          <w:tcPr>
            <w:tcW w:type="dxa" w:w="2880"/>
            <w:shd w:fill="18202A"/>
            <w:tcMar>
              <w:top w:w="100" w:type="dxa"/>
              <w:start w:w="120" w:type="dxa"/>
              <w:bottom w:w="100" w:type="dxa"/>
              <w:end w:w="120" w:type="dxa"/>
            </w:tcMar>
          </w:tcPr>
          <w:p>
            <w:r>
              <w:rPr>
                <w:b/>
                <w:color w:val="FFFFFF"/>
                <w:sz w:val="16"/>
              </w:rPr>
              <w:t>Rule</w:t>
            </w:r>
          </w:p>
        </w:tc>
        <w:tc>
          <w:tcPr>
            <w:tcW w:type="dxa" w:w="4968"/>
            <w:shd w:fill="18202A"/>
            <w:tcMar>
              <w:top w:w="100" w:type="dxa"/>
              <w:start w:w="120" w:type="dxa"/>
              <w:bottom w:w="100" w:type="dxa"/>
              <w:end w:w="120" w:type="dxa"/>
            </w:tcMar>
          </w:tcPr>
          <w:p>
            <w:r>
              <w:rPr>
                <w:b/>
                <w:color w:val="FFFFFF"/>
                <w:sz w:val="16"/>
              </w:rPr>
              <w:t>Operational consequence</w:t>
            </w:r>
          </w:p>
        </w:tc>
      </w:tr>
      <w:tr>
        <w:tc>
          <w:tcPr>
            <w:tcW w:type="dxa" w:w="1656"/>
            <w:tcMar>
              <w:top w:w="100" w:type="dxa"/>
              <w:start w:w="120" w:type="dxa"/>
              <w:bottom w:w="100" w:type="dxa"/>
              <w:end w:w="120" w:type="dxa"/>
            </w:tcMar>
            <w:vAlign w:val="center"/>
          </w:tcPr>
          <w:p>
            <w:r>
              <w:rPr>
                <w:sz w:val="16"/>
              </w:rPr>
              <w:t>MKT-DOC-001</w:t>
            </w:r>
          </w:p>
        </w:tc>
        <w:tc>
          <w:tcPr>
            <w:tcW w:type="dxa" w:w="2880"/>
            <w:tcMar>
              <w:top w:w="100" w:type="dxa"/>
              <w:start w:w="120" w:type="dxa"/>
              <w:bottom w:w="100" w:type="dxa"/>
              <w:end w:w="120" w:type="dxa"/>
            </w:tcMar>
            <w:vAlign w:val="center"/>
          </w:tcPr>
          <w:p>
            <w:r>
              <w:rPr>
                <w:sz w:val="16"/>
              </w:rPr>
              <w:t>Value before volume</w:t>
            </w:r>
          </w:p>
        </w:tc>
        <w:tc>
          <w:tcPr>
            <w:tcW w:type="dxa" w:w="4968"/>
            <w:tcMar>
              <w:top w:w="100" w:type="dxa"/>
              <w:start w:w="120" w:type="dxa"/>
              <w:bottom w:w="100" w:type="dxa"/>
              <w:end w:w="120" w:type="dxa"/>
            </w:tcMar>
            <w:vAlign w:val="center"/>
          </w:tcPr>
          <w:p>
            <w:r>
              <w:rPr>
                <w:sz w:val="16"/>
              </w:rPr>
              <w:t>Optimise for qualified, serviceable and profitable demand rather than raw reach.</w:t>
            </w:r>
          </w:p>
        </w:tc>
      </w:tr>
      <w:tr>
        <w:tc>
          <w:tcPr>
            <w:tcW w:type="dxa" w:w="1656"/>
            <w:tcMar>
              <w:top w:w="100" w:type="dxa"/>
              <w:start w:w="120" w:type="dxa"/>
              <w:bottom w:w="100" w:type="dxa"/>
              <w:end w:w="120" w:type="dxa"/>
            </w:tcMar>
            <w:vAlign w:val="center"/>
            <w:shd w:fill="F3F0EB"/>
          </w:tcPr>
          <w:p>
            <w:r>
              <w:rPr>
                <w:sz w:val="16"/>
              </w:rPr>
              <w:t>MKT-DOC-002</w:t>
            </w:r>
          </w:p>
        </w:tc>
        <w:tc>
          <w:tcPr>
            <w:tcW w:type="dxa" w:w="2880"/>
            <w:tcMar>
              <w:top w:w="100" w:type="dxa"/>
              <w:start w:w="120" w:type="dxa"/>
              <w:bottom w:w="100" w:type="dxa"/>
              <w:end w:w="120" w:type="dxa"/>
            </w:tcMar>
            <w:vAlign w:val="center"/>
            <w:shd w:fill="F3F0EB"/>
          </w:tcPr>
          <w:p>
            <w:r>
              <w:rPr>
                <w:sz w:val="16"/>
              </w:rPr>
              <w:t>Truth before persuasion</w:t>
            </w:r>
          </w:p>
        </w:tc>
        <w:tc>
          <w:tcPr>
            <w:tcW w:type="dxa" w:w="4968"/>
            <w:tcMar>
              <w:top w:w="100" w:type="dxa"/>
              <w:start w:w="120" w:type="dxa"/>
              <w:bottom w:w="100" w:type="dxa"/>
              <w:end w:w="120" w:type="dxa"/>
            </w:tcMar>
            <w:vAlign w:val="center"/>
            <w:shd w:fill="F3F0EB"/>
          </w:tcPr>
          <w:p>
            <w:r>
              <w:rPr>
                <w:sz w:val="16"/>
              </w:rPr>
              <w:t>No unsupported claim, invented proof or disguised uncertainty.</w:t>
            </w:r>
          </w:p>
        </w:tc>
      </w:tr>
      <w:tr>
        <w:tc>
          <w:tcPr>
            <w:tcW w:type="dxa" w:w="1656"/>
            <w:tcMar>
              <w:top w:w="100" w:type="dxa"/>
              <w:start w:w="120" w:type="dxa"/>
              <w:bottom w:w="100" w:type="dxa"/>
              <w:end w:w="120" w:type="dxa"/>
            </w:tcMar>
            <w:vAlign w:val="center"/>
          </w:tcPr>
          <w:p>
            <w:r>
              <w:rPr>
                <w:sz w:val="16"/>
              </w:rPr>
              <w:t>MKT-DOC-003</w:t>
            </w:r>
          </w:p>
        </w:tc>
        <w:tc>
          <w:tcPr>
            <w:tcW w:type="dxa" w:w="2880"/>
            <w:tcMar>
              <w:top w:w="100" w:type="dxa"/>
              <w:start w:w="120" w:type="dxa"/>
              <w:bottom w:w="100" w:type="dxa"/>
              <w:end w:w="120" w:type="dxa"/>
            </w:tcMar>
            <w:vAlign w:val="center"/>
          </w:tcPr>
          <w:p>
            <w:r>
              <w:rPr>
                <w:sz w:val="16"/>
              </w:rPr>
              <w:t>People before data points</w:t>
            </w:r>
          </w:p>
        </w:tc>
        <w:tc>
          <w:tcPr>
            <w:tcW w:type="dxa" w:w="4968"/>
            <w:tcMar>
              <w:top w:w="100" w:type="dxa"/>
              <w:start w:w="120" w:type="dxa"/>
              <w:bottom w:w="100" w:type="dxa"/>
              <w:end w:w="120" w:type="dxa"/>
            </w:tcMar>
            <w:vAlign w:val="center"/>
          </w:tcPr>
          <w:p>
            <w:r>
              <w:rPr>
                <w:sz w:val="16"/>
              </w:rPr>
              <w:t>Use the minimum appropriate personal data; preserve dignity, context and choice.</w:t>
            </w:r>
          </w:p>
        </w:tc>
      </w:tr>
      <w:tr>
        <w:tc>
          <w:tcPr>
            <w:tcW w:type="dxa" w:w="1656"/>
            <w:tcMar>
              <w:top w:w="100" w:type="dxa"/>
              <w:start w:w="120" w:type="dxa"/>
              <w:bottom w:w="100" w:type="dxa"/>
              <w:end w:w="120" w:type="dxa"/>
            </w:tcMar>
            <w:vAlign w:val="center"/>
            <w:shd w:fill="F3F0EB"/>
          </w:tcPr>
          <w:p>
            <w:r>
              <w:rPr>
                <w:sz w:val="16"/>
              </w:rPr>
              <w:t>MKT-DOC-004</w:t>
            </w:r>
          </w:p>
        </w:tc>
        <w:tc>
          <w:tcPr>
            <w:tcW w:type="dxa" w:w="2880"/>
            <w:tcMar>
              <w:top w:w="100" w:type="dxa"/>
              <w:start w:w="120" w:type="dxa"/>
              <w:bottom w:w="100" w:type="dxa"/>
              <w:end w:w="120" w:type="dxa"/>
            </w:tcMar>
            <w:vAlign w:val="center"/>
            <w:shd w:fill="F3F0EB"/>
          </w:tcPr>
          <w:p>
            <w:r>
              <w:rPr>
                <w:sz w:val="16"/>
              </w:rPr>
              <w:t>Promise must match delivery</w:t>
            </w:r>
          </w:p>
        </w:tc>
        <w:tc>
          <w:tcPr>
            <w:tcW w:type="dxa" w:w="4968"/>
            <w:tcMar>
              <w:top w:w="100" w:type="dxa"/>
              <w:start w:w="120" w:type="dxa"/>
              <w:bottom w:w="100" w:type="dxa"/>
              <w:end w:w="120" w:type="dxa"/>
            </w:tcMar>
            <w:vAlign w:val="center"/>
            <w:shd w:fill="F3F0EB"/>
          </w:tcPr>
          <w:p>
            <w:r>
              <w:rPr>
                <w:sz w:val="16"/>
              </w:rPr>
              <w:t>Do not promote demand the Event OS says cannot be served safely or excellently.</w:t>
            </w:r>
          </w:p>
        </w:tc>
      </w:tr>
      <w:tr>
        <w:tc>
          <w:tcPr>
            <w:tcW w:type="dxa" w:w="1656"/>
            <w:tcMar>
              <w:top w:w="100" w:type="dxa"/>
              <w:start w:w="120" w:type="dxa"/>
              <w:bottom w:w="100" w:type="dxa"/>
              <w:end w:w="120" w:type="dxa"/>
            </w:tcMar>
            <w:vAlign w:val="center"/>
          </w:tcPr>
          <w:p>
            <w:r>
              <w:rPr>
                <w:sz w:val="16"/>
              </w:rPr>
              <w:t>MKT-DOC-005</w:t>
            </w:r>
          </w:p>
        </w:tc>
        <w:tc>
          <w:tcPr>
            <w:tcW w:type="dxa" w:w="2880"/>
            <w:tcMar>
              <w:top w:w="100" w:type="dxa"/>
              <w:start w:w="120" w:type="dxa"/>
              <w:bottom w:w="100" w:type="dxa"/>
              <w:end w:w="120" w:type="dxa"/>
            </w:tcMar>
            <w:vAlign w:val="center"/>
          </w:tcPr>
          <w:p>
            <w:r>
              <w:rPr>
                <w:sz w:val="16"/>
              </w:rPr>
              <w:t>Human authority remains real</w:t>
            </w:r>
          </w:p>
        </w:tc>
        <w:tc>
          <w:tcPr>
            <w:tcW w:type="dxa" w:w="4968"/>
            <w:tcMar>
              <w:top w:w="100" w:type="dxa"/>
              <w:start w:w="120" w:type="dxa"/>
              <w:bottom w:w="100" w:type="dxa"/>
              <w:end w:w="120" w:type="dxa"/>
            </w:tcMar>
            <w:vAlign w:val="center"/>
          </w:tcPr>
          <w:p>
            <w:r>
              <w:rPr>
                <w:sz w:val="16"/>
              </w:rPr>
              <w:t>AI may prepare and execute only within ratified, revocable boundaries.</w:t>
            </w:r>
          </w:p>
        </w:tc>
      </w:tr>
      <w:tr>
        <w:tc>
          <w:tcPr>
            <w:tcW w:type="dxa" w:w="1656"/>
            <w:tcMar>
              <w:top w:w="100" w:type="dxa"/>
              <w:start w:w="120" w:type="dxa"/>
              <w:bottom w:w="100" w:type="dxa"/>
              <w:end w:w="120" w:type="dxa"/>
            </w:tcMar>
            <w:vAlign w:val="center"/>
            <w:shd w:fill="F3F0EB"/>
          </w:tcPr>
          <w:p>
            <w:r>
              <w:rPr>
                <w:sz w:val="16"/>
              </w:rPr>
              <w:t>MKT-DOC-006</w:t>
            </w:r>
          </w:p>
        </w:tc>
        <w:tc>
          <w:tcPr>
            <w:tcW w:type="dxa" w:w="2880"/>
            <w:tcMar>
              <w:top w:w="100" w:type="dxa"/>
              <w:start w:w="120" w:type="dxa"/>
              <w:bottom w:w="100" w:type="dxa"/>
              <w:end w:w="120" w:type="dxa"/>
            </w:tcMar>
            <w:vAlign w:val="center"/>
            <w:shd w:fill="F3F0EB"/>
          </w:tcPr>
          <w:p>
            <w:r>
              <w:rPr>
                <w:sz w:val="16"/>
              </w:rPr>
              <w:t>Learning is an asset</w:t>
            </w:r>
          </w:p>
        </w:tc>
        <w:tc>
          <w:tcPr>
            <w:tcW w:type="dxa" w:w="4968"/>
            <w:tcMar>
              <w:top w:w="100" w:type="dxa"/>
              <w:start w:w="120" w:type="dxa"/>
              <w:bottom w:w="100" w:type="dxa"/>
              <w:end w:w="120" w:type="dxa"/>
            </w:tcMar>
            <w:vAlign w:val="center"/>
            <w:shd w:fill="F3F0EB"/>
          </w:tcPr>
          <w:p>
            <w:r>
              <w:rPr>
                <w:sz w:val="16"/>
              </w:rPr>
              <w:t>Every material campaign produces reusable, versioned knowledge.</w:t>
            </w:r>
          </w:p>
        </w:tc>
      </w:tr>
    </w:tbl>
    <w:p/>
    <w:p>
      <w:pPr>
        <w:pStyle w:val="Heading1"/>
      </w:pPr>
      <w:r>
        <w:t>2. Purpose, outcomes and exclusions</w:t>
      </w:r>
    </w:p>
    <w:p>
      <w:pPr>
        <w:pStyle w:val="ListBullet"/>
      </w:pPr>
      <w:r>
        <w:t>Primary outcome: sustainable growth in qualified enquiries, appropriate conversion, contribution margin, repeat business and trusted referrals.</w:t>
      </w:r>
    </w:p>
    <w:p>
      <w:pPr>
        <w:pStyle w:val="ListBullet"/>
      </w:pPr>
      <w:r>
        <w:t>Secondary outcome: category authority and durable brand memory among clients, guests, partners, venues, press and cultural stakeholders.</w:t>
      </w:r>
    </w:p>
    <w:p>
      <w:pPr>
        <w:pStyle w:val="ListBullet"/>
      </w:pPr>
      <w:r>
        <w:t>Experience outcome: communications must be useful, respectful, accessible and proportionate to the relationship.</w:t>
      </w:r>
    </w:p>
    <w:p>
      <w:pPr>
        <w:pStyle w:val="ListBullet"/>
      </w:pPr>
      <w:r>
        <w:t>Operational outcome: demand generation must remain connected to capacity, event readiness and service quality.</w:t>
      </w:r>
    </w:p>
    <w:p>
      <w:pPr>
        <w:pStyle w:val="ListBullet"/>
      </w:pPr>
      <w:r>
        <w:t>Excluded optimisation: vanity reach, indiscriminate database growth, exploitative urgency, purchased attention without measurement, and automation that obscures accountability.</w:t>
      </w:r>
    </w:p>
    <w:p>
      <w:pPr>
        <w:pStyle w:val="Heading1"/>
      </w:pPr>
      <w:r>
        <w:t>3. The Maison Doclar market thesis</w:t>
      </w:r>
    </w:p>
    <w:p>
      <w:r>
        <w:t>Maison Doclar’s defensible advantage is the integration of white-glove guest consideration, protocol-aware judgment, operating discipline and technology. The thesis remains a strategic hypothesis until supported by market and client evidence. The OS must preserve contrary evidence and propose revisions rather than protect a favoured narrative.</w:t>
      </w:r>
    </w:p>
    <w:tbl>
      <w:tblPr>
        <w:tblW w:type="auto" w:w="0"/>
        <w:jc w:val="center"/>
        <w:tblLayout w:type="fixed"/>
        <w:tblLook w:firstColumn="1" w:firstRow="1" w:lastColumn="0" w:lastRow="0" w:noHBand="0" w:noVBand="1" w:val="04A0"/>
      </w:tblPr>
      <w:tblGrid>
        <w:gridCol w:w="2376"/>
        <w:gridCol w:w="2376"/>
        <w:gridCol w:w="2376"/>
        <w:gridCol w:w="2376"/>
      </w:tblGrid>
      <w:tr>
        <w:trPr>
          <w:tblHeader w:val="true"/>
        </w:trPr>
        <w:tc>
          <w:tcPr>
            <w:tcW w:type="dxa" w:w="2376"/>
            <w:shd w:fill="18202A"/>
            <w:tcMar>
              <w:top w:w="100" w:type="dxa"/>
              <w:start w:w="120" w:type="dxa"/>
              <w:bottom w:w="100" w:type="dxa"/>
              <w:end w:w="120" w:type="dxa"/>
            </w:tcMar>
          </w:tcPr>
          <w:p>
            <w:r>
              <w:rPr>
                <w:b/>
                <w:color w:val="FFFFFF"/>
                <w:sz w:val="16"/>
              </w:rPr>
              <w:t>Hypothesis</w:t>
            </w:r>
          </w:p>
        </w:tc>
        <w:tc>
          <w:tcPr>
            <w:tcW w:type="dxa" w:w="2592"/>
            <w:shd w:fill="18202A"/>
            <w:tcMar>
              <w:top w:w="100" w:type="dxa"/>
              <w:start w:w="120" w:type="dxa"/>
              <w:bottom w:w="100" w:type="dxa"/>
              <w:end w:w="120" w:type="dxa"/>
            </w:tcMar>
          </w:tcPr>
          <w:p>
            <w:r>
              <w:rPr>
                <w:b/>
                <w:color w:val="FFFFFF"/>
                <w:sz w:val="16"/>
              </w:rPr>
              <w:t>Evidence required</w:t>
            </w:r>
          </w:p>
        </w:tc>
        <w:tc>
          <w:tcPr>
            <w:tcW w:type="dxa" w:w="2160"/>
            <w:shd w:fill="18202A"/>
            <w:tcMar>
              <w:top w:w="100" w:type="dxa"/>
              <w:start w:w="120" w:type="dxa"/>
              <w:bottom w:w="100" w:type="dxa"/>
              <w:end w:w="120" w:type="dxa"/>
            </w:tcMar>
          </w:tcPr>
          <w:p>
            <w:r>
              <w:rPr>
                <w:b/>
                <w:color w:val="FFFFFF"/>
                <w:sz w:val="16"/>
              </w:rPr>
              <w:t>Failure signal</w:t>
            </w:r>
          </w:p>
        </w:tc>
        <w:tc>
          <w:tcPr>
            <w:tcW w:type="dxa" w:w="2376"/>
            <w:shd w:fill="18202A"/>
            <w:tcMar>
              <w:top w:w="100" w:type="dxa"/>
              <w:start w:w="120" w:type="dxa"/>
              <w:bottom w:w="100" w:type="dxa"/>
              <w:end w:w="120" w:type="dxa"/>
            </w:tcMar>
          </w:tcPr>
          <w:p>
            <w:r>
              <w:rPr>
                <w:b/>
                <w:color w:val="FFFFFF"/>
                <w:sz w:val="16"/>
              </w:rPr>
              <w:t>Permitted response</w:t>
            </w:r>
          </w:p>
        </w:tc>
      </w:tr>
      <w:tr>
        <w:tc>
          <w:tcPr>
            <w:tcW w:type="dxa" w:w="2376"/>
            <w:tcMar>
              <w:top w:w="100" w:type="dxa"/>
              <w:start w:w="120" w:type="dxa"/>
              <w:bottom w:w="100" w:type="dxa"/>
              <w:end w:w="120" w:type="dxa"/>
            </w:tcMar>
            <w:vAlign w:val="center"/>
          </w:tcPr>
          <w:p>
            <w:r>
              <w:rPr>
                <w:sz w:val="16"/>
              </w:rPr>
              <w:t>Premium hosts value reduced guest-related risk and cognitive load</w:t>
            </w:r>
          </w:p>
        </w:tc>
        <w:tc>
          <w:tcPr>
            <w:tcW w:type="dxa" w:w="2592"/>
            <w:tcMar>
              <w:top w:w="100" w:type="dxa"/>
              <w:start w:w="120" w:type="dxa"/>
              <w:bottom w:w="100" w:type="dxa"/>
              <w:end w:w="120" w:type="dxa"/>
            </w:tcMar>
            <w:vAlign w:val="center"/>
          </w:tcPr>
          <w:p>
            <w:r>
              <w:rPr>
                <w:sz w:val="16"/>
              </w:rPr>
              <w:t>Interview evidence, won/lost reasons, willingness to pay</w:t>
            </w:r>
          </w:p>
        </w:tc>
        <w:tc>
          <w:tcPr>
            <w:tcW w:type="dxa" w:w="2160"/>
            <w:tcMar>
              <w:top w:w="100" w:type="dxa"/>
              <w:start w:w="120" w:type="dxa"/>
              <w:bottom w:w="100" w:type="dxa"/>
              <w:end w:w="120" w:type="dxa"/>
            </w:tcMar>
            <w:vAlign w:val="center"/>
          </w:tcPr>
          <w:p>
            <w:r>
              <w:rPr>
                <w:sz w:val="16"/>
              </w:rPr>
              <w:t>Prospects compare only on décor or coordination price</w:t>
            </w:r>
          </w:p>
        </w:tc>
        <w:tc>
          <w:tcPr>
            <w:tcW w:type="dxa" w:w="2376"/>
            <w:tcMar>
              <w:top w:w="100" w:type="dxa"/>
              <w:start w:w="120" w:type="dxa"/>
              <w:bottom w:w="100" w:type="dxa"/>
              <w:end w:w="120" w:type="dxa"/>
            </w:tcMar>
            <w:vAlign w:val="center"/>
          </w:tcPr>
          <w:p>
            <w:r>
              <w:rPr>
                <w:sz w:val="16"/>
              </w:rPr>
              <w:t>Clarify category, strengthen proof, refine target market</w:t>
            </w:r>
          </w:p>
        </w:tc>
      </w:tr>
      <w:tr>
        <w:tc>
          <w:tcPr>
            <w:tcW w:type="dxa" w:w="2376"/>
            <w:tcMar>
              <w:top w:w="100" w:type="dxa"/>
              <w:start w:w="120" w:type="dxa"/>
              <w:bottom w:w="100" w:type="dxa"/>
              <w:end w:w="120" w:type="dxa"/>
            </w:tcMar>
            <w:vAlign w:val="center"/>
            <w:shd w:fill="F3F0EB"/>
          </w:tcPr>
          <w:p>
            <w:r>
              <w:rPr>
                <w:sz w:val="16"/>
              </w:rPr>
              <w:t>Protocol and operating intelligence differentiate Maison Doclar</w:t>
            </w:r>
          </w:p>
        </w:tc>
        <w:tc>
          <w:tcPr>
            <w:tcW w:type="dxa" w:w="2592"/>
            <w:tcMar>
              <w:top w:w="100" w:type="dxa"/>
              <w:start w:w="120" w:type="dxa"/>
              <w:bottom w:w="100" w:type="dxa"/>
              <w:end w:w="120" w:type="dxa"/>
            </w:tcMar>
            <w:vAlign w:val="center"/>
            <w:shd w:fill="F3F0EB"/>
          </w:tcPr>
          <w:p>
            <w:r>
              <w:rPr>
                <w:sz w:val="16"/>
              </w:rPr>
              <w:t>Case outcomes, partner validation, referral language</w:t>
            </w:r>
          </w:p>
        </w:tc>
        <w:tc>
          <w:tcPr>
            <w:tcW w:type="dxa" w:w="2160"/>
            <w:tcMar>
              <w:top w:w="100" w:type="dxa"/>
              <w:start w:w="120" w:type="dxa"/>
              <w:bottom w:w="100" w:type="dxa"/>
              <w:end w:w="120" w:type="dxa"/>
            </w:tcMar>
            <w:vAlign w:val="center"/>
            <w:shd w:fill="F3F0EB"/>
          </w:tcPr>
          <w:p>
            <w:r>
              <w:rPr>
                <w:sz w:val="16"/>
              </w:rPr>
              <w:t>Claim is not understood or valued</w:t>
            </w:r>
          </w:p>
        </w:tc>
        <w:tc>
          <w:tcPr>
            <w:tcW w:type="dxa" w:w="2376"/>
            <w:tcMar>
              <w:top w:w="100" w:type="dxa"/>
              <w:start w:w="120" w:type="dxa"/>
              <w:bottom w:w="100" w:type="dxa"/>
              <w:end w:w="120" w:type="dxa"/>
            </w:tcMar>
            <w:vAlign w:val="center"/>
            <w:shd w:fill="F3F0EB"/>
          </w:tcPr>
          <w:p>
            <w:r>
              <w:rPr>
                <w:sz w:val="16"/>
              </w:rPr>
              <w:t>Translate into concrete outcomes and examples</w:t>
            </w:r>
          </w:p>
        </w:tc>
      </w:tr>
      <w:tr>
        <w:tc>
          <w:tcPr>
            <w:tcW w:type="dxa" w:w="2376"/>
            <w:tcMar>
              <w:top w:w="100" w:type="dxa"/>
              <w:start w:w="120" w:type="dxa"/>
              <w:bottom w:w="100" w:type="dxa"/>
              <w:end w:w="120" w:type="dxa"/>
            </w:tcMar>
            <w:vAlign w:val="center"/>
          </w:tcPr>
          <w:p>
            <w:r>
              <w:rPr>
                <w:sz w:val="16"/>
              </w:rPr>
              <w:t>Event-led proof produces trusted demand</w:t>
            </w:r>
          </w:p>
        </w:tc>
        <w:tc>
          <w:tcPr>
            <w:tcW w:type="dxa" w:w="2592"/>
            <w:tcMar>
              <w:top w:w="100" w:type="dxa"/>
              <w:start w:w="120" w:type="dxa"/>
              <w:bottom w:w="100" w:type="dxa"/>
              <w:end w:w="120" w:type="dxa"/>
            </w:tcMar>
            <w:vAlign w:val="center"/>
          </w:tcPr>
          <w:p>
            <w:r>
              <w:rPr>
                <w:sz w:val="16"/>
              </w:rPr>
              <w:t>Consent-approved case studies and attributed enquiries</w:t>
            </w:r>
          </w:p>
        </w:tc>
        <w:tc>
          <w:tcPr>
            <w:tcW w:type="dxa" w:w="2160"/>
            <w:tcMar>
              <w:top w:w="100" w:type="dxa"/>
              <w:start w:w="120" w:type="dxa"/>
              <w:bottom w:w="100" w:type="dxa"/>
              <w:end w:w="120" w:type="dxa"/>
            </w:tcMar>
            <w:vAlign w:val="center"/>
          </w:tcPr>
          <w:p>
            <w:r>
              <w:rPr>
                <w:sz w:val="16"/>
              </w:rPr>
              <w:t>Attention without qualified pipeline</w:t>
            </w:r>
          </w:p>
        </w:tc>
        <w:tc>
          <w:tcPr>
            <w:tcW w:type="dxa" w:w="2376"/>
            <w:tcMar>
              <w:top w:w="100" w:type="dxa"/>
              <w:start w:w="120" w:type="dxa"/>
              <w:bottom w:w="100" w:type="dxa"/>
              <w:end w:w="120" w:type="dxa"/>
            </w:tcMar>
            <w:vAlign w:val="center"/>
          </w:tcPr>
          <w:p>
            <w:r>
              <w:rPr>
                <w:sz w:val="16"/>
              </w:rPr>
              <w:t>Change content, CTA, distribution or offer</w:t>
            </w:r>
          </w:p>
        </w:tc>
      </w:tr>
      <w:tr>
        <w:tc>
          <w:tcPr>
            <w:tcW w:type="dxa" w:w="2376"/>
            <w:tcMar>
              <w:top w:w="100" w:type="dxa"/>
              <w:start w:w="120" w:type="dxa"/>
              <w:bottom w:w="100" w:type="dxa"/>
              <w:end w:w="120" w:type="dxa"/>
            </w:tcMar>
            <w:vAlign w:val="center"/>
            <w:shd w:fill="F3F0EB"/>
          </w:tcPr>
          <w:p>
            <w:r>
              <w:rPr>
                <w:sz w:val="16"/>
              </w:rPr>
              <w:t>Software enables consistency without depersonalisation</w:t>
            </w:r>
          </w:p>
        </w:tc>
        <w:tc>
          <w:tcPr>
            <w:tcW w:type="dxa" w:w="2592"/>
            <w:tcMar>
              <w:top w:w="100" w:type="dxa"/>
              <w:start w:w="120" w:type="dxa"/>
              <w:bottom w:w="100" w:type="dxa"/>
              <w:end w:w="120" w:type="dxa"/>
            </w:tcMar>
            <w:vAlign w:val="center"/>
            <w:shd w:fill="F3F0EB"/>
          </w:tcPr>
          <w:p>
            <w:r>
              <w:rPr>
                <w:sz w:val="16"/>
              </w:rPr>
              <w:t>Delivery quality, response time and client feedback</w:t>
            </w:r>
          </w:p>
        </w:tc>
        <w:tc>
          <w:tcPr>
            <w:tcW w:type="dxa" w:w="2160"/>
            <w:tcMar>
              <w:top w:w="100" w:type="dxa"/>
              <w:start w:w="120" w:type="dxa"/>
              <w:bottom w:w="100" w:type="dxa"/>
              <w:end w:w="120" w:type="dxa"/>
            </w:tcMar>
            <w:vAlign w:val="center"/>
            <w:shd w:fill="F3F0EB"/>
          </w:tcPr>
          <w:p>
            <w:r>
              <w:rPr>
                <w:sz w:val="16"/>
              </w:rPr>
              <w:t>Automation creates cold or inappropriate interactions</w:t>
            </w:r>
          </w:p>
        </w:tc>
        <w:tc>
          <w:tcPr>
            <w:tcW w:type="dxa" w:w="2376"/>
            <w:tcMar>
              <w:top w:w="100" w:type="dxa"/>
              <w:start w:w="120" w:type="dxa"/>
              <w:bottom w:w="100" w:type="dxa"/>
              <w:end w:w="120" w:type="dxa"/>
            </w:tcMar>
            <w:vAlign w:val="center"/>
            <w:shd w:fill="F3F0EB"/>
          </w:tcPr>
          <w:p>
            <w:r>
              <w:rPr>
                <w:sz w:val="16"/>
              </w:rPr>
              <w:t>Reduce autonomy and restore human ownership</w:t>
            </w:r>
          </w:p>
        </w:tc>
      </w:tr>
    </w:tbl>
    <w:p/>
    <w:p>
      <w:pPr>
        <w:pStyle w:val="Heading1"/>
      </w:pPr>
      <w:r>
        <w:t>4. Customer and relationship doctrine</w:t>
      </w:r>
    </w:p>
    <w:p>
      <w:pPr>
        <w:pStyle w:val="Heading2"/>
      </w:pPr>
      <w:r>
        <w:t>Clients and commissioning organisations</w:t>
      </w:r>
    </w:p>
    <w:p>
      <w:r>
        <w:t>Respect complexity, confidentiality, commercial responsibility and multiple decision makers. Never assume a family, corporate or institutional buying process is singular.</w:t>
      </w:r>
    </w:p>
    <w:p>
      <w:pPr>
        <w:pStyle w:val="Heading2"/>
      </w:pPr>
      <w:r>
        <w:t>Guests and invitees</w:t>
      </w:r>
    </w:p>
    <w:p>
      <w:r>
        <w:t>Operational participation is not marketing consent. A guest must not be converted into a prospect merely because Maison Doclar helped serve them.</w:t>
      </w:r>
    </w:p>
    <w:p>
      <w:pPr>
        <w:pStyle w:val="Heading2"/>
      </w:pPr>
      <w:r>
        <w:t>Partners, suppliers and venues</w:t>
      </w:r>
    </w:p>
    <w:p>
      <w:r>
        <w:t>Treat relationships as reciprocal assets governed by fit, reliability, rights, attribution and conflicts—not as a lead list.</w:t>
      </w:r>
    </w:p>
    <w:p>
      <w:pPr>
        <w:pStyle w:val="Heading2"/>
      </w:pPr>
      <w:r>
        <w:t>Press and creators</w:t>
      </w:r>
    </w:p>
    <w:p>
      <w:r>
        <w:t>Separate editorial independence, paid relationships, gifting, usage rights and disclosure obligations.</w:t>
      </w:r>
    </w:p>
    <w:p>
      <w:pPr>
        <w:pStyle w:val="Heading2"/>
      </w:pPr>
      <w:r>
        <w:t>Dormant, dissatisfied and vulnerable contacts</w:t>
      </w:r>
    </w:p>
    <w:p>
      <w:r>
        <w:t>Use restraint. Suppression, service recovery and human judgment take priority over reactivation targets.</w:t>
      </w:r>
    </w:p>
    <w:p>
      <w:pPr>
        <w:pStyle w:val="Heading1"/>
      </w:pPr>
      <w:r>
        <w:t>5. Segmentation and ideal-client doctrine</w:t>
      </w:r>
    </w:p>
    <w:p>
      <w:r>
        <w:t>Segmentation must change a useful decision. It may use relationship stage, commissioning context, service need, location, timing, event complexity, strategic fit, affordability, permission and evidence of intent. Protected or highly sensitive traits are not used for targeting unless an approved, lawful and beneficial purpose is explicitly documented.</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728"/>
            <w:shd w:fill="18202A"/>
            <w:tcMar>
              <w:top w:w="100" w:type="dxa"/>
              <w:start w:w="120" w:type="dxa"/>
              <w:bottom w:w="100" w:type="dxa"/>
              <w:end w:w="120" w:type="dxa"/>
            </w:tcMar>
          </w:tcPr>
          <w:p>
            <w:r>
              <w:rPr>
                <w:b/>
                <w:color w:val="FFFFFF"/>
                <w:sz w:val="16"/>
              </w:rPr>
              <w:t>Dimension</w:t>
            </w:r>
          </w:p>
        </w:tc>
        <w:tc>
          <w:tcPr>
            <w:tcW w:type="dxa" w:w="3888"/>
            <w:shd w:fill="18202A"/>
            <w:tcMar>
              <w:top w:w="100" w:type="dxa"/>
              <w:start w:w="120" w:type="dxa"/>
              <w:bottom w:w="100" w:type="dxa"/>
              <w:end w:w="120" w:type="dxa"/>
            </w:tcMar>
          </w:tcPr>
          <w:p>
            <w:r>
              <w:rPr>
                <w:b/>
                <w:color w:val="FFFFFF"/>
                <w:sz w:val="16"/>
              </w:rPr>
              <w:t>Examples</w:t>
            </w:r>
          </w:p>
        </w:tc>
        <w:tc>
          <w:tcPr>
            <w:tcW w:type="dxa" w:w="3744"/>
            <w:shd w:fill="18202A"/>
            <w:tcMar>
              <w:top w:w="100" w:type="dxa"/>
              <w:start w:w="120" w:type="dxa"/>
              <w:bottom w:w="100" w:type="dxa"/>
              <w:end w:w="120" w:type="dxa"/>
            </w:tcMar>
          </w:tcPr>
          <w:p>
            <w:r>
              <w:rPr>
                <w:b/>
                <w:color w:val="FFFFFF"/>
                <w:sz w:val="16"/>
              </w:rPr>
              <w:t>Prohibited shortcut</w:t>
            </w:r>
          </w:p>
        </w:tc>
      </w:tr>
      <w:tr>
        <w:tc>
          <w:tcPr>
            <w:tcW w:type="dxa" w:w="1728"/>
            <w:tcMar>
              <w:top w:w="100" w:type="dxa"/>
              <w:start w:w="120" w:type="dxa"/>
              <w:bottom w:w="100" w:type="dxa"/>
              <w:end w:w="120" w:type="dxa"/>
            </w:tcMar>
            <w:vAlign w:val="center"/>
          </w:tcPr>
          <w:p>
            <w:r>
              <w:rPr>
                <w:sz w:val="16"/>
              </w:rPr>
              <w:t>Need</w:t>
            </w:r>
          </w:p>
        </w:tc>
        <w:tc>
          <w:tcPr>
            <w:tcW w:type="dxa" w:w="3888"/>
            <w:tcMar>
              <w:top w:w="100" w:type="dxa"/>
              <w:start w:w="120" w:type="dxa"/>
              <w:bottom w:w="100" w:type="dxa"/>
              <w:end w:w="120" w:type="dxa"/>
            </w:tcMar>
            <w:vAlign w:val="center"/>
          </w:tcPr>
          <w:p>
            <w:r>
              <w:rPr>
                <w:sz w:val="16"/>
              </w:rPr>
              <w:t>Guest-experience leadership, protocol, command support, private dining</w:t>
            </w:r>
          </w:p>
        </w:tc>
        <w:tc>
          <w:tcPr>
            <w:tcW w:type="dxa" w:w="3744"/>
            <w:tcMar>
              <w:top w:w="100" w:type="dxa"/>
              <w:start w:w="120" w:type="dxa"/>
              <w:bottom w:w="100" w:type="dxa"/>
              <w:end w:w="120" w:type="dxa"/>
            </w:tcMar>
            <w:vAlign w:val="center"/>
          </w:tcPr>
          <w:p>
            <w:r>
              <w:rPr>
                <w:sz w:val="16"/>
              </w:rPr>
              <w:t>Inferring need from status stereotypes</w:t>
            </w:r>
          </w:p>
        </w:tc>
      </w:tr>
      <w:tr>
        <w:tc>
          <w:tcPr>
            <w:tcW w:type="dxa" w:w="1728"/>
            <w:tcMar>
              <w:top w:w="100" w:type="dxa"/>
              <w:start w:w="120" w:type="dxa"/>
              <w:bottom w:w="100" w:type="dxa"/>
              <w:end w:w="120" w:type="dxa"/>
            </w:tcMar>
            <w:vAlign w:val="center"/>
            <w:shd w:fill="F3F0EB"/>
          </w:tcPr>
          <w:p>
            <w:r>
              <w:rPr>
                <w:sz w:val="16"/>
              </w:rPr>
              <w:t>Fit</w:t>
            </w:r>
          </w:p>
        </w:tc>
        <w:tc>
          <w:tcPr>
            <w:tcW w:type="dxa" w:w="3888"/>
            <w:tcMar>
              <w:top w:w="100" w:type="dxa"/>
              <w:start w:w="120" w:type="dxa"/>
              <w:bottom w:w="100" w:type="dxa"/>
              <w:end w:w="120" w:type="dxa"/>
            </w:tcMar>
            <w:vAlign w:val="center"/>
            <w:shd w:fill="F3F0EB"/>
          </w:tcPr>
          <w:p>
            <w:r>
              <w:rPr>
                <w:sz w:val="16"/>
              </w:rPr>
              <w:t>Budget range, complexity, lead time, geography, delivery capacity</w:t>
            </w:r>
          </w:p>
        </w:tc>
        <w:tc>
          <w:tcPr>
            <w:tcW w:type="dxa" w:w="3744"/>
            <w:tcMar>
              <w:top w:w="100" w:type="dxa"/>
              <w:start w:w="120" w:type="dxa"/>
              <w:bottom w:w="100" w:type="dxa"/>
              <w:end w:w="120" w:type="dxa"/>
            </w:tcMar>
            <w:vAlign w:val="center"/>
            <w:shd w:fill="F3F0EB"/>
          </w:tcPr>
          <w:p>
            <w:r>
              <w:rPr>
                <w:sz w:val="16"/>
              </w:rPr>
              <w:t>Treating wealth signals as verified ability or intent</w:t>
            </w:r>
          </w:p>
        </w:tc>
      </w:tr>
      <w:tr>
        <w:tc>
          <w:tcPr>
            <w:tcW w:type="dxa" w:w="1728"/>
            <w:tcMar>
              <w:top w:w="100" w:type="dxa"/>
              <w:start w:w="120" w:type="dxa"/>
              <w:bottom w:w="100" w:type="dxa"/>
              <w:end w:w="120" w:type="dxa"/>
            </w:tcMar>
            <w:vAlign w:val="center"/>
          </w:tcPr>
          <w:p>
            <w:r>
              <w:rPr>
                <w:sz w:val="16"/>
              </w:rPr>
              <w:t>Intent</w:t>
            </w:r>
          </w:p>
        </w:tc>
        <w:tc>
          <w:tcPr>
            <w:tcW w:type="dxa" w:w="3888"/>
            <w:tcMar>
              <w:top w:w="100" w:type="dxa"/>
              <w:start w:w="120" w:type="dxa"/>
              <w:bottom w:w="100" w:type="dxa"/>
              <w:end w:w="120" w:type="dxa"/>
            </w:tcMar>
            <w:vAlign w:val="center"/>
          </w:tcPr>
          <w:p>
            <w:r>
              <w:rPr>
                <w:sz w:val="16"/>
              </w:rPr>
              <w:t>Direct inquiry, consultation booking, proposal engagement</w:t>
            </w:r>
          </w:p>
        </w:tc>
        <w:tc>
          <w:tcPr>
            <w:tcW w:type="dxa" w:w="3744"/>
            <w:tcMar>
              <w:top w:w="100" w:type="dxa"/>
              <w:start w:w="120" w:type="dxa"/>
              <w:bottom w:w="100" w:type="dxa"/>
              <w:end w:w="120" w:type="dxa"/>
            </w:tcMar>
            <w:vAlign w:val="center"/>
          </w:tcPr>
          <w:p>
            <w:r>
              <w:rPr>
                <w:sz w:val="16"/>
              </w:rPr>
              <w:t>Opaque scoring with no reasons or freshness</w:t>
            </w:r>
          </w:p>
        </w:tc>
      </w:tr>
      <w:tr>
        <w:tc>
          <w:tcPr>
            <w:tcW w:type="dxa" w:w="1728"/>
            <w:tcMar>
              <w:top w:w="100" w:type="dxa"/>
              <w:start w:w="120" w:type="dxa"/>
              <w:bottom w:w="100" w:type="dxa"/>
              <w:end w:w="120" w:type="dxa"/>
            </w:tcMar>
            <w:vAlign w:val="center"/>
            <w:shd w:fill="F3F0EB"/>
          </w:tcPr>
          <w:p>
            <w:r>
              <w:rPr>
                <w:sz w:val="16"/>
              </w:rPr>
              <w:t>Relationship</w:t>
            </w:r>
          </w:p>
        </w:tc>
        <w:tc>
          <w:tcPr>
            <w:tcW w:type="dxa" w:w="3888"/>
            <w:tcMar>
              <w:top w:w="100" w:type="dxa"/>
              <w:start w:w="120" w:type="dxa"/>
              <w:bottom w:w="100" w:type="dxa"/>
              <w:end w:w="120" w:type="dxa"/>
            </w:tcMar>
            <w:vAlign w:val="center"/>
            <w:shd w:fill="F3F0EB"/>
          </w:tcPr>
          <w:p>
            <w:r>
              <w:rPr>
                <w:sz w:val="16"/>
              </w:rPr>
              <w:t>New prospect, current client, guest, partner, advocate</w:t>
            </w:r>
          </w:p>
        </w:tc>
        <w:tc>
          <w:tcPr>
            <w:tcW w:type="dxa" w:w="3744"/>
            <w:tcMar>
              <w:top w:w="100" w:type="dxa"/>
              <w:start w:w="120" w:type="dxa"/>
              <w:bottom w:w="100" w:type="dxa"/>
              <w:end w:w="120" w:type="dxa"/>
            </w:tcMar>
            <w:vAlign w:val="center"/>
            <w:shd w:fill="F3F0EB"/>
          </w:tcPr>
          <w:p>
            <w:r>
              <w:rPr>
                <w:sz w:val="16"/>
              </w:rPr>
              <w:t>Combining operational and marketing permissions</w:t>
            </w:r>
          </w:p>
        </w:tc>
      </w:tr>
      <w:tr>
        <w:tc>
          <w:tcPr>
            <w:tcW w:type="dxa" w:w="1728"/>
            <w:tcMar>
              <w:top w:w="100" w:type="dxa"/>
              <w:start w:w="120" w:type="dxa"/>
              <w:bottom w:w="100" w:type="dxa"/>
              <w:end w:w="120" w:type="dxa"/>
            </w:tcMar>
            <w:vAlign w:val="center"/>
          </w:tcPr>
          <w:p>
            <w:r>
              <w:rPr>
                <w:sz w:val="16"/>
              </w:rPr>
              <w:t>Risk</w:t>
            </w:r>
          </w:p>
        </w:tc>
        <w:tc>
          <w:tcPr>
            <w:tcW w:type="dxa" w:w="3888"/>
            <w:tcMar>
              <w:top w:w="100" w:type="dxa"/>
              <w:start w:w="120" w:type="dxa"/>
              <w:bottom w:w="100" w:type="dxa"/>
              <w:end w:w="120" w:type="dxa"/>
            </w:tcMar>
            <w:vAlign w:val="center"/>
          </w:tcPr>
          <w:p>
            <w:r>
              <w:rPr>
                <w:sz w:val="16"/>
              </w:rPr>
              <w:t>Confidentiality, controversy, complaint, safeguarding</w:t>
            </w:r>
          </w:p>
        </w:tc>
        <w:tc>
          <w:tcPr>
            <w:tcW w:type="dxa" w:w="3744"/>
            <w:tcMar>
              <w:top w:w="100" w:type="dxa"/>
              <w:start w:w="120" w:type="dxa"/>
              <w:bottom w:w="100" w:type="dxa"/>
              <w:end w:w="120" w:type="dxa"/>
            </w:tcMar>
            <w:vAlign w:val="center"/>
          </w:tcPr>
          <w:p>
            <w:r>
              <w:rPr>
                <w:sz w:val="16"/>
              </w:rPr>
              <w:t>Automated exclusion without review or appeal</w:t>
            </w:r>
          </w:p>
        </w:tc>
      </w:tr>
    </w:tbl>
    <w:p/>
    <w:p>
      <w:pPr>
        <w:pStyle w:val="Heading1"/>
      </w:pPr>
      <w:r>
        <w:t>6. Offer and commercial doctrine</w:t>
      </w:r>
    </w:p>
    <w:p>
      <w:pPr>
        <w:pStyle w:val="ListBullet"/>
      </w:pPr>
      <w:r>
        <w:t>Every promoted offer must have an approved owner, description, buyer, scope boundary, price authority, capacity rule, margin method, evidence, delivery prerequisites and expiry/review date.</w:t>
      </w:r>
    </w:p>
    <w:p>
      <w:pPr>
        <w:pStyle w:val="ListBullet"/>
      </w:pPr>
      <w:r>
        <w:t>The OS may recommend packaging, price tests and enhancements; it cannot make contractual commitments or unapproved discounts.</w:t>
      </w:r>
    </w:p>
    <w:p>
      <w:pPr>
        <w:pStyle w:val="ListBullet"/>
      </w:pPr>
      <w:r>
        <w:t>Marketing qualified does not mean commercially accepted. Handoff requires fit, need, timing, authority, affordability evidence appropriate to the context, and human review where stakes are high.</w:t>
      </w:r>
    </w:p>
    <w:p>
      <w:pPr>
        <w:pStyle w:val="ListBullet"/>
      </w:pPr>
      <w:r>
        <w:t>A campaign must state the capacity it could consume. When demand threatens service quality, the OS slows, pauses or changes the CTA within pre-approved rules.</w:t>
      </w:r>
    </w:p>
    <w:p>
      <w:pPr>
        <w:pStyle w:val="ListBullet"/>
      </w:pPr>
      <w:r>
        <w:t>Revenue without margin, collectability or delivery feasibility is not marketing success.</w:t>
      </w:r>
    </w:p>
    <w:p>
      <w:pPr>
        <w:pStyle w:val="Heading1"/>
      </w:pPr>
      <w:r>
        <w:t>7. Positioning, messaging and brand voice</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584"/>
            <w:shd w:fill="18202A"/>
            <w:tcMar>
              <w:top w:w="100" w:type="dxa"/>
              <w:start w:w="120" w:type="dxa"/>
              <w:bottom w:w="100" w:type="dxa"/>
              <w:end w:w="120" w:type="dxa"/>
            </w:tcMar>
          </w:tcPr>
          <w:p>
            <w:r>
              <w:rPr>
                <w:b/>
                <w:color w:val="FFFFFF"/>
                <w:sz w:val="16"/>
              </w:rPr>
              <w:t>Layer</w:t>
            </w:r>
          </w:p>
        </w:tc>
        <w:tc>
          <w:tcPr>
            <w:tcW w:type="dxa" w:w="4608"/>
            <w:shd w:fill="18202A"/>
            <w:tcMar>
              <w:top w:w="100" w:type="dxa"/>
              <w:start w:w="120" w:type="dxa"/>
              <w:bottom w:w="100" w:type="dxa"/>
              <w:end w:w="120" w:type="dxa"/>
            </w:tcMar>
          </w:tcPr>
          <w:p>
            <w:r>
              <w:rPr>
                <w:b/>
                <w:color w:val="FFFFFF"/>
                <w:sz w:val="16"/>
              </w:rPr>
              <w:t>Canonical direction</w:t>
            </w:r>
          </w:p>
        </w:tc>
        <w:tc>
          <w:tcPr>
            <w:tcW w:type="dxa" w:w="3168"/>
            <w:shd w:fill="18202A"/>
            <w:tcMar>
              <w:top w:w="100" w:type="dxa"/>
              <w:start w:w="120" w:type="dxa"/>
              <w:bottom w:w="100" w:type="dxa"/>
              <w:end w:w="120" w:type="dxa"/>
            </w:tcMar>
          </w:tcPr>
          <w:p>
            <w:r>
              <w:rPr>
                <w:b/>
                <w:color w:val="FFFFFF"/>
                <w:sz w:val="16"/>
              </w:rPr>
              <w:t>Control</w:t>
            </w:r>
          </w:p>
        </w:tc>
      </w:tr>
      <w:tr>
        <w:tc>
          <w:tcPr>
            <w:tcW w:type="dxa" w:w="1584"/>
            <w:tcMar>
              <w:top w:w="100" w:type="dxa"/>
              <w:start w:w="120" w:type="dxa"/>
              <w:bottom w:w="100" w:type="dxa"/>
              <w:end w:w="120" w:type="dxa"/>
            </w:tcMar>
            <w:vAlign w:val="center"/>
          </w:tcPr>
          <w:p>
            <w:r>
              <w:rPr>
                <w:sz w:val="16"/>
              </w:rPr>
              <w:t>Category</w:t>
            </w:r>
          </w:p>
        </w:tc>
        <w:tc>
          <w:tcPr>
            <w:tcW w:type="dxa" w:w="4608"/>
            <w:tcMar>
              <w:top w:w="100" w:type="dxa"/>
              <w:start w:w="120" w:type="dxa"/>
              <w:bottom w:w="100" w:type="dxa"/>
              <w:end w:w="120" w:type="dxa"/>
            </w:tcMar>
            <w:vAlign w:val="center"/>
          </w:tcPr>
          <w:p>
            <w:r>
              <w:rPr>
                <w:sz w:val="16"/>
              </w:rPr>
              <w:t>White-glove Guest Experience, Protocol &amp; Event Operations</w:t>
            </w:r>
          </w:p>
        </w:tc>
        <w:tc>
          <w:tcPr>
            <w:tcW w:type="dxa" w:w="3168"/>
            <w:tcMar>
              <w:top w:w="100" w:type="dxa"/>
              <w:start w:w="120" w:type="dxa"/>
              <w:bottom w:w="100" w:type="dxa"/>
              <w:end w:w="120" w:type="dxa"/>
            </w:tcMar>
            <w:vAlign w:val="center"/>
          </w:tcPr>
          <w:p>
            <w:r>
              <w:rPr>
                <w:sz w:val="16"/>
              </w:rPr>
              <w:t>CEO-ratified; changes require decision record</w:t>
            </w:r>
          </w:p>
        </w:tc>
      </w:tr>
      <w:tr>
        <w:tc>
          <w:tcPr>
            <w:tcW w:type="dxa" w:w="1584"/>
            <w:tcMar>
              <w:top w:w="100" w:type="dxa"/>
              <w:start w:w="120" w:type="dxa"/>
              <w:bottom w:w="100" w:type="dxa"/>
              <w:end w:w="120" w:type="dxa"/>
            </w:tcMar>
            <w:vAlign w:val="center"/>
            <w:shd w:fill="F3F0EB"/>
          </w:tcPr>
          <w:p>
            <w:r>
              <w:rPr>
                <w:sz w:val="16"/>
              </w:rPr>
              <w:t>Promise</w:t>
            </w:r>
          </w:p>
        </w:tc>
        <w:tc>
          <w:tcPr>
            <w:tcW w:type="dxa" w:w="4608"/>
            <w:tcMar>
              <w:top w:w="100" w:type="dxa"/>
              <w:start w:w="120" w:type="dxa"/>
              <w:bottom w:w="100" w:type="dxa"/>
              <w:end w:w="120" w:type="dxa"/>
            </w:tcMar>
            <w:vAlign w:val="center"/>
            <w:shd w:fill="F3F0EB"/>
          </w:tcPr>
          <w:p>
            <w:r>
              <w:rPr>
                <w:sz w:val="16"/>
              </w:rPr>
              <w:t>Every Guest, Considered.</w:t>
            </w:r>
          </w:p>
        </w:tc>
        <w:tc>
          <w:tcPr>
            <w:tcW w:type="dxa" w:w="3168"/>
            <w:tcMar>
              <w:top w:w="100" w:type="dxa"/>
              <w:start w:w="120" w:type="dxa"/>
              <w:bottom w:w="100" w:type="dxa"/>
              <w:end w:w="120" w:type="dxa"/>
            </w:tcMar>
            <w:vAlign w:val="center"/>
            <w:shd w:fill="F3F0EB"/>
          </w:tcPr>
          <w:p>
            <w:r>
              <w:rPr>
                <w:sz w:val="16"/>
              </w:rPr>
              <w:t>Use as governing promise, not unsupported performance guarantee</w:t>
            </w:r>
          </w:p>
        </w:tc>
      </w:tr>
      <w:tr>
        <w:tc>
          <w:tcPr>
            <w:tcW w:type="dxa" w:w="1584"/>
            <w:tcMar>
              <w:top w:w="100" w:type="dxa"/>
              <w:start w:w="120" w:type="dxa"/>
              <w:bottom w:w="100" w:type="dxa"/>
              <w:end w:w="120" w:type="dxa"/>
            </w:tcMar>
            <w:vAlign w:val="center"/>
          </w:tcPr>
          <w:p>
            <w:r>
              <w:rPr>
                <w:sz w:val="16"/>
              </w:rPr>
              <w:t>Voice</w:t>
            </w:r>
          </w:p>
        </w:tc>
        <w:tc>
          <w:tcPr>
            <w:tcW w:type="dxa" w:w="4608"/>
            <w:tcMar>
              <w:top w:w="100" w:type="dxa"/>
              <w:start w:w="120" w:type="dxa"/>
              <w:bottom w:w="100" w:type="dxa"/>
              <w:end w:w="120" w:type="dxa"/>
            </w:tcMar>
            <w:vAlign w:val="center"/>
          </w:tcPr>
          <w:p>
            <w:r>
              <w:rPr>
                <w:sz w:val="16"/>
              </w:rPr>
              <w:t>Assured, thoughtful, precise, warm, discreet and culturally intelligent</w:t>
            </w:r>
          </w:p>
        </w:tc>
        <w:tc>
          <w:tcPr>
            <w:tcW w:type="dxa" w:w="3168"/>
            <w:tcMar>
              <w:top w:w="100" w:type="dxa"/>
              <w:start w:w="120" w:type="dxa"/>
              <w:bottom w:w="100" w:type="dxa"/>
              <w:end w:w="120" w:type="dxa"/>
            </w:tcMar>
            <w:vAlign w:val="center"/>
          </w:tcPr>
          <w:p>
            <w:r>
              <w:rPr>
                <w:sz w:val="16"/>
              </w:rPr>
              <w:t>No inflated luxury clichés, noise or manufactured exclusivity</w:t>
            </w:r>
          </w:p>
        </w:tc>
      </w:tr>
      <w:tr>
        <w:tc>
          <w:tcPr>
            <w:tcW w:type="dxa" w:w="1584"/>
            <w:tcMar>
              <w:top w:w="100" w:type="dxa"/>
              <w:start w:w="120" w:type="dxa"/>
              <w:bottom w:w="100" w:type="dxa"/>
              <w:end w:w="120" w:type="dxa"/>
            </w:tcMar>
            <w:vAlign w:val="center"/>
            <w:shd w:fill="F3F0EB"/>
          </w:tcPr>
          <w:p>
            <w:r>
              <w:rPr>
                <w:sz w:val="16"/>
              </w:rPr>
              <w:t>Proof</w:t>
            </w:r>
          </w:p>
        </w:tc>
        <w:tc>
          <w:tcPr>
            <w:tcW w:type="dxa" w:w="4608"/>
            <w:tcMar>
              <w:top w:w="100" w:type="dxa"/>
              <w:start w:w="120" w:type="dxa"/>
              <w:bottom w:w="100" w:type="dxa"/>
              <w:end w:w="120" w:type="dxa"/>
            </w:tcMar>
            <w:vAlign w:val="center"/>
            <w:shd w:fill="F3F0EB"/>
          </w:tcPr>
          <w:p>
            <w:r>
              <w:rPr>
                <w:sz w:val="16"/>
              </w:rPr>
              <w:t>Specific approved evidence, client outcomes, process and craft</w:t>
            </w:r>
          </w:p>
        </w:tc>
        <w:tc>
          <w:tcPr>
            <w:tcW w:type="dxa" w:w="3168"/>
            <w:tcMar>
              <w:top w:w="100" w:type="dxa"/>
              <w:start w:w="120" w:type="dxa"/>
              <w:bottom w:w="100" w:type="dxa"/>
              <w:end w:w="120" w:type="dxa"/>
            </w:tcMar>
            <w:vAlign w:val="center"/>
            <w:shd w:fill="F3F0EB"/>
          </w:tcPr>
          <w:p>
            <w:r>
              <w:rPr>
                <w:sz w:val="16"/>
              </w:rPr>
              <w:t>Each factual claim links to evidence and usage rights</w:t>
            </w:r>
          </w:p>
        </w:tc>
      </w:tr>
      <w:tr>
        <w:tc>
          <w:tcPr>
            <w:tcW w:type="dxa" w:w="1584"/>
            <w:tcMar>
              <w:top w:w="100" w:type="dxa"/>
              <w:start w:w="120" w:type="dxa"/>
              <w:bottom w:w="100" w:type="dxa"/>
              <w:end w:w="120" w:type="dxa"/>
            </w:tcMar>
            <w:vAlign w:val="center"/>
          </w:tcPr>
          <w:p>
            <w:r>
              <w:rPr>
                <w:sz w:val="16"/>
              </w:rPr>
              <w:t>CTA</w:t>
            </w:r>
          </w:p>
        </w:tc>
        <w:tc>
          <w:tcPr>
            <w:tcW w:type="dxa" w:w="4608"/>
            <w:tcMar>
              <w:top w:w="100" w:type="dxa"/>
              <w:start w:w="120" w:type="dxa"/>
              <w:bottom w:w="100" w:type="dxa"/>
              <w:end w:w="120" w:type="dxa"/>
            </w:tcMar>
            <w:vAlign w:val="center"/>
          </w:tcPr>
          <w:p>
            <w:r>
              <w:rPr>
                <w:sz w:val="16"/>
              </w:rPr>
              <w:t>Appropriate next step proportional to readiness</w:t>
            </w:r>
          </w:p>
        </w:tc>
        <w:tc>
          <w:tcPr>
            <w:tcW w:type="dxa" w:w="3168"/>
            <w:tcMar>
              <w:top w:w="100" w:type="dxa"/>
              <w:start w:w="120" w:type="dxa"/>
              <w:bottom w:w="100" w:type="dxa"/>
              <w:end w:w="120" w:type="dxa"/>
            </w:tcMar>
            <w:vAlign w:val="center"/>
          </w:tcPr>
          <w:p>
            <w:r>
              <w:rPr>
                <w:sz w:val="16"/>
              </w:rPr>
              <w:t>No coercive urgency or false scarcity</w:t>
            </w:r>
          </w:p>
        </w:tc>
      </w:tr>
    </w:tbl>
    <w:p/>
    <w:p>
      <w:pPr>
        <w:pStyle w:val="Heading1"/>
      </w:pPr>
      <w:r>
        <w:t>8. Full-funnel doctrine</w:t>
      </w:r>
    </w:p>
    <w:p>
      <w:pPr>
        <w:pStyle w:val="Heading2"/>
      </w:pPr>
      <w:r>
        <w:t>Awareness</w:t>
      </w:r>
    </w:p>
    <w:p>
      <w:r>
        <w:t>Help a relevant audience understand the category and remember Maison Doclar. Governing measures: Qualified reach, branded discovery, proof engagement.</w:t>
      </w:r>
    </w:p>
    <w:p>
      <w:pPr>
        <w:pStyle w:val="Heading2"/>
      </w:pPr>
      <w:r>
        <w:t>Acquisition</w:t>
      </w:r>
    </w:p>
    <w:p>
      <w:r>
        <w:t>Create a useful and credible path to identify interest. Governing measures: Qualified sessions, enquiries, acquisition cost.</w:t>
      </w:r>
    </w:p>
    <w:p>
      <w:pPr>
        <w:pStyle w:val="Heading2"/>
      </w:pPr>
      <w:r>
        <w:t>Activation</w:t>
      </w:r>
    </w:p>
    <w:p>
      <w:r>
        <w:t>Move a suitable relationship to the first meaningful commitment. Governing measures: Consultations, brief quality, RSVP/attendance where relevant.</w:t>
      </w:r>
    </w:p>
    <w:p>
      <w:pPr>
        <w:pStyle w:val="Heading2"/>
      </w:pPr>
      <w:r>
        <w:t>Revenue</w:t>
      </w:r>
    </w:p>
    <w:p>
      <w:r>
        <w:t>Support responsible conversion and appropriate expansion. Governing measures: Win rate, net revenue, contribution margin, cycle time.</w:t>
      </w:r>
    </w:p>
    <w:p>
      <w:pPr>
        <w:pStyle w:val="Heading2"/>
      </w:pPr>
      <w:r>
        <w:t>Retention</w:t>
      </w:r>
    </w:p>
    <w:p>
      <w:r>
        <w:t>Preserve trust and recognise future relevance without over-contact. Governing measures: Repeat rate, satisfaction, relationship health.</w:t>
      </w:r>
    </w:p>
    <w:p>
      <w:pPr>
        <w:pStyle w:val="Heading2"/>
      </w:pPr>
      <w:r>
        <w:t>Advocacy</w:t>
      </w:r>
    </w:p>
    <w:p>
      <w:r>
        <w:t>Invite recommendation when experience, consent and timing justify it. Governing measures: Qualified referrals, approved proof, advocacy quality.</w:t>
      </w:r>
    </w:p>
    <w:p>
      <w:pPr>
        <w:pStyle w:val="Heading1"/>
      </w:pPr>
      <w:r>
        <w:t>9. Channel doctrine</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872"/>
            <w:shd w:fill="18202A"/>
            <w:tcMar>
              <w:top w:w="100" w:type="dxa"/>
              <w:start w:w="120" w:type="dxa"/>
              <w:bottom w:w="100" w:type="dxa"/>
              <w:end w:w="120" w:type="dxa"/>
            </w:tcMar>
          </w:tcPr>
          <w:p>
            <w:r>
              <w:rPr>
                <w:b/>
                <w:color w:val="FFFFFF"/>
                <w:sz w:val="16"/>
              </w:rPr>
              <w:t>Channel</w:t>
            </w:r>
          </w:p>
        </w:tc>
        <w:tc>
          <w:tcPr>
            <w:tcW w:type="dxa" w:w="3528"/>
            <w:shd w:fill="18202A"/>
            <w:tcMar>
              <w:top w:w="100" w:type="dxa"/>
              <w:start w:w="120" w:type="dxa"/>
              <w:bottom w:w="100" w:type="dxa"/>
              <w:end w:w="120" w:type="dxa"/>
            </w:tcMar>
          </w:tcPr>
          <w:p>
            <w:r>
              <w:rPr>
                <w:b/>
                <w:color w:val="FFFFFF"/>
                <w:sz w:val="16"/>
              </w:rPr>
              <w:t>Proper role</w:t>
            </w:r>
          </w:p>
        </w:tc>
        <w:tc>
          <w:tcPr>
            <w:tcW w:type="dxa" w:w="3960"/>
            <w:shd w:fill="18202A"/>
            <w:tcMar>
              <w:top w:w="100" w:type="dxa"/>
              <w:start w:w="120" w:type="dxa"/>
              <w:bottom w:w="100" w:type="dxa"/>
              <w:end w:w="120" w:type="dxa"/>
            </w:tcMar>
          </w:tcPr>
          <w:p>
            <w:r>
              <w:rPr>
                <w:b/>
                <w:color w:val="FFFFFF"/>
                <w:sz w:val="16"/>
              </w:rPr>
              <w:t>Non-negotiable boundary</w:t>
            </w:r>
          </w:p>
        </w:tc>
      </w:tr>
      <w:tr>
        <w:tc>
          <w:tcPr>
            <w:tcW w:type="dxa" w:w="1872"/>
            <w:tcMar>
              <w:top w:w="100" w:type="dxa"/>
              <w:start w:w="120" w:type="dxa"/>
              <w:bottom w:w="100" w:type="dxa"/>
              <w:end w:w="120" w:type="dxa"/>
            </w:tcMar>
            <w:vAlign w:val="center"/>
          </w:tcPr>
          <w:p>
            <w:r>
              <w:rPr>
                <w:sz w:val="16"/>
              </w:rPr>
              <w:t>Website / owned editorial</w:t>
            </w:r>
          </w:p>
        </w:tc>
        <w:tc>
          <w:tcPr>
            <w:tcW w:type="dxa" w:w="3528"/>
            <w:tcMar>
              <w:top w:w="100" w:type="dxa"/>
              <w:start w:w="120" w:type="dxa"/>
              <w:bottom w:w="100" w:type="dxa"/>
              <w:end w:w="120" w:type="dxa"/>
            </w:tcMar>
            <w:vAlign w:val="center"/>
          </w:tcPr>
          <w:p>
            <w:r>
              <w:rPr>
                <w:sz w:val="16"/>
              </w:rPr>
              <w:t>Authoritative explanation, proof and conversion</w:t>
            </w:r>
          </w:p>
        </w:tc>
        <w:tc>
          <w:tcPr>
            <w:tcW w:type="dxa" w:w="3960"/>
            <w:tcMar>
              <w:top w:w="100" w:type="dxa"/>
              <w:start w:w="120" w:type="dxa"/>
              <w:bottom w:w="100" w:type="dxa"/>
              <w:end w:w="120" w:type="dxa"/>
            </w:tcMar>
            <w:vAlign w:val="center"/>
          </w:tcPr>
          <w:p>
            <w:r>
              <w:rPr>
                <w:sz w:val="16"/>
              </w:rPr>
              <w:t>Accessibility, truth, performance and source-controlled claims</w:t>
            </w:r>
          </w:p>
        </w:tc>
      </w:tr>
      <w:tr>
        <w:tc>
          <w:tcPr>
            <w:tcW w:type="dxa" w:w="1872"/>
            <w:tcMar>
              <w:top w:w="100" w:type="dxa"/>
              <w:start w:w="120" w:type="dxa"/>
              <w:bottom w:w="100" w:type="dxa"/>
              <w:end w:w="120" w:type="dxa"/>
            </w:tcMar>
            <w:vAlign w:val="center"/>
            <w:shd w:fill="F3F0EB"/>
          </w:tcPr>
          <w:p>
            <w:r>
              <w:rPr>
                <w:sz w:val="16"/>
              </w:rPr>
              <w:t>Email</w:t>
            </w:r>
          </w:p>
        </w:tc>
        <w:tc>
          <w:tcPr>
            <w:tcW w:type="dxa" w:w="3528"/>
            <w:tcMar>
              <w:top w:w="100" w:type="dxa"/>
              <w:start w:w="120" w:type="dxa"/>
              <w:bottom w:w="100" w:type="dxa"/>
              <w:end w:w="120" w:type="dxa"/>
            </w:tcMar>
            <w:vAlign w:val="center"/>
            <w:shd w:fill="F3F0EB"/>
          </w:tcPr>
          <w:p>
            <w:r>
              <w:rPr>
                <w:sz w:val="16"/>
              </w:rPr>
              <w:t>Considered nurture and relationship stewardship</w:t>
            </w:r>
          </w:p>
        </w:tc>
        <w:tc>
          <w:tcPr>
            <w:tcW w:type="dxa" w:w="3960"/>
            <w:tcMar>
              <w:top w:w="100" w:type="dxa"/>
              <w:start w:w="120" w:type="dxa"/>
              <w:bottom w:w="100" w:type="dxa"/>
              <w:end w:w="120" w:type="dxa"/>
            </w:tcMar>
            <w:vAlign w:val="center"/>
            <w:shd w:fill="F3F0EB"/>
          </w:tcPr>
          <w:p>
            <w:r>
              <w:rPr>
                <w:sz w:val="16"/>
              </w:rPr>
              <w:t>Consent/soft-opt-in decision, suppression and deliverability</w:t>
            </w:r>
          </w:p>
        </w:tc>
      </w:tr>
      <w:tr>
        <w:tc>
          <w:tcPr>
            <w:tcW w:type="dxa" w:w="1872"/>
            <w:tcMar>
              <w:top w:w="100" w:type="dxa"/>
              <w:start w:w="120" w:type="dxa"/>
              <w:bottom w:w="100" w:type="dxa"/>
              <w:end w:w="120" w:type="dxa"/>
            </w:tcMar>
            <w:vAlign w:val="center"/>
          </w:tcPr>
          <w:p>
            <w:r>
              <w:rPr>
                <w:sz w:val="16"/>
              </w:rPr>
              <w:t>WhatsApp / SMS</w:t>
            </w:r>
          </w:p>
        </w:tc>
        <w:tc>
          <w:tcPr>
            <w:tcW w:type="dxa" w:w="3528"/>
            <w:tcMar>
              <w:top w:w="100" w:type="dxa"/>
              <w:start w:w="120" w:type="dxa"/>
              <w:bottom w:w="100" w:type="dxa"/>
              <w:end w:w="120" w:type="dxa"/>
            </w:tcMar>
            <w:vAlign w:val="center"/>
          </w:tcPr>
          <w:p>
            <w:r>
              <w:rPr>
                <w:sz w:val="16"/>
              </w:rPr>
              <w:t>High-relevance, timely communication</w:t>
            </w:r>
          </w:p>
        </w:tc>
        <w:tc>
          <w:tcPr>
            <w:tcW w:type="dxa" w:w="3960"/>
            <w:tcMar>
              <w:top w:w="100" w:type="dxa"/>
              <w:start w:w="120" w:type="dxa"/>
              <w:bottom w:w="100" w:type="dxa"/>
              <w:end w:w="120" w:type="dxa"/>
            </w:tcMar>
            <w:vAlign w:val="center"/>
          </w:tcPr>
          <w:p>
            <w:r>
              <w:rPr>
                <w:sz w:val="16"/>
              </w:rPr>
              <w:t>Purpose-specific permission; do not equate event messaging with marketing</w:t>
            </w:r>
          </w:p>
        </w:tc>
      </w:tr>
      <w:tr>
        <w:tc>
          <w:tcPr>
            <w:tcW w:type="dxa" w:w="1872"/>
            <w:tcMar>
              <w:top w:w="100" w:type="dxa"/>
              <w:start w:w="120" w:type="dxa"/>
              <w:bottom w:w="100" w:type="dxa"/>
              <w:end w:w="120" w:type="dxa"/>
            </w:tcMar>
            <w:vAlign w:val="center"/>
            <w:shd w:fill="F3F0EB"/>
          </w:tcPr>
          <w:p>
            <w:r>
              <w:rPr>
                <w:sz w:val="16"/>
              </w:rPr>
              <w:t>Instagram / Facebook</w:t>
            </w:r>
          </w:p>
        </w:tc>
        <w:tc>
          <w:tcPr>
            <w:tcW w:type="dxa" w:w="3528"/>
            <w:tcMar>
              <w:top w:w="100" w:type="dxa"/>
              <w:start w:w="120" w:type="dxa"/>
              <w:bottom w:w="100" w:type="dxa"/>
              <w:end w:w="120" w:type="dxa"/>
            </w:tcMar>
            <w:vAlign w:val="center"/>
            <w:shd w:fill="F3F0EB"/>
          </w:tcPr>
          <w:p>
            <w:r>
              <w:rPr>
                <w:sz w:val="16"/>
              </w:rPr>
              <w:t>Visual proof, community and appropriate conversation</w:t>
            </w:r>
          </w:p>
        </w:tc>
        <w:tc>
          <w:tcPr>
            <w:tcW w:type="dxa" w:w="3960"/>
            <w:tcMar>
              <w:top w:w="100" w:type="dxa"/>
              <w:start w:w="120" w:type="dxa"/>
              <w:bottom w:w="100" w:type="dxa"/>
              <w:end w:w="120" w:type="dxa"/>
            </w:tcMar>
            <w:vAlign w:val="center"/>
            <w:shd w:fill="F3F0EB"/>
          </w:tcPr>
          <w:p>
            <w:r>
              <w:rPr>
                <w:sz w:val="16"/>
              </w:rPr>
              <w:t>Capabilities depend on account/API permissions; sensitive replies remain human</w:t>
            </w:r>
          </w:p>
        </w:tc>
      </w:tr>
      <w:tr>
        <w:tc>
          <w:tcPr>
            <w:tcW w:type="dxa" w:w="1872"/>
            <w:tcMar>
              <w:top w:w="100" w:type="dxa"/>
              <w:start w:w="120" w:type="dxa"/>
              <w:bottom w:w="100" w:type="dxa"/>
              <w:end w:w="120" w:type="dxa"/>
            </w:tcMar>
            <w:vAlign w:val="center"/>
          </w:tcPr>
          <w:p>
            <w:r>
              <w:rPr>
                <w:sz w:val="16"/>
              </w:rPr>
              <w:t>Paid media</w:t>
            </w:r>
          </w:p>
        </w:tc>
        <w:tc>
          <w:tcPr>
            <w:tcW w:type="dxa" w:w="3528"/>
            <w:tcMar>
              <w:top w:w="100" w:type="dxa"/>
              <w:start w:w="120" w:type="dxa"/>
              <w:bottom w:w="100" w:type="dxa"/>
              <w:end w:w="120" w:type="dxa"/>
            </w:tcMar>
            <w:vAlign w:val="center"/>
          </w:tcPr>
          <w:p>
            <w:r>
              <w:rPr>
                <w:sz w:val="16"/>
              </w:rPr>
              <w:t>Controlled acceleration of validated offers</w:t>
            </w:r>
          </w:p>
        </w:tc>
        <w:tc>
          <w:tcPr>
            <w:tcW w:type="dxa" w:w="3960"/>
            <w:tcMar>
              <w:top w:w="100" w:type="dxa"/>
              <w:start w:w="120" w:type="dxa"/>
              <w:bottom w:w="100" w:type="dxa"/>
              <w:end w:w="120" w:type="dxa"/>
            </w:tcMar>
            <w:vAlign w:val="center"/>
          </w:tcPr>
          <w:p>
            <w:r>
              <w:rPr>
                <w:sz w:val="16"/>
              </w:rPr>
              <w:t>Hard spend caps, verified tracking, preview and rollback</w:t>
            </w:r>
          </w:p>
        </w:tc>
      </w:tr>
      <w:tr>
        <w:tc>
          <w:tcPr>
            <w:tcW w:type="dxa" w:w="1872"/>
            <w:tcMar>
              <w:top w:w="100" w:type="dxa"/>
              <w:start w:w="120" w:type="dxa"/>
              <w:bottom w:w="100" w:type="dxa"/>
              <w:end w:w="120" w:type="dxa"/>
            </w:tcMar>
            <w:vAlign w:val="center"/>
            <w:shd w:fill="F3F0EB"/>
          </w:tcPr>
          <w:p>
            <w:r>
              <w:rPr>
                <w:sz w:val="16"/>
              </w:rPr>
              <w:t>PR / creators / partners</w:t>
            </w:r>
          </w:p>
        </w:tc>
        <w:tc>
          <w:tcPr>
            <w:tcW w:type="dxa" w:w="3528"/>
            <w:tcMar>
              <w:top w:w="100" w:type="dxa"/>
              <w:start w:w="120" w:type="dxa"/>
              <w:bottom w:w="100" w:type="dxa"/>
              <w:end w:w="120" w:type="dxa"/>
            </w:tcMar>
            <w:vAlign w:val="center"/>
            <w:shd w:fill="F3F0EB"/>
          </w:tcPr>
          <w:p>
            <w:r>
              <w:rPr>
                <w:sz w:val="16"/>
              </w:rPr>
              <w:t>Borrowed trust and category authority</w:t>
            </w:r>
          </w:p>
        </w:tc>
        <w:tc>
          <w:tcPr>
            <w:tcW w:type="dxa" w:w="3960"/>
            <w:tcMar>
              <w:top w:w="100" w:type="dxa"/>
              <w:start w:w="120" w:type="dxa"/>
              <w:bottom w:w="100" w:type="dxa"/>
              <w:end w:w="120" w:type="dxa"/>
            </w:tcMar>
            <w:vAlign w:val="center"/>
            <w:shd w:fill="F3F0EB"/>
          </w:tcPr>
          <w:p>
            <w:r>
              <w:rPr>
                <w:sz w:val="16"/>
              </w:rPr>
              <w:t>Rights, disclosures, editorial independence and attribution</w:t>
            </w:r>
          </w:p>
        </w:tc>
      </w:tr>
      <w:tr>
        <w:tc>
          <w:tcPr>
            <w:tcW w:type="dxa" w:w="1872"/>
            <w:tcMar>
              <w:top w:w="100" w:type="dxa"/>
              <w:start w:w="120" w:type="dxa"/>
              <w:bottom w:w="100" w:type="dxa"/>
              <w:end w:w="120" w:type="dxa"/>
            </w:tcMar>
            <w:vAlign w:val="center"/>
          </w:tcPr>
          <w:p>
            <w:r>
              <w:rPr>
                <w:sz w:val="16"/>
              </w:rPr>
              <w:t>Offline / event-led</w:t>
            </w:r>
          </w:p>
        </w:tc>
        <w:tc>
          <w:tcPr>
            <w:tcW w:type="dxa" w:w="3528"/>
            <w:tcMar>
              <w:top w:w="100" w:type="dxa"/>
              <w:start w:w="120" w:type="dxa"/>
              <w:bottom w:w="100" w:type="dxa"/>
              <w:end w:w="120" w:type="dxa"/>
            </w:tcMar>
            <w:vAlign w:val="center"/>
          </w:tcPr>
          <w:p>
            <w:r>
              <w:rPr>
                <w:sz w:val="16"/>
              </w:rPr>
              <w:t>Physical proof, referral and memory</w:t>
            </w:r>
          </w:p>
        </w:tc>
        <w:tc>
          <w:tcPr>
            <w:tcW w:type="dxa" w:w="3960"/>
            <w:tcMar>
              <w:top w:w="100" w:type="dxa"/>
              <w:start w:w="120" w:type="dxa"/>
              <w:bottom w:w="100" w:type="dxa"/>
              <w:end w:w="120" w:type="dxa"/>
            </w:tcMar>
            <w:vAlign w:val="center"/>
          </w:tcPr>
          <w:p>
            <w:r>
              <w:rPr>
                <w:sz w:val="16"/>
              </w:rPr>
              <w:t>Guest dignity, rights and operational non-interference</w:t>
            </w:r>
          </w:p>
        </w:tc>
      </w:tr>
    </w:tbl>
    <w:p/>
    <w:p>
      <w:pPr>
        <w:pStyle w:val="Heading1"/>
      </w:pPr>
      <w:r>
        <w:t>10. Content, creative and evidence doctrine</w:t>
      </w:r>
    </w:p>
    <w:p>
      <w:pPr>
        <w:pStyle w:val="ListNumber"/>
      </w:pPr>
      <w:r>
        <w:t>Begin with a defined audience decision and purpose, not a format trend.</w:t>
      </w:r>
    </w:p>
    <w:p>
      <w:pPr>
        <w:pStyle w:val="ListNumber"/>
      </w:pPr>
      <w:r>
        <w:t>Retrieve only approved doctrine, evidence and current research appropriate to the task.</w:t>
      </w:r>
    </w:p>
    <w:p>
      <w:pPr>
        <w:pStyle w:val="ListNumber"/>
      </w:pPr>
      <w:r>
        <w:t>Generate structured content with claims, evidence links, assumptions, rights and risk flags.</w:t>
      </w:r>
    </w:p>
    <w:p>
      <w:pPr>
        <w:pStyle w:val="ListNumber"/>
      </w:pPr>
      <w:r>
        <w:t>Evaluate brand, factual, cultural, accessibility, channel and conversion quality.</w:t>
      </w:r>
    </w:p>
    <w:p>
      <w:pPr>
        <w:pStyle w:val="ListNumber"/>
      </w:pPr>
      <w:r>
        <w:t>Require approval at the risk level specified by policy.</w:t>
      </w:r>
    </w:p>
    <w:p>
      <w:pPr>
        <w:pStyle w:val="ListNumber"/>
      </w:pPr>
      <w:r>
        <w:t>Publish only through a verified connector and preserve the exact approved version.</w:t>
      </w:r>
    </w:p>
    <w:p>
      <w:pPr>
        <w:pStyle w:val="ListNumber"/>
      </w:pPr>
      <w:r>
        <w:t>Measure downstream behaviour and record reusable learning without converting correlation into causation.</w:t>
      </w:r>
    </w:p>
    <w:p>
      <w:pPr>
        <w:pStyle w:val="Heading1"/>
      </w:pPr>
      <w:r>
        <w:t>11. Research and competitive-intelligence doctrine</w:t>
      </w:r>
    </w:p>
    <w:p>
      <w:pPr>
        <w:pStyle w:val="ListBullet"/>
      </w:pPr>
      <w:r>
        <w:t>Every research item identifies source, author/publisher where known, URL/reference, observation date, jurisdiction, evidence type, reliability, freshness and whether the conclusion is fact or inference.</w:t>
      </w:r>
    </w:p>
    <w:p>
      <w:pPr>
        <w:pStyle w:val="ListBullet"/>
      </w:pPr>
      <w:r>
        <w:t>Competitor public claims are recorded as competitor claims, not established facts.</w:t>
      </w:r>
    </w:p>
    <w:p>
      <w:pPr>
        <w:pStyle w:val="ListBullet"/>
      </w:pPr>
      <w:r>
        <w:t>No invented market size, price, reach, demand or conversion benchmark.</w:t>
      </w:r>
    </w:p>
    <w:p>
      <w:pPr>
        <w:pStyle w:val="ListBullet"/>
      </w:pPr>
      <w:r>
        <w:t>Absence of evidence is shown as an evidence gap; it is not filled with a confident narrative.</w:t>
      </w:r>
    </w:p>
    <w:p>
      <w:pPr>
        <w:pStyle w:val="ListBullet"/>
      </w:pPr>
      <w:r>
        <w:t>Personal data is not scraped, enriched or combined merely because a tool makes it technically possible.</w:t>
      </w:r>
    </w:p>
    <w:p>
      <w:pPr>
        <w:pStyle w:val="ListBullet"/>
      </w:pPr>
      <w:r>
        <w:t>Research conclusions expire or are reviewed according to volatility and decision consequence.</w:t>
      </w:r>
    </w:p>
    <w:p>
      <w:pPr>
        <w:pStyle w:val="Heading1"/>
      </w:pPr>
      <w:r>
        <w:t>12. Measurement, attribution and experimentation doctrine</w:t>
      </w:r>
    </w:p>
    <w:tbl>
      <w:tblPr>
        <w:tblW w:type="auto" w:w="0"/>
        <w:tblLook w:firstColumn="1" w:firstRow="1" w:lastColumn="0" w:lastRow="0" w:noHBand="0" w:noVBand="1" w:val="04A0"/>
      </w:tblPr>
      <w:tblGrid>
        <w:gridCol w:w="9504"/>
      </w:tblGrid>
      <w:tr>
        <w:tc>
          <w:tcPr>
            <w:tcW w:type="dxa" w:w="9504"/>
            <w:shd w:fill="F3F0EB"/>
            <w:tcMar>
              <w:top w:w="140" w:type="dxa"/>
              <w:start w:w="160" w:type="dxa"/>
              <w:bottom w:w="140" w:type="dxa"/>
              <w:end w:w="160" w:type="dxa"/>
            </w:tcMar>
          </w:tcPr>
          <w:p>
            <w:r>
              <w:rPr>
                <w:b/>
              </w:rPr>
              <w:t xml:space="preserve">Measurement hierarchy: </w:t>
            </w:r>
            <w:r>
              <w:t>Business outcomes and service quality outrank platform-reported engagement. A metric is useful only when it supports a decision.</w:t>
            </w:r>
          </w:p>
        </w:tc>
      </w:tr>
    </w:tbl>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800"/>
            <w:shd w:fill="18202A"/>
            <w:tcMar>
              <w:top w:w="100" w:type="dxa"/>
              <w:start w:w="120" w:type="dxa"/>
              <w:bottom w:w="100" w:type="dxa"/>
              <w:end w:w="120" w:type="dxa"/>
            </w:tcMar>
          </w:tcPr>
          <w:p>
            <w:r>
              <w:rPr>
                <w:b/>
                <w:color w:val="FFFFFF"/>
                <w:sz w:val="16"/>
              </w:rPr>
              <w:t>Evidence class</w:t>
            </w:r>
          </w:p>
        </w:tc>
        <w:tc>
          <w:tcPr>
            <w:tcW w:type="dxa" w:w="3384"/>
            <w:shd w:fill="18202A"/>
            <w:tcMar>
              <w:top w:w="100" w:type="dxa"/>
              <w:start w:w="120" w:type="dxa"/>
              <w:bottom w:w="100" w:type="dxa"/>
              <w:end w:w="120" w:type="dxa"/>
            </w:tcMar>
          </w:tcPr>
          <w:p>
            <w:r>
              <w:rPr>
                <w:b/>
                <w:color w:val="FFFFFF"/>
                <w:sz w:val="16"/>
              </w:rPr>
              <w:t>Meaning</w:t>
            </w:r>
          </w:p>
        </w:tc>
        <w:tc>
          <w:tcPr>
            <w:tcW w:type="dxa" w:w="4320"/>
            <w:shd w:fill="18202A"/>
            <w:tcMar>
              <w:top w:w="100" w:type="dxa"/>
              <w:start w:w="120" w:type="dxa"/>
              <w:bottom w:w="100" w:type="dxa"/>
              <w:end w:w="120" w:type="dxa"/>
            </w:tcMar>
          </w:tcPr>
          <w:p>
            <w:r>
              <w:rPr>
                <w:b/>
                <w:color w:val="FFFFFF"/>
                <w:sz w:val="16"/>
              </w:rPr>
              <w:t>Permitted language</w:t>
            </w:r>
          </w:p>
        </w:tc>
      </w:tr>
      <w:tr>
        <w:tc>
          <w:tcPr>
            <w:tcW w:type="dxa" w:w="1800"/>
            <w:tcMar>
              <w:top w:w="100" w:type="dxa"/>
              <w:start w:w="120" w:type="dxa"/>
              <w:bottom w:w="100" w:type="dxa"/>
              <w:end w:w="120" w:type="dxa"/>
            </w:tcMar>
            <w:vAlign w:val="center"/>
          </w:tcPr>
          <w:p>
            <w:r>
              <w:rPr>
                <w:sz w:val="16"/>
              </w:rPr>
              <w:t>Observed</w:t>
            </w:r>
          </w:p>
        </w:tc>
        <w:tc>
          <w:tcPr>
            <w:tcW w:type="dxa" w:w="3384"/>
            <w:tcMar>
              <w:top w:w="100" w:type="dxa"/>
              <w:start w:w="120" w:type="dxa"/>
              <w:bottom w:w="100" w:type="dxa"/>
              <w:end w:w="120" w:type="dxa"/>
            </w:tcMar>
            <w:vAlign w:val="center"/>
          </w:tcPr>
          <w:p>
            <w:r>
              <w:rPr>
                <w:sz w:val="16"/>
              </w:rPr>
              <w:t>Directly recorded event with known provenance</w:t>
            </w:r>
          </w:p>
        </w:tc>
        <w:tc>
          <w:tcPr>
            <w:tcW w:type="dxa" w:w="4320"/>
            <w:tcMar>
              <w:top w:w="100" w:type="dxa"/>
              <w:start w:w="120" w:type="dxa"/>
              <w:bottom w:w="100" w:type="dxa"/>
              <w:end w:w="120" w:type="dxa"/>
            </w:tcMar>
            <w:vAlign w:val="center"/>
          </w:tcPr>
          <w:p>
            <w:r>
              <w:rPr>
                <w:sz w:val="16"/>
              </w:rPr>
              <w:t>“The system recorded…”</w:t>
            </w:r>
          </w:p>
        </w:tc>
      </w:tr>
      <w:tr>
        <w:tc>
          <w:tcPr>
            <w:tcW w:type="dxa" w:w="1800"/>
            <w:tcMar>
              <w:top w:w="100" w:type="dxa"/>
              <w:start w:w="120" w:type="dxa"/>
              <w:bottom w:w="100" w:type="dxa"/>
              <w:end w:w="120" w:type="dxa"/>
            </w:tcMar>
            <w:vAlign w:val="center"/>
            <w:shd w:fill="F3F0EB"/>
          </w:tcPr>
          <w:p>
            <w:r>
              <w:rPr>
                <w:sz w:val="16"/>
              </w:rPr>
              <w:t>Attributed</w:t>
            </w:r>
          </w:p>
        </w:tc>
        <w:tc>
          <w:tcPr>
            <w:tcW w:type="dxa" w:w="3384"/>
            <w:tcMar>
              <w:top w:w="100" w:type="dxa"/>
              <w:start w:w="120" w:type="dxa"/>
              <w:bottom w:w="100" w:type="dxa"/>
              <w:end w:w="120" w:type="dxa"/>
            </w:tcMar>
            <w:vAlign w:val="center"/>
            <w:shd w:fill="F3F0EB"/>
          </w:tcPr>
          <w:p>
            <w:r>
              <w:rPr>
                <w:sz w:val="16"/>
              </w:rPr>
              <w:t>Assigned under a disclosed model</w:t>
            </w:r>
          </w:p>
        </w:tc>
        <w:tc>
          <w:tcPr>
            <w:tcW w:type="dxa" w:w="4320"/>
            <w:tcMar>
              <w:top w:w="100" w:type="dxa"/>
              <w:start w:w="120" w:type="dxa"/>
              <w:bottom w:w="100" w:type="dxa"/>
              <w:end w:w="120" w:type="dxa"/>
            </w:tcMar>
            <w:vAlign w:val="center"/>
            <w:shd w:fill="F3F0EB"/>
          </w:tcPr>
          <w:p>
            <w:r>
              <w:rPr>
                <w:sz w:val="16"/>
              </w:rPr>
              <w:t>“Under the selected attribution model…”</w:t>
            </w:r>
          </w:p>
        </w:tc>
      </w:tr>
      <w:tr>
        <w:tc>
          <w:tcPr>
            <w:tcW w:type="dxa" w:w="1800"/>
            <w:tcMar>
              <w:top w:w="100" w:type="dxa"/>
              <w:start w:w="120" w:type="dxa"/>
              <w:bottom w:w="100" w:type="dxa"/>
              <w:end w:w="120" w:type="dxa"/>
            </w:tcMar>
            <w:vAlign w:val="center"/>
          </w:tcPr>
          <w:p>
            <w:r>
              <w:rPr>
                <w:sz w:val="16"/>
              </w:rPr>
              <w:t>Experimental</w:t>
            </w:r>
          </w:p>
        </w:tc>
        <w:tc>
          <w:tcPr>
            <w:tcW w:type="dxa" w:w="3384"/>
            <w:tcMar>
              <w:top w:w="100" w:type="dxa"/>
              <w:start w:w="120" w:type="dxa"/>
              <w:bottom w:w="100" w:type="dxa"/>
              <w:end w:w="120" w:type="dxa"/>
            </w:tcMar>
            <w:vAlign w:val="center"/>
          </w:tcPr>
          <w:p>
            <w:r>
              <w:rPr>
                <w:sz w:val="16"/>
              </w:rPr>
              <w:t>Supported by a designed comparison</w:t>
            </w:r>
          </w:p>
        </w:tc>
        <w:tc>
          <w:tcPr>
            <w:tcW w:type="dxa" w:w="4320"/>
            <w:tcMar>
              <w:top w:w="100" w:type="dxa"/>
              <w:start w:w="120" w:type="dxa"/>
              <w:bottom w:w="100" w:type="dxa"/>
              <w:end w:w="120" w:type="dxa"/>
            </w:tcMar>
            <w:vAlign w:val="center"/>
          </w:tcPr>
          <w:p>
            <w:r>
              <w:rPr>
                <w:sz w:val="16"/>
              </w:rPr>
              <w:t>“The test estimates…”</w:t>
            </w:r>
          </w:p>
        </w:tc>
      </w:tr>
      <w:tr>
        <w:tc>
          <w:tcPr>
            <w:tcW w:type="dxa" w:w="1800"/>
            <w:tcMar>
              <w:top w:w="100" w:type="dxa"/>
              <w:start w:w="120" w:type="dxa"/>
              <w:bottom w:w="100" w:type="dxa"/>
              <w:end w:w="120" w:type="dxa"/>
            </w:tcMar>
            <w:vAlign w:val="center"/>
            <w:shd w:fill="F3F0EB"/>
          </w:tcPr>
          <w:p>
            <w:r>
              <w:rPr>
                <w:sz w:val="16"/>
              </w:rPr>
              <w:t>Inferred</w:t>
            </w:r>
          </w:p>
        </w:tc>
        <w:tc>
          <w:tcPr>
            <w:tcW w:type="dxa" w:w="3384"/>
            <w:tcMar>
              <w:top w:w="100" w:type="dxa"/>
              <w:start w:w="120" w:type="dxa"/>
              <w:bottom w:w="100" w:type="dxa"/>
              <w:end w:w="120" w:type="dxa"/>
            </w:tcMar>
            <w:vAlign w:val="center"/>
            <w:shd w:fill="F3F0EB"/>
          </w:tcPr>
          <w:p>
            <w:r>
              <w:rPr>
                <w:sz w:val="16"/>
              </w:rPr>
              <w:t>Reasoned from incomplete evidence</w:t>
            </w:r>
          </w:p>
        </w:tc>
        <w:tc>
          <w:tcPr>
            <w:tcW w:type="dxa" w:w="4320"/>
            <w:tcMar>
              <w:top w:w="100" w:type="dxa"/>
              <w:start w:w="120" w:type="dxa"/>
              <w:bottom w:w="100" w:type="dxa"/>
              <w:end w:w="120" w:type="dxa"/>
            </w:tcMar>
            <w:vAlign w:val="center"/>
            <w:shd w:fill="F3F0EB"/>
          </w:tcPr>
          <w:p>
            <w:r>
              <w:rPr>
                <w:sz w:val="16"/>
              </w:rPr>
              <w:t>“The evidence suggests…”</w:t>
            </w:r>
          </w:p>
        </w:tc>
      </w:tr>
      <w:tr>
        <w:tc>
          <w:tcPr>
            <w:tcW w:type="dxa" w:w="1800"/>
            <w:tcMar>
              <w:top w:w="100" w:type="dxa"/>
              <w:start w:w="120" w:type="dxa"/>
              <w:bottom w:w="100" w:type="dxa"/>
              <w:end w:w="120" w:type="dxa"/>
            </w:tcMar>
            <w:vAlign w:val="center"/>
          </w:tcPr>
          <w:p>
            <w:r>
              <w:rPr>
                <w:sz w:val="16"/>
              </w:rPr>
              <w:t>Forecast</w:t>
            </w:r>
          </w:p>
        </w:tc>
        <w:tc>
          <w:tcPr>
            <w:tcW w:type="dxa" w:w="3384"/>
            <w:tcMar>
              <w:top w:w="100" w:type="dxa"/>
              <w:start w:w="120" w:type="dxa"/>
              <w:bottom w:w="100" w:type="dxa"/>
              <w:end w:w="120" w:type="dxa"/>
            </w:tcMar>
            <w:vAlign w:val="center"/>
          </w:tcPr>
          <w:p>
            <w:r>
              <w:rPr>
                <w:sz w:val="16"/>
              </w:rPr>
              <w:t>Modelled future outcome with assumptions</w:t>
            </w:r>
          </w:p>
        </w:tc>
        <w:tc>
          <w:tcPr>
            <w:tcW w:type="dxa" w:w="4320"/>
            <w:tcMar>
              <w:top w:w="100" w:type="dxa"/>
              <w:start w:w="120" w:type="dxa"/>
              <w:bottom w:w="100" w:type="dxa"/>
              <w:end w:w="120" w:type="dxa"/>
            </w:tcMar>
            <w:vAlign w:val="center"/>
          </w:tcPr>
          <w:p>
            <w:r>
              <w:rPr>
                <w:sz w:val="16"/>
              </w:rPr>
              <w:t>“The scenario projects…”</w:t>
            </w:r>
          </w:p>
        </w:tc>
      </w:tr>
    </w:tbl>
    <w:p/>
    <w:p>
      <w:r>
        <w:t>Experiments require a decision, hypothesis, primary metric, guardrails, eligibility, sample/readiness assessment, stopping rule, analysis method and written interpretation. Small samples must display uncertainty; the OS must be willing to conclude “insufficient evidence”.</w:t>
      </w:r>
    </w:p>
    <w:p>
      <w:pPr>
        <w:pStyle w:val="Heading1"/>
      </w:pPr>
      <w:r>
        <w:t>13. AI operating doctrine</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2016"/>
            <w:shd w:fill="18202A"/>
            <w:tcMar>
              <w:top w:w="100" w:type="dxa"/>
              <w:start w:w="120" w:type="dxa"/>
              <w:bottom w:w="100" w:type="dxa"/>
              <w:end w:w="120" w:type="dxa"/>
            </w:tcMar>
          </w:tcPr>
          <w:p>
            <w:r>
              <w:rPr>
                <w:b/>
                <w:color w:val="FFFFFF"/>
                <w:sz w:val="16"/>
              </w:rPr>
              <w:t>Autonomy level</w:t>
            </w:r>
          </w:p>
        </w:tc>
        <w:tc>
          <w:tcPr>
            <w:tcW w:type="dxa" w:w="3888"/>
            <w:shd w:fill="18202A"/>
            <w:tcMar>
              <w:top w:w="100" w:type="dxa"/>
              <w:start w:w="120" w:type="dxa"/>
              <w:bottom w:w="100" w:type="dxa"/>
              <w:end w:w="120" w:type="dxa"/>
            </w:tcMar>
          </w:tcPr>
          <w:p>
            <w:r>
              <w:rPr>
                <w:b/>
                <w:color w:val="FFFFFF"/>
                <w:sz w:val="16"/>
              </w:rPr>
              <w:t>AI authority</w:t>
            </w:r>
          </w:p>
        </w:tc>
        <w:tc>
          <w:tcPr>
            <w:tcW w:type="dxa" w:w="3600"/>
            <w:shd w:fill="18202A"/>
            <w:tcMar>
              <w:top w:w="100" w:type="dxa"/>
              <w:start w:w="120" w:type="dxa"/>
              <w:bottom w:w="100" w:type="dxa"/>
              <w:end w:w="120" w:type="dxa"/>
            </w:tcMar>
          </w:tcPr>
          <w:p>
            <w:r>
              <w:rPr>
                <w:b/>
                <w:color w:val="FFFFFF"/>
                <w:sz w:val="16"/>
              </w:rPr>
              <w:t>Examples</w:t>
            </w:r>
          </w:p>
        </w:tc>
      </w:tr>
      <w:tr>
        <w:tc>
          <w:tcPr>
            <w:tcW w:type="dxa" w:w="2016"/>
            <w:tcMar>
              <w:top w:w="100" w:type="dxa"/>
              <w:start w:w="120" w:type="dxa"/>
              <w:bottom w:w="100" w:type="dxa"/>
              <w:end w:w="120" w:type="dxa"/>
            </w:tcMar>
            <w:vAlign w:val="center"/>
          </w:tcPr>
          <w:p>
            <w:r>
              <w:rPr>
                <w:sz w:val="16"/>
              </w:rPr>
              <w:t>Observe</w:t>
            </w:r>
          </w:p>
        </w:tc>
        <w:tc>
          <w:tcPr>
            <w:tcW w:type="dxa" w:w="3888"/>
            <w:tcMar>
              <w:top w:w="100" w:type="dxa"/>
              <w:start w:w="120" w:type="dxa"/>
              <w:bottom w:w="100" w:type="dxa"/>
              <w:end w:w="120" w:type="dxa"/>
            </w:tcMar>
            <w:vAlign w:val="center"/>
          </w:tcPr>
          <w:p>
            <w:r>
              <w:rPr>
                <w:sz w:val="16"/>
              </w:rPr>
              <w:t>Read and describe; no external action</w:t>
            </w:r>
          </w:p>
        </w:tc>
        <w:tc>
          <w:tcPr>
            <w:tcW w:type="dxa" w:w="3600"/>
            <w:tcMar>
              <w:top w:w="100" w:type="dxa"/>
              <w:start w:w="120" w:type="dxa"/>
              <w:bottom w:w="100" w:type="dxa"/>
              <w:end w:w="120" w:type="dxa"/>
            </w:tcMar>
            <w:vAlign w:val="center"/>
          </w:tcPr>
          <w:p>
            <w:r>
              <w:rPr>
                <w:sz w:val="16"/>
              </w:rPr>
              <w:t>Diagnostics, anomaly flags</w:t>
            </w:r>
          </w:p>
        </w:tc>
      </w:tr>
      <w:tr>
        <w:tc>
          <w:tcPr>
            <w:tcW w:type="dxa" w:w="2016"/>
            <w:tcMar>
              <w:top w:w="100" w:type="dxa"/>
              <w:start w:w="120" w:type="dxa"/>
              <w:bottom w:w="100" w:type="dxa"/>
              <w:end w:w="120" w:type="dxa"/>
            </w:tcMar>
            <w:vAlign w:val="center"/>
            <w:shd w:fill="F3F0EB"/>
          </w:tcPr>
          <w:p>
            <w:r>
              <w:rPr>
                <w:sz w:val="16"/>
              </w:rPr>
              <w:t>Draft</w:t>
            </w:r>
          </w:p>
        </w:tc>
        <w:tc>
          <w:tcPr>
            <w:tcW w:type="dxa" w:w="3888"/>
            <w:tcMar>
              <w:top w:w="100" w:type="dxa"/>
              <w:start w:w="120" w:type="dxa"/>
              <w:bottom w:w="100" w:type="dxa"/>
              <w:end w:w="120" w:type="dxa"/>
            </w:tcMar>
            <w:vAlign w:val="center"/>
            <w:shd w:fill="F3F0EB"/>
          </w:tcPr>
          <w:p>
            <w:r>
              <w:rPr>
                <w:sz w:val="16"/>
              </w:rPr>
              <w:t>Prepare work for review</w:t>
            </w:r>
          </w:p>
        </w:tc>
        <w:tc>
          <w:tcPr>
            <w:tcW w:type="dxa" w:w="3600"/>
            <w:tcMar>
              <w:top w:w="100" w:type="dxa"/>
              <w:start w:w="120" w:type="dxa"/>
              <w:bottom w:w="100" w:type="dxa"/>
              <w:end w:w="120" w:type="dxa"/>
            </w:tcMar>
            <w:vAlign w:val="center"/>
            <w:shd w:fill="F3F0EB"/>
          </w:tcPr>
          <w:p>
            <w:r>
              <w:rPr>
                <w:sz w:val="16"/>
              </w:rPr>
              <w:t>Plans, posts, responses, briefs</w:t>
            </w:r>
          </w:p>
        </w:tc>
      </w:tr>
      <w:tr>
        <w:tc>
          <w:tcPr>
            <w:tcW w:type="dxa" w:w="2016"/>
            <w:tcMar>
              <w:top w:w="100" w:type="dxa"/>
              <w:start w:w="120" w:type="dxa"/>
              <w:bottom w:w="100" w:type="dxa"/>
              <w:end w:w="120" w:type="dxa"/>
            </w:tcMar>
            <w:vAlign w:val="center"/>
          </w:tcPr>
          <w:p>
            <w:r>
              <w:rPr>
                <w:sz w:val="16"/>
              </w:rPr>
              <w:t>Recommend</w:t>
            </w:r>
          </w:p>
        </w:tc>
        <w:tc>
          <w:tcPr>
            <w:tcW w:type="dxa" w:w="3888"/>
            <w:tcMar>
              <w:top w:w="100" w:type="dxa"/>
              <w:start w:w="120" w:type="dxa"/>
              <w:bottom w:w="100" w:type="dxa"/>
              <w:end w:w="120" w:type="dxa"/>
            </w:tcMar>
            <w:vAlign w:val="center"/>
          </w:tcPr>
          <w:p>
            <w:r>
              <w:rPr>
                <w:sz w:val="16"/>
              </w:rPr>
              <w:t>Rank options with evidence and consequences</w:t>
            </w:r>
          </w:p>
        </w:tc>
        <w:tc>
          <w:tcPr>
            <w:tcW w:type="dxa" w:w="3600"/>
            <w:tcMar>
              <w:top w:w="100" w:type="dxa"/>
              <w:start w:w="120" w:type="dxa"/>
              <w:bottom w:w="100" w:type="dxa"/>
              <w:end w:w="120" w:type="dxa"/>
            </w:tcMar>
            <w:vAlign w:val="center"/>
          </w:tcPr>
          <w:p>
            <w:r>
              <w:rPr>
                <w:sz w:val="16"/>
              </w:rPr>
              <w:t>Budget mix, experiment, next action</w:t>
            </w:r>
          </w:p>
        </w:tc>
      </w:tr>
      <w:tr>
        <w:tc>
          <w:tcPr>
            <w:tcW w:type="dxa" w:w="2016"/>
            <w:tcMar>
              <w:top w:w="100" w:type="dxa"/>
              <w:start w:w="120" w:type="dxa"/>
              <w:bottom w:w="100" w:type="dxa"/>
              <w:end w:w="120" w:type="dxa"/>
            </w:tcMar>
            <w:vAlign w:val="center"/>
            <w:shd w:fill="F3F0EB"/>
          </w:tcPr>
          <w:p>
            <w:r>
              <w:rPr>
                <w:sz w:val="16"/>
              </w:rPr>
              <w:t>Guardrailed execute</w:t>
            </w:r>
          </w:p>
        </w:tc>
        <w:tc>
          <w:tcPr>
            <w:tcW w:type="dxa" w:w="3888"/>
            <w:tcMar>
              <w:top w:w="100" w:type="dxa"/>
              <w:start w:w="120" w:type="dxa"/>
              <w:bottom w:w="100" w:type="dxa"/>
              <w:end w:w="120" w:type="dxa"/>
            </w:tcMar>
            <w:vAlign w:val="center"/>
            <w:shd w:fill="F3F0EB"/>
          </w:tcPr>
          <w:p>
            <w:r>
              <w:rPr>
                <w:sz w:val="16"/>
              </w:rPr>
              <w:t>Execute approved low-risk policy</w:t>
            </w:r>
          </w:p>
        </w:tc>
        <w:tc>
          <w:tcPr>
            <w:tcW w:type="dxa" w:w="3600"/>
            <w:tcMar>
              <w:top w:w="100" w:type="dxa"/>
              <w:start w:w="120" w:type="dxa"/>
              <w:bottom w:w="100" w:type="dxa"/>
              <w:end w:w="120" w:type="dxa"/>
            </w:tcMar>
            <w:vAlign w:val="center"/>
            <w:shd w:fill="F3F0EB"/>
          </w:tcPr>
          <w:p>
            <w:r>
              <w:rPr>
                <w:sz w:val="16"/>
              </w:rPr>
              <w:t>Scheduled approved content, suppression propagation</w:t>
            </w:r>
          </w:p>
        </w:tc>
      </w:tr>
      <w:tr>
        <w:tc>
          <w:tcPr>
            <w:tcW w:type="dxa" w:w="2016"/>
            <w:tcMar>
              <w:top w:w="100" w:type="dxa"/>
              <w:start w:w="120" w:type="dxa"/>
              <w:bottom w:w="100" w:type="dxa"/>
              <w:end w:w="120" w:type="dxa"/>
            </w:tcMar>
            <w:vAlign w:val="center"/>
          </w:tcPr>
          <w:p>
            <w:r>
              <w:rPr>
                <w:sz w:val="16"/>
              </w:rPr>
              <w:t>Prohibited</w:t>
            </w:r>
          </w:p>
        </w:tc>
        <w:tc>
          <w:tcPr>
            <w:tcW w:type="dxa" w:w="3888"/>
            <w:tcMar>
              <w:top w:w="100" w:type="dxa"/>
              <w:start w:w="120" w:type="dxa"/>
              <w:bottom w:w="100" w:type="dxa"/>
              <w:end w:w="120" w:type="dxa"/>
            </w:tcMar>
            <w:vAlign w:val="center"/>
          </w:tcPr>
          <w:p>
            <w:r>
              <w:rPr>
                <w:sz w:val="16"/>
              </w:rPr>
              <w:t>Never independently execute</w:t>
            </w:r>
          </w:p>
        </w:tc>
        <w:tc>
          <w:tcPr>
            <w:tcW w:type="dxa" w:w="3600"/>
            <w:tcMar>
              <w:top w:w="100" w:type="dxa"/>
              <w:start w:w="120" w:type="dxa"/>
              <w:bottom w:w="100" w:type="dxa"/>
              <w:end w:w="120" w:type="dxa"/>
            </w:tcMar>
            <w:vAlign w:val="center"/>
          </w:tcPr>
          <w:p>
            <w:r>
              <w:rPr>
                <w:sz w:val="16"/>
              </w:rPr>
              <w:t>Contract, crisis statement, sensitive complaint, unbounded spend</w:t>
            </w:r>
          </w:p>
        </w:tc>
      </w:tr>
    </w:tbl>
    <w:p/>
    <w:p>
      <w:pPr>
        <w:pStyle w:val="ListBullet"/>
      </w:pPr>
      <w:r>
        <w:t>Every material output carries model/prompt version, context policy, evidence references, confidence, risk, approval status and audit link.</w:t>
      </w:r>
    </w:p>
    <w:p>
      <w:pPr>
        <w:pStyle w:val="ListBullet"/>
      </w:pPr>
      <w:r>
        <w:t>AI confidence is not treated as calibrated probability unless calibration is demonstrated.</w:t>
      </w:r>
    </w:p>
    <w:p>
      <w:pPr>
        <w:pStyle w:val="ListBullet"/>
      </w:pPr>
      <w:r>
        <w:t>Model change requires regression evaluation against a controlled test set.</w:t>
      </w:r>
    </w:p>
    <w:p>
      <w:pPr>
        <w:pStyle w:val="ListBullet"/>
      </w:pPr>
      <w:r>
        <w:t>Human overrides are recorded with reason and outcome; they improve policy but do not silently retrain production behaviour.</w:t>
      </w:r>
    </w:p>
    <w:p>
      <w:pPr>
        <w:pStyle w:val="ListBullet"/>
      </w:pPr>
      <w:r>
        <w:t>Emergency stop, connector disablement and policy rollback remain available to authorised humans.</w:t>
      </w:r>
    </w:p>
    <w:p>
      <w:pPr>
        <w:pStyle w:val="Heading1"/>
      </w:pPr>
      <w:r>
        <w:t>14. Privacy, dignity, safety and inclusion</w:t>
      </w:r>
    </w:p>
    <w:p>
      <w:r>
        <w:t>Legal review must determine jurisdiction-specific lawful bases, consent language, retention and international transfer arrangements. The product must enforce the ratified policy and fail closed when authority is absent. Accessibility, respectful language and alternative communication routes are product requirements rather than optional brand polish.</w:t>
      </w:r>
    </w:p>
    <w:p>
      <w:pPr>
        <w:pStyle w:val="Heading1"/>
      </w:pPr>
      <w:r>
        <w:t>15. Governance, decision rights and change control</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2304"/>
            <w:shd w:fill="18202A"/>
            <w:tcMar>
              <w:top w:w="100" w:type="dxa"/>
              <w:start w:w="120" w:type="dxa"/>
              <w:bottom w:w="100" w:type="dxa"/>
              <w:end w:w="120" w:type="dxa"/>
            </w:tcMar>
          </w:tcPr>
          <w:p>
            <w:r>
              <w:rPr>
                <w:b/>
                <w:color w:val="FFFFFF"/>
                <w:sz w:val="16"/>
              </w:rPr>
              <w:t>Decision</w:t>
            </w:r>
          </w:p>
        </w:tc>
        <w:tc>
          <w:tcPr>
            <w:tcW w:type="dxa" w:w="2880"/>
            <w:shd w:fill="18202A"/>
            <w:tcMar>
              <w:top w:w="100" w:type="dxa"/>
              <w:start w:w="120" w:type="dxa"/>
              <w:bottom w:w="100" w:type="dxa"/>
              <w:end w:w="120" w:type="dxa"/>
            </w:tcMar>
          </w:tcPr>
          <w:p>
            <w:r>
              <w:rPr>
                <w:b/>
                <w:color w:val="FFFFFF"/>
                <w:sz w:val="16"/>
              </w:rPr>
              <w:t>Proposed authority</w:t>
            </w:r>
          </w:p>
        </w:tc>
        <w:tc>
          <w:tcPr>
            <w:tcW w:type="dxa" w:w="4320"/>
            <w:shd w:fill="18202A"/>
            <w:tcMar>
              <w:top w:w="100" w:type="dxa"/>
              <w:start w:w="120" w:type="dxa"/>
              <w:bottom w:w="100" w:type="dxa"/>
              <w:end w:w="120" w:type="dxa"/>
            </w:tcMar>
          </w:tcPr>
          <w:p>
            <w:r>
              <w:rPr>
                <w:b/>
                <w:color w:val="FFFFFF"/>
                <w:sz w:val="16"/>
              </w:rPr>
              <w:t>System treatment</w:t>
            </w:r>
          </w:p>
        </w:tc>
      </w:tr>
      <w:tr>
        <w:tc>
          <w:tcPr>
            <w:tcW w:type="dxa" w:w="2304"/>
            <w:tcMar>
              <w:top w:w="100" w:type="dxa"/>
              <w:start w:w="120" w:type="dxa"/>
              <w:bottom w:w="100" w:type="dxa"/>
              <w:end w:w="120" w:type="dxa"/>
            </w:tcMar>
            <w:vAlign w:val="center"/>
          </w:tcPr>
          <w:p>
            <w:r>
              <w:rPr>
                <w:sz w:val="16"/>
              </w:rPr>
              <w:t>Category, core promise, market entry</w:t>
            </w:r>
          </w:p>
        </w:tc>
        <w:tc>
          <w:tcPr>
            <w:tcW w:type="dxa" w:w="2880"/>
            <w:tcMar>
              <w:top w:w="100" w:type="dxa"/>
              <w:start w:w="120" w:type="dxa"/>
              <w:bottom w:w="100" w:type="dxa"/>
              <w:end w:w="120" w:type="dxa"/>
            </w:tcMar>
            <w:vAlign w:val="center"/>
          </w:tcPr>
          <w:p>
            <w:r>
              <w:rPr>
                <w:sz w:val="16"/>
              </w:rPr>
              <w:t>CEO</w:t>
            </w:r>
          </w:p>
        </w:tc>
        <w:tc>
          <w:tcPr>
            <w:tcW w:type="dxa" w:w="4320"/>
            <w:tcMar>
              <w:top w:w="100" w:type="dxa"/>
              <w:start w:w="120" w:type="dxa"/>
              <w:bottom w:w="100" w:type="dxa"/>
              <w:end w:w="120" w:type="dxa"/>
            </w:tcMar>
            <w:vAlign w:val="center"/>
          </w:tcPr>
          <w:p>
            <w:r>
              <w:rPr>
                <w:sz w:val="16"/>
              </w:rPr>
              <w:t>Ratification and versioned doctrine</w:t>
            </w:r>
          </w:p>
        </w:tc>
      </w:tr>
      <w:tr>
        <w:tc>
          <w:tcPr>
            <w:tcW w:type="dxa" w:w="2304"/>
            <w:tcMar>
              <w:top w:w="100" w:type="dxa"/>
              <w:start w:w="120" w:type="dxa"/>
              <w:bottom w:w="100" w:type="dxa"/>
              <w:end w:w="120" w:type="dxa"/>
            </w:tcMar>
            <w:vAlign w:val="center"/>
            <w:shd w:fill="F3F0EB"/>
          </w:tcPr>
          <w:p>
            <w:r>
              <w:rPr>
                <w:sz w:val="16"/>
              </w:rPr>
              <w:t>Routine approved copy</w:t>
            </w:r>
          </w:p>
        </w:tc>
        <w:tc>
          <w:tcPr>
            <w:tcW w:type="dxa" w:w="2880"/>
            <w:tcMar>
              <w:top w:w="100" w:type="dxa"/>
              <w:start w:w="120" w:type="dxa"/>
              <w:bottom w:w="100" w:type="dxa"/>
              <w:end w:w="120" w:type="dxa"/>
            </w:tcMar>
            <w:vAlign w:val="center"/>
            <w:shd w:fill="F3F0EB"/>
          </w:tcPr>
          <w:p>
            <w:r>
              <w:rPr>
                <w:sz w:val="16"/>
              </w:rPr>
              <w:t>Marketing operator / approved policy</w:t>
            </w:r>
          </w:p>
        </w:tc>
        <w:tc>
          <w:tcPr>
            <w:tcW w:type="dxa" w:w="4320"/>
            <w:tcMar>
              <w:top w:w="100" w:type="dxa"/>
              <w:start w:w="120" w:type="dxa"/>
              <w:bottom w:w="100" w:type="dxa"/>
              <w:end w:w="120" w:type="dxa"/>
            </w:tcMar>
            <w:vAlign w:val="center"/>
            <w:shd w:fill="F3F0EB"/>
          </w:tcPr>
          <w:p>
            <w:r>
              <w:rPr>
                <w:sz w:val="16"/>
              </w:rPr>
              <w:t>Workflow approval according to risk</w:t>
            </w:r>
          </w:p>
        </w:tc>
      </w:tr>
      <w:tr>
        <w:tc>
          <w:tcPr>
            <w:tcW w:type="dxa" w:w="2304"/>
            <w:tcMar>
              <w:top w:w="100" w:type="dxa"/>
              <w:start w:w="120" w:type="dxa"/>
              <w:bottom w:w="100" w:type="dxa"/>
              <w:end w:w="120" w:type="dxa"/>
            </w:tcMar>
            <w:vAlign w:val="center"/>
          </w:tcPr>
          <w:p>
            <w:r>
              <w:rPr>
                <w:sz w:val="16"/>
              </w:rPr>
              <w:t>Public claim or case study</w:t>
            </w:r>
          </w:p>
        </w:tc>
        <w:tc>
          <w:tcPr>
            <w:tcW w:type="dxa" w:w="2880"/>
            <w:tcMar>
              <w:top w:w="100" w:type="dxa"/>
              <w:start w:w="120" w:type="dxa"/>
              <w:bottom w:w="100" w:type="dxa"/>
              <w:end w:w="120" w:type="dxa"/>
            </w:tcMar>
            <w:vAlign w:val="center"/>
          </w:tcPr>
          <w:p>
            <w:r>
              <w:rPr>
                <w:sz w:val="16"/>
              </w:rPr>
              <w:t>Evidence owner + brand authority</w:t>
            </w:r>
          </w:p>
        </w:tc>
        <w:tc>
          <w:tcPr>
            <w:tcW w:type="dxa" w:w="4320"/>
            <w:tcMar>
              <w:top w:w="100" w:type="dxa"/>
              <w:start w:w="120" w:type="dxa"/>
              <w:bottom w:w="100" w:type="dxa"/>
              <w:end w:w="120" w:type="dxa"/>
            </w:tcMar>
            <w:vAlign w:val="center"/>
          </w:tcPr>
          <w:p>
            <w:r>
              <w:rPr>
                <w:sz w:val="16"/>
              </w:rPr>
              <w:t>Block without substantiation and rights</w:t>
            </w:r>
          </w:p>
        </w:tc>
      </w:tr>
      <w:tr>
        <w:tc>
          <w:tcPr>
            <w:tcW w:type="dxa" w:w="2304"/>
            <w:tcMar>
              <w:top w:w="100" w:type="dxa"/>
              <w:start w:w="120" w:type="dxa"/>
              <w:bottom w:w="100" w:type="dxa"/>
              <w:end w:w="120" w:type="dxa"/>
            </w:tcMar>
            <w:vAlign w:val="center"/>
            <w:shd w:fill="F3F0EB"/>
          </w:tcPr>
          <w:p>
            <w:r>
              <w:rPr>
                <w:sz w:val="16"/>
              </w:rPr>
              <w:t>Paid spend</w:t>
            </w:r>
          </w:p>
        </w:tc>
        <w:tc>
          <w:tcPr>
            <w:tcW w:type="dxa" w:w="2880"/>
            <w:tcMar>
              <w:top w:w="100" w:type="dxa"/>
              <w:start w:w="120" w:type="dxa"/>
              <w:bottom w:w="100" w:type="dxa"/>
              <w:end w:w="120" w:type="dxa"/>
            </w:tcMar>
            <w:vAlign w:val="center"/>
            <w:shd w:fill="F3F0EB"/>
          </w:tcPr>
          <w:p>
            <w:r>
              <w:rPr>
                <w:sz w:val="16"/>
              </w:rPr>
              <w:t>Budget authority</w:t>
            </w:r>
          </w:p>
        </w:tc>
        <w:tc>
          <w:tcPr>
            <w:tcW w:type="dxa" w:w="4320"/>
            <w:tcMar>
              <w:top w:w="100" w:type="dxa"/>
              <w:start w:w="120" w:type="dxa"/>
              <w:bottom w:w="100" w:type="dxa"/>
              <w:end w:w="120" w:type="dxa"/>
            </w:tcMar>
            <w:vAlign w:val="center"/>
            <w:shd w:fill="F3F0EB"/>
          </w:tcPr>
          <w:p>
            <w:r>
              <w:rPr>
                <w:sz w:val="16"/>
              </w:rPr>
              <w:t>Hard cap, preview, idempotency and rollback</w:t>
            </w:r>
          </w:p>
        </w:tc>
      </w:tr>
      <w:tr>
        <w:tc>
          <w:tcPr>
            <w:tcW w:type="dxa" w:w="2304"/>
            <w:tcMar>
              <w:top w:w="100" w:type="dxa"/>
              <w:start w:w="120" w:type="dxa"/>
              <w:bottom w:w="100" w:type="dxa"/>
              <w:end w:w="120" w:type="dxa"/>
            </w:tcMar>
            <w:vAlign w:val="center"/>
          </w:tcPr>
          <w:p>
            <w:r>
              <w:rPr>
                <w:sz w:val="16"/>
              </w:rPr>
              <w:t>Sensitive client/guest response</w:t>
            </w:r>
          </w:p>
        </w:tc>
        <w:tc>
          <w:tcPr>
            <w:tcW w:type="dxa" w:w="2880"/>
            <w:tcMar>
              <w:top w:w="100" w:type="dxa"/>
              <w:start w:w="120" w:type="dxa"/>
              <w:bottom w:w="100" w:type="dxa"/>
              <w:end w:w="120" w:type="dxa"/>
            </w:tcMar>
            <w:vAlign w:val="center"/>
          </w:tcPr>
          <w:p>
            <w:r>
              <w:rPr>
                <w:sz w:val="16"/>
              </w:rPr>
              <w:t>Named senior human</w:t>
            </w:r>
          </w:p>
        </w:tc>
        <w:tc>
          <w:tcPr>
            <w:tcW w:type="dxa" w:w="4320"/>
            <w:tcMar>
              <w:top w:w="100" w:type="dxa"/>
              <w:start w:w="120" w:type="dxa"/>
              <w:bottom w:w="100" w:type="dxa"/>
              <w:end w:w="120" w:type="dxa"/>
            </w:tcMar>
            <w:vAlign w:val="center"/>
          </w:tcPr>
          <w:p>
            <w:r>
              <w:rPr>
                <w:sz w:val="16"/>
              </w:rPr>
              <w:t>No autonomous publication</w:t>
            </w:r>
          </w:p>
        </w:tc>
      </w:tr>
      <w:tr>
        <w:tc>
          <w:tcPr>
            <w:tcW w:type="dxa" w:w="2304"/>
            <w:tcMar>
              <w:top w:w="100" w:type="dxa"/>
              <w:start w:w="120" w:type="dxa"/>
              <w:bottom w:w="100" w:type="dxa"/>
              <w:end w:w="120" w:type="dxa"/>
            </w:tcMar>
            <w:vAlign w:val="center"/>
            <w:shd w:fill="F3F0EB"/>
          </w:tcPr>
          <w:p>
            <w:r>
              <w:rPr>
                <w:sz w:val="16"/>
              </w:rPr>
              <w:t>Legal/privacy policy</w:t>
            </w:r>
          </w:p>
        </w:tc>
        <w:tc>
          <w:tcPr>
            <w:tcW w:type="dxa" w:w="2880"/>
            <w:tcMar>
              <w:top w:w="100" w:type="dxa"/>
              <w:start w:w="120" w:type="dxa"/>
              <w:bottom w:w="100" w:type="dxa"/>
              <w:end w:w="120" w:type="dxa"/>
            </w:tcMar>
            <w:vAlign w:val="center"/>
            <w:shd w:fill="F3F0EB"/>
          </w:tcPr>
          <w:p>
            <w:r>
              <w:rPr>
                <w:sz w:val="16"/>
              </w:rPr>
              <w:t>Qualified adviser + CEO ratification</w:t>
            </w:r>
          </w:p>
        </w:tc>
        <w:tc>
          <w:tcPr>
            <w:tcW w:type="dxa" w:w="4320"/>
            <w:tcMar>
              <w:top w:w="100" w:type="dxa"/>
              <w:start w:w="120" w:type="dxa"/>
              <w:bottom w:w="100" w:type="dxa"/>
              <w:end w:w="120" w:type="dxa"/>
            </w:tcMar>
            <w:vAlign w:val="center"/>
            <w:shd w:fill="F3F0EB"/>
          </w:tcPr>
          <w:p>
            <w:r>
              <w:rPr>
                <w:sz w:val="16"/>
              </w:rPr>
              <w:t>Configurable policy; unresolved state blocks action</w:t>
            </w:r>
          </w:p>
        </w:tc>
      </w:tr>
      <w:tr>
        <w:tc>
          <w:tcPr>
            <w:tcW w:type="dxa" w:w="2304"/>
            <w:tcMar>
              <w:top w:w="100" w:type="dxa"/>
              <w:start w:w="120" w:type="dxa"/>
              <w:bottom w:w="100" w:type="dxa"/>
              <w:end w:w="120" w:type="dxa"/>
            </w:tcMar>
            <w:vAlign w:val="center"/>
          </w:tcPr>
          <w:p>
            <w:r>
              <w:rPr>
                <w:sz w:val="16"/>
              </w:rPr>
              <w:t>Protocol/cultural assertion</w:t>
            </w:r>
          </w:p>
        </w:tc>
        <w:tc>
          <w:tcPr>
            <w:tcW w:type="dxa" w:w="2880"/>
            <w:tcMar>
              <w:top w:w="100" w:type="dxa"/>
              <w:start w:w="120" w:type="dxa"/>
              <w:bottom w:w="100" w:type="dxa"/>
              <w:end w:w="120" w:type="dxa"/>
            </w:tcMar>
            <w:vAlign w:val="center"/>
          </w:tcPr>
          <w:p>
            <w:r>
              <w:rPr>
                <w:sz w:val="16"/>
              </w:rPr>
              <w:t>Recognised authority where material</w:t>
            </w:r>
          </w:p>
        </w:tc>
        <w:tc>
          <w:tcPr>
            <w:tcW w:type="dxa" w:w="4320"/>
            <w:tcMar>
              <w:top w:w="100" w:type="dxa"/>
              <w:start w:w="120" w:type="dxa"/>
              <w:bottom w:w="100" w:type="dxa"/>
              <w:end w:w="120" w:type="dxa"/>
            </w:tcMar>
            <w:vAlign w:val="center"/>
          </w:tcPr>
          <w:p>
            <w:r>
              <w:rPr>
                <w:sz w:val="16"/>
              </w:rPr>
              <w:t>Source and verification required</w:t>
            </w:r>
          </w:p>
        </w:tc>
      </w:tr>
    </w:tbl>
    <w:p/>
    <w:p>
      <w:pPr>
        <w:pStyle w:val="Heading1"/>
      </w:pPr>
      <w:r>
        <w:t>16. Doctrine ratification schedule</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3456"/>
            <w:shd w:fill="18202A"/>
            <w:tcMar>
              <w:top w:w="100" w:type="dxa"/>
              <w:start w:w="120" w:type="dxa"/>
              <w:bottom w:w="100" w:type="dxa"/>
              <w:end w:w="120" w:type="dxa"/>
            </w:tcMar>
          </w:tcPr>
          <w:p>
            <w:r>
              <w:rPr>
                <w:b/>
                <w:color w:val="FFFFFF"/>
                <w:sz w:val="16"/>
              </w:rPr>
              <w:t>Item</w:t>
            </w:r>
          </w:p>
        </w:tc>
        <w:tc>
          <w:tcPr>
            <w:tcW w:type="dxa" w:w="3168"/>
            <w:shd w:fill="18202A"/>
            <w:tcMar>
              <w:top w:w="100" w:type="dxa"/>
              <w:start w:w="120" w:type="dxa"/>
              <w:bottom w:w="100" w:type="dxa"/>
              <w:end w:w="120" w:type="dxa"/>
            </w:tcMar>
          </w:tcPr>
          <w:p>
            <w:r>
              <w:rPr>
                <w:b/>
                <w:color w:val="FFFFFF"/>
                <w:sz w:val="16"/>
              </w:rPr>
              <w:t>Proposed status</w:t>
            </w:r>
          </w:p>
        </w:tc>
        <w:tc>
          <w:tcPr>
            <w:tcW w:type="dxa" w:w="2880"/>
            <w:shd w:fill="18202A"/>
            <w:tcMar>
              <w:top w:w="100" w:type="dxa"/>
              <w:start w:w="120" w:type="dxa"/>
              <w:bottom w:w="100" w:type="dxa"/>
              <w:end w:w="120" w:type="dxa"/>
            </w:tcMar>
          </w:tcPr>
          <w:p>
            <w:r>
              <w:rPr>
                <w:b/>
                <w:color w:val="FFFFFF"/>
                <w:sz w:val="16"/>
              </w:rPr>
              <w:t>CEO decision</w:t>
            </w:r>
          </w:p>
        </w:tc>
      </w:tr>
      <w:tr>
        <w:tc>
          <w:tcPr>
            <w:tcW w:type="dxa" w:w="3456"/>
            <w:tcMar>
              <w:top w:w="100" w:type="dxa"/>
              <w:start w:w="120" w:type="dxa"/>
              <w:bottom w:w="100" w:type="dxa"/>
              <w:end w:w="120" w:type="dxa"/>
            </w:tcMar>
            <w:vAlign w:val="center"/>
          </w:tcPr>
          <w:p>
            <w:r>
              <w:rPr>
                <w:sz w:val="16"/>
              </w:rPr>
              <w:t>Category and promise</w:t>
            </w:r>
          </w:p>
        </w:tc>
        <w:tc>
          <w:tcPr>
            <w:tcW w:type="dxa" w:w="3168"/>
            <w:tcMar>
              <w:top w:w="100" w:type="dxa"/>
              <w:start w:w="120" w:type="dxa"/>
              <w:bottom w:w="100" w:type="dxa"/>
              <w:end w:w="120" w:type="dxa"/>
            </w:tcMar>
            <w:vAlign w:val="center"/>
          </w:tcPr>
          <w:p>
            <w:r>
              <w:rPr>
                <w:sz w:val="16"/>
              </w:rPr>
              <w:t>Recommended</w:t>
            </w:r>
          </w:p>
        </w:tc>
        <w:tc>
          <w:tcPr>
            <w:tcW w:type="dxa" w:w="2880"/>
            <w:tcMar>
              <w:top w:w="100" w:type="dxa"/>
              <w:start w:w="120" w:type="dxa"/>
              <w:bottom w:w="100" w:type="dxa"/>
              <w:end w:w="120" w:type="dxa"/>
            </w:tcMar>
            <w:vAlign w:val="center"/>
          </w:tcPr>
          <w:p>
            <w:r>
              <w:rPr>
                <w:sz w:val="16"/>
              </w:rPr>
              <w:t>Ratify / amend / reject</w:t>
            </w:r>
          </w:p>
        </w:tc>
      </w:tr>
      <w:tr>
        <w:tc>
          <w:tcPr>
            <w:tcW w:type="dxa" w:w="3456"/>
            <w:tcMar>
              <w:top w:w="100" w:type="dxa"/>
              <w:start w:w="120" w:type="dxa"/>
              <w:bottom w:w="100" w:type="dxa"/>
              <w:end w:w="120" w:type="dxa"/>
            </w:tcMar>
            <w:vAlign w:val="center"/>
            <w:shd w:fill="F3F0EB"/>
          </w:tcPr>
          <w:p>
            <w:r>
              <w:rPr>
                <w:sz w:val="16"/>
              </w:rPr>
              <w:t>Initial markets: Nigeria and UK</w:t>
            </w:r>
          </w:p>
        </w:tc>
        <w:tc>
          <w:tcPr>
            <w:tcW w:type="dxa" w:w="3168"/>
            <w:tcMar>
              <w:top w:w="100" w:type="dxa"/>
              <w:start w:w="120" w:type="dxa"/>
              <w:bottom w:w="100" w:type="dxa"/>
              <w:end w:w="120" w:type="dxa"/>
            </w:tcMar>
            <w:vAlign w:val="center"/>
            <w:shd w:fill="F3F0EB"/>
          </w:tcPr>
          <w:p>
            <w:r>
              <w:rPr>
                <w:sz w:val="16"/>
              </w:rPr>
              <w:t>Recommended with jurisdiction controls</w:t>
            </w:r>
          </w:p>
        </w:tc>
        <w:tc>
          <w:tcPr>
            <w:tcW w:type="dxa" w:w="2880"/>
            <w:tcMar>
              <w:top w:w="100" w:type="dxa"/>
              <w:start w:w="120" w:type="dxa"/>
              <w:bottom w:w="100" w:type="dxa"/>
              <w:end w:w="120" w:type="dxa"/>
            </w:tcMar>
            <w:vAlign w:val="center"/>
            <w:shd w:fill="F3F0EB"/>
          </w:tcPr>
          <w:p>
            <w:r>
              <w:rPr>
                <w:sz w:val="16"/>
              </w:rPr>
              <w:t>Ratify / amend</w:t>
            </w:r>
          </w:p>
        </w:tc>
      </w:tr>
      <w:tr>
        <w:tc>
          <w:tcPr>
            <w:tcW w:type="dxa" w:w="3456"/>
            <w:tcMar>
              <w:top w:w="100" w:type="dxa"/>
              <w:start w:w="120" w:type="dxa"/>
              <w:bottom w:w="100" w:type="dxa"/>
              <w:end w:w="120" w:type="dxa"/>
            </w:tcMar>
            <w:vAlign w:val="center"/>
          </w:tcPr>
          <w:p>
            <w:r>
              <w:rPr>
                <w:sz w:val="16"/>
              </w:rPr>
              <w:t>Observe/Draft initial autonomy</w:t>
            </w:r>
          </w:p>
        </w:tc>
        <w:tc>
          <w:tcPr>
            <w:tcW w:type="dxa" w:w="3168"/>
            <w:tcMar>
              <w:top w:w="100" w:type="dxa"/>
              <w:start w:w="120" w:type="dxa"/>
              <w:bottom w:w="100" w:type="dxa"/>
              <w:end w:w="120" w:type="dxa"/>
            </w:tcMar>
            <w:vAlign w:val="center"/>
          </w:tcPr>
          <w:p>
            <w:r>
              <w:rPr>
                <w:sz w:val="16"/>
              </w:rPr>
              <w:t>Recommended</w:t>
            </w:r>
          </w:p>
        </w:tc>
        <w:tc>
          <w:tcPr>
            <w:tcW w:type="dxa" w:w="2880"/>
            <w:tcMar>
              <w:top w:w="100" w:type="dxa"/>
              <w:start w:w="120" w:type="dxa"/>
              <w:bottom w:w="100" w:type="dxa"/>
              <w:end w:w="120" w:type="dxa"/>
            </w:tcMar>
            <w:vAlign w:val="center"/>
          </w:tcPr>
          <w:p>
            <w:r>
              <w:rPr>
                <w:sz w:val="16"/>
              </w:rPr>
              <w:t>Ratify</w:t>
            </w:r>
          </w:p>
        </w:tc>
      </w:tr>
      <w:tr>
        <w:tc>
          <w:tcPr>
            <w:tcW w:type="dxa" w:w="3456"/>
            <w:tcMar>
              <w:top w:w="100" w:type="dxa"/>
              <w:start w:w="120" w:type="dxa"/>
              <w:bottom w:w="100" w:type="dxa"/>
              <w:end w:w="120" w:type="dxa"/>
            </w:tcMar>
            <w:vAlign w:val="center"/>
            <w:shd w:fill="F3F0EB"/>
          </w:tcPr>
          <w:p>
            <w:r>
              <w:rPr>
                <w:sz w:val="16"/>
              </w:rPr>
              <w:t>No guest-to-prospect assumption</w:t>
            </w:r>
          </w:p>
        </w:tc>
        <w:tc>
          <w:tcPr>
            <w:tcW w:type="dxa" w:w="3168"/>
            <w:tcMar>
              <w:top w:w="100" w:type="dxa"/>
              <w:start w:w="120" w:type="dxa"/>
              <w:bottom w:w="100" w:type="dxa"/>
              <w:end w:w="120" w:type="dxa"/>
            </w:tcMar>
            <w:vAlign w:val="center"/>
            <w:shd w:fill="F3F0EB"/>
          </w:tcPr>
          <w:p>
            <w:r>
              <w:rPr>
                <w:sz w:val="16"/>
              </w:rPr>
              <w:t>Mandatory ethical boundary</w:t>
            </w:r>
          </w:p>
        </w:tc>
        <w:tc>
          <w:tcPr>
            <w:tcW w:type="dxa" w:w="2880"/>
            <w:tcMar>
              <w:top w:w="100" w:type="dxa"/>
              <w:start w:w="120" w:type="dxa"/>
              <w:bottom w:w="100" w:type="dxa"/>
              <w:end w:w="120" w:type="dxa"/>
            </w:tcMar>
            <w:vAlign w:val="center"/>
            <w:shd w:fill="F3F0EB"/>
          </w:tcPr>
          <w:p>
            <w:r>
              <w:rPr>
                <w:sz w:val="16"/>
              </w:rPr>
              <w:t>Ratify</w:t>
            </w:r>
          </w:p>
        </w:tc>
      </w:tr>
      <w:tr>
        <w:tc>
          <w:tcPr>
            <w:tcW w:type="dxa" w:w="3456"/>
            <w:tcMar>
              <w:top w:w="100" w:type="dxa"/>
              <w:start w:w="120" w:type="dxa"/>
              <w:bottom w:w="100" w:type="dxa"/>
              <w:end w:w="120" w:type="dxa"/>
            </w:tcMar>
            <w:vAlign w:val="center"/>
          </w:tcPr>
          <w:p>
            <w:r>
              <w:rPr>
                <w:sz w:val="16"/>
              </w:rPr>
              <w:t>Contribution-margin-aware optimisation</w:t>
            </w:r>
          </w:p>
        </w:tc>
        <w:tc>
          <w:tcPr>
            <w:tcW w:type="dxa" w:w="3168"/>
            <w:tcMar>
              <w:top w:w="100" w:type="dxa"/>
              <w:start w:w="120" w:type="dxa"/>
              <w:bottom w:w="100" w:type="dxa"/>
              <w:end w:w="120" w:type="dxa"/>
            </w:tcMar>
            <w:vAlign w:val="center"/>
          </w:tcPr>
          <w:p>
            <w:r>
              <w:rPr>
                <w:sz w:val="16"/>
              </w:rPr>
              <w:t>Recommended</w:t>
            </w:r>
          </w:p>
        </w:tc>
        <w:tc>
          <w:tcPr>
            <w:tcW w:type="dxa" w:w="2880"/>
            <w:tcMar>
              <w:top w:w="100" w:type="dxa"/>
              <w:start w:w="120" w:type="dxa"/>
              <w:bottom w:w="100" w:type="dxa"/>
              <w:end w:w="120" w:type="dxa"/>
            </w:tcMar>
            <w:vAlign w:val="center"/>
          </w:tcPr>
          <w:p>
            <w:r>
              <w:rPr>
                <w:sz w:val="16"/>
              </w:rPr>
              <w:t>Ratify</w:t>
            </w:r>
          </w:p>
        </w:tc>
      </w:tr>
      <w:tr>
        <w:tc>
          <w:tcPr>
            <w:tcW w:type="dxa" w:w="3456"/>
            <w:tcMar>
              <w:top w:w="100" w:type="dxa"/>
              <w:start w:w="120" w:type="dxa"/>
              <w:bottom w:w="100" w:type="dxa"/>
              <w:end w:w="120" w:type="dxa"/>
            </w:tcMar>
            <w:vAlign w:val="center"/>
            <w:shd w:fill="F3F0EB"/>
          </w:tcPr>
          <w:p>
            <w:r>
              <w:rPr>
                <w:sz w:val="16"/>
              </w:rPr>
              <w:t>Legal and platform conclusions remain external</w:t>
            </w:r>
          </w:p>
        </w:tc>
        <w:tc>
          <w:tcPr>
            <w:tcW w:type="dxa" w:w="3168"/>
            <w:tcMar>
              <w:top w:w="100" w:type="dxa"/>
              <w:start w:w="120" w:type="dxa"/>
              <w:bottom w:w="100" w:type="dxa"/>
              <w:end w:w="120" w:type="dxa"/>
            </w:tcMar>
            <w:vAlign w:val="center"/>
            <w:shd w:fill="F3F0EB"/>
          </w:tcPr>
          <w:p>
            <w:r>
              <w:rPr>
                <w:sz w:val="16"/>
              </w:rPr>
              <w:t>Mandatory accuracy boundary</w:t>
            </w:r>
          </w:p>
        </w:tc>
        <w:tc>
          <w:tcPr>
            <w:tcW w:type="dxa" w:w="2880"/>
            <w:tcMar>
              <w:top w:w="100" w:type="dxa"/>
              <w:start w:w="120" w:type="dxa"/>
              <w:bottom w:w="100" w:type="dxa"/>
              <w:end w:w="120" w:type="dxa"/>
            </w:tcMar>
            <w:vAlign w:val="center"/>
            <w:shd w:fill="F3F0EB"/>
          </w:tcPr>
          <w:p>
            <w:r>
              <w:rPr>
                <w:sz w:val="16"/>
              </w:rPr>
              <w:t>Ratify</w:t>
            </w:r>
          </w:p>
        </w:tc>
      </w:tr>
    </w:tbl>
    <w:p/>
    <w:p>
      <w:pPr>
        <w:pStyle w:val="Heading1"/>
      </w:pPr>
      <w:r>
        <w:t>Appendix A. External sources</w:t>
      </w:r>
    </w:p>
    <w:tbl>
      <w:tblPr>
        <w:tblW w:type="auto" w:w="0"/>
        <w:jc w:val="center"/>
        <w:tblLayout w:type="fixed"/>
        <w:tblLook w:firstColumn="1" w:firstRow="1" w:lastColumn="0" w:lastRow="0" w:noHBand="0" w:noVBand="1" w:val="04A0"/>
      </w:tblPr>
      <w:tblGrid>
        <w:gridCol w:w="2376"/>
        <w:gridCol w:w="2376"/>
        <w:gridCol w:w="2376"/>
        <w:gridCol w:w="2376"/>
      </w:tblGrid>
      <w:tr>
        <w:trPr>
          <w:tblHeader w:val="true"/>
        </w:trPr>
        <w:tc>
          <w:tcPr>
            <w:tcW w:type="dxa" w:w="1152"/>
            <w:shd w:fill="18202A"/>
            <w:tcMar>
              <w:top w:w="100" w:type="dxa"/>
              <w:start w:w="120" w:type="dxa"/>
              <w:bottom w:w="100" w:type="dxa"/>
              <w:end w:w="120" w:type="dxa"/>
            </w:tcMar>
          </w:tcPr>
          <w:p>
            <w:r>
              <w:rPr>
                <w:b/>
                <w:color w:val="FFFFFF"/>
                <w:sz w:val="15"/>
              </w:rPr>
              <w:t>ID</w:t>
            </w:r>
          </w:p>
        </w:tc>
        <w:tc>
          <w:tcPr>
            <w:tcW w:type="dxa" w:w="2160"/>
            <w:shd w:fill="18202A"/>
            <w:tcMar>
              <w:top w:w="100" w:type="dxa"/>
              <w:start w:w="120" w:type="dxa"/>
              <w:bottom w:w="100" w:type="dxa"/>
              <w:end w:w="120" w:type="dxa"/>
            </w:tcMar>
          </w:tcPr>
          <w:p>
            <w:r>
              <w:rPr>
                <w:b/>
                <w:color w:val="FFFFFF"/>
                <w:sz w:val="15"/>
              </w:rPr>
              <w:t>Authority</w:t>
            </w:r>
          </w:p>
        </w:tc>
        <w:tc>
          <w:tcPr>
            <w:tcW w:type="dxa" w:w="3168"/>
            <w:shd w:fill="18202A"/>
            <w:tcMar>
              <w:top w:w="100" w:type="dxa"/>
              <w:start w:w="120" w:type="dxa"/>
              <w:bottom w:w="100" w:type="dxa"/>
              <w:end w:w="120" w:type="dxa"/>
            </w:tcMar>
          </w:tcPr>
          <w:p>
            <w:r>
              <w:rPr>
                <w:b/>
                <w:color w:val="FFFFFF"/>
                <w:sz w:val="15"/>
              </w:rPr>
              <w:t>Source</w:t>
            </w:r>
          </w:p>
        </w:tc>
        <w:tc>
          <w:tcPr>
            <w:tcW w:type="dxa" w:w="3024"/>
            <w:shd w:fill="18202A"/>
            <w:tcMar>
              <w:top w:w="100" w:type="dxa"/>
              <w:start w:w="120" w:type="dxa"/>
              <w:bottom w:w="100" w:type="dxa"/>
              <w:end w:w="120" w:type="dxa"/>
            </w:tcMar>
          </w:tcPr>
          <w:p>
            <w:r>
              <w:rPr>
                <w:b/>
                <w:color w:val="FFFFFF"/>
                <w:sz w:val="15"/>
              </w:rPr>
              <w:t>Operational use</w:t>
            </w:r>
          </w:p>
        </w:tc>
      </w:tr>
      <w:tr>
        <w:tc>
          <w:tcPr>
            <w:tcW w:type="dxa" w:w="1152"/>
            <w:tcMar>
              <w:top w:w="100" w:type="dxa"/>
              <w:start w:w="120" w:type="dxa"/>
              <w:bottom w:w="100" w:type="dxa"/>
              <w:end w:w="120" w:type="dxa"/>
            </w:tcMar>
            <w:vAlign w:val="center"/>
          </w:tcPr>
          <w:p>
            <w:r>
              <w:rPr>
                <w:sz w:val="15"/>
              </w:rPr>
              <w:t>SRC-001</w:t>
            </w:r>
          </w:p>
        </w:tc>
        <w:tc>
          <w:tcPr>
            <w:tcW w:type="dxa" w:w="2160"/>
            <w:tcMar>
              <w:top w:w="100" w:type="dxa"/>
              <w:start w:w="120" w:type="dxa"/>
              <w:bottom w:w="100" w:type="dxa"/>
              <w:end w:w="120" w:type="dxa"/>
            </w:tcMar>
            <w:vAlign w:val="center"/>
          </w:tcPr>
          <w:p>
            <w:r>
              <w:rPr>
                <w:sz w:val="15"/>
              </w:rPr>
              <w:t>American Marketing Association</w:t>
            </w:r>
          </w:p>
        </w:tc>
        <w:tc>
          <w:tcPr>
            <w:tcW w:type="dxa" w:w="3168"/>
            <w:tcMar>
              <w:top w:w="100" w:type="dxa"/>
              <w:start w:w="120" w:type="dxa"/>
              <w:bottom w:w="100" w:type="dxa"/>
              <w:end w:w="120" w:type="dxa"/>
            </w:tcMar>
            <w:vAlign w:val="center"/>
          </w:tcPr>
          <w:p>
            <w:r>
              <w:rPr>
                <w:sz w:val="15"/>
              </w:rPr>
              <w:t>Definition of marketing</w:t>
            </w:r>
          </w:p>
        </w:tc>
        <w:tc>
          <w:tcPr>
            <w:tcW w:type="dxa" w:w="3024"/>
            <w:tcMar>
              <w:top w:w="100" w:type="dxa"/>
              <w:start w:w="120" w:type="dxa"/>
              <w:bottom w:w="100" w:type="dxa"/>
              <w:end w:w="120" w:type="dxa"/>
            </w:tcMar>
            <w:vAlign w:val="center"/>
          </w:tcPr>
          <w:p>
            <w:r>
              <w:rPr>
                <w:sz w:val="15"/>
              </w:rPr>
              <w:t>Marketing creates, communicates, delivers and exchanges offerings of value.</w:t>
            </w:r>
          </w:p>
        </w:tc>
      </w:tr>
      <w:tr>
        <w:tc>
          <w:tcPr>
            <w:tcW w:type="dxa" w:w="1152"/>
            <w:tcMar>
              <w:top w:w="100" w:type="dxa"/>
              <w:start w:w="120" w:type="dxa"/>
              <w:bottom w:w="100" w:type="dxa"/>
              <w:end w:w="120" w:type="dxa"/>
            </w:tcMar>
            <w:vAlign w:val="center"/>
            <w:shd w:fill="F3F0EB"/>
          </w:tcPr>
          <w:p>
            <w:r>
              <w:rPr>
                <w:sz w:val="15"/>
              </w:rPr>
              <w:t>SRC-002</w:t>
            </w:r>
          </w:p>
        </w:tc>
        <w:tc>
          <w:tcPr>
            <w:tcW w:type="dxa" w:w="2160"/>
            <w:tcMar>
              <w:top w:w="100" w:type="dxa"/>
              <w:start w:w="120" w:type="dxa"/>
              <w:bottom w:w="100" w:type="dxa"/>
              <w:end w:w="120" w:type="dxa"/>
            </w:tcMar>
            <w:vAlign w:val="center"/>
            <w:shd w:fill="F3F0EB"/>
          </w:tcPr>
          <w:p>
            <w:r>
              <w:rPr>
                <w:sz w:val="15"/>
              </w:rPr>
              <w:t>UK Information Commissioner’s Office</w:t>
            </w:r>
          </w:p>
        </w:tc>
        <w:tc>
          <w:tcPr>
            <w:tcW w:type="dxa" w:w="3168"/>
            <w:tcMar>
              <w:top w:w="100" w:type="dxa"/>
              <w:start w:w="120" w:type="dxa"/>
              <w:bottom w:w="100" w:type="dxa"/>
              <w:end w:w="120" w:type="dxa"/>
            </w:tcMar>
            <w:vAlign w:val="center"/>
            <w:shd w:fill="F3F0EB"/>
          </w:tcPr>
          <w:p>
            <w:r>
              <w:rPr>
                <w:sz w:val="15"/>
              </w:rPr>
              <w:t>Electronic mail marketing and PECR</w:t>
            </w:r>
          </w:p>
        </w:tc>
        <w:tc>
          <w:tcPr>
            <w:tcW w:type="dxa" w:w="3024"/>
            <w:tcMar>
              <w:top w:w="100" w:type="dxa"/>
              <w:start w:w="120" w:type="dxa"/>
              <w:bottom w:w="100" w:type="dxa"/>
              <w:end w:w="120" w:type="dxa"/>
            </w:tcMar>
            <w:vAlign w:val="center"/>
            <w:shd w:fill="F3F0EB"/>
          </w:tcPr>
          <w:p>
            <w:r>
              <w:rPr>
                <w:sz w:val="15"/>
              </w:rPr>
              <w:t>Direct electronic marketing to individuals generally requires consent or a valid soft opt-in; opt-out must be available.</w:t>
            </w:r>
          </w:p>
        </w:tc>
      </w:tr>
      <w:tr>
        <w:tc>
          <w:tcPr>
            <w:tcW w:type="dxa" w:w="1152"/>
            <w:tcMar>
              <w:top w:w="100" w:type="dxa"/>
              <w:start w:w="120" w:type="dxa"/>
              <w:bottom w:w="100" w:type="dxa"/>
              <w:end w:w="120" w:type="dxa"/>
            </w:tcMar>
            <w:vAlign w:val="center"/>
          </w:tcPr>
          <w:p>
            <w:r>
              <w:rPr>
                <w:sz w:val="15"/>
              </w:rPr>
              <w:t>SRC-003</w:t>
            </w:r>
          </w:p>
        </w:tc>
        <w:tc>
          <w:tcPr>
            <w:tcW w:type="dxa" w:w="2160"/>
            <w:tcMar>
              <w:top w:w="100" w:type="dxa"/>
              <w:start w:w="120" w:type="dxa"/>
              <w:bottom w:w="100" w:type="dxa"/>
              <w:end w:w="120" w:type="dxa"/>
            </w:tcMar>
            <w:vAlign w:val="center"/>
          </w:tcPr>
          <w:p>
            <w:r>
              <w:rPr>
                <w:sz w:val="15"/>
              </w:rPr>
              <w:t>Meta for Developers</w:t>
            </w:r>
          </w:p>
        </w:tc>
        <w:tc>
          <w:tcPr>
            <w:tcW w:type="dxa" w:w="3168"/>
            <w:tcMar>
              <w:top w:w="100" w:type="dxa"/>
              <w:start w:w="120" w:type="dxa"/>
              <w:bottom w:w="100" w:type="dxa"/>
              <w:end w:w="120" w:type="dxa"/>
            </w:tcMar>
            <w:vAlign w:val="center"/>
          </w:tcPr>
          <w:p>
            <w:r>
              <w:rPr>
                <w:sz w:val="15"/>
              </w:rPr>
              <w:t>Instagram Platform</w:t>
            </w:r>
          </w:p>
        </w:tc>
        <w:tc>
          <w:tcPr>
            <w:tcW w:type="dxa" w:w="3024"/>
            <w:tcMar>
              <w:top w:w="100" w:type="dxa"/>
              <w:start w:w="120" w:type="dxa"/>
              <w:bottom w:w="100" w:type="dxa"/>
              <w:end w:w="120" w:type="dxa"/>
            </w:tcMar>
            <w:vAlign w:val="center"/>
          </w:tcPr>
          <w:p>
            <w:r>
              <w:rPr>
                <w:sz w:val="15"/>
              </w:rPr>
              <w:t>Publishing, messaging and insights depend on account type, scopes, review and current API availability.</w:t>
            </w:r>
          </w:p>
        </w:tc>
      </w:tr>
      <w:tr>
        <w:tc>
          <w:tcPr>
            <w:tcW w:type="dxa" w:w="1152"/>
            <w:tcMar>
              <w:top w:w="100" w:type="dxa"/>
              <w:start w:w="120" w:type="dxa"/>
              <w:bottom w:w="100" w:type="dxa"/>
              <w:end w:w="120" w:type="dxa"/>
            </w:tcMar>
            <w:vAlign w:val="center"/>
            <w:shd w:fill="F3F0EB"/>
          </w:tcPr>
          <w:p>
            <w:r>
              <w:rPr>
                <w:sz w:val="15"/>
              </w:rPr>
              <w:t>SRC-004</w:t>
            </w:r>
          </w:p>
        </w:tc>
        <w:tc>
          <w:tcPr>
            <w:tcW w:type="dxa" w:w="2160"/>
            <w:tcMar>
              <w:top w:w="100" w:type="dxa"/>
              <w:start w:w="120" w:type="dxa"/>
              <w:bottom w:w="100" w:type="dxa"/>
              <w:end w:w="120" w:type="dxa"/>
            </w:tcMar>
            <w:vAlign w:val="center"/>
            <w:shd w:fill="F3F0EB"/>
          </w:tcPr>
          <w:p>
            <w:r>
              <w:rPr>
                <w:sz w:val="15"/>
              </w:rPr>
              <w:t>Meta Transparency Center</w:t>
            </w:r>
          </w:p>
        </w:tc>
        <w:tc>
          <w:tcPr>
            <w:tcW w:type="dxa" w:w="3168"/>
            <w:tcMar>
              <w:top w:w="100" w:type="dxa"/>
              <w:start w:w="120" w:type="dxa"/>
              <w:bottom w:w="100" w:type="dxa"/>
              <w:end w:w="120" w:type="dxa"/>
            </w:tcMar>
            <w:vAlign w:val="center"/>
            <w:shd w:fill="F3F0EB"/>
          </w:tcPr>
          <w:p>
            <w:r>
              <w:rPr>
                <w:sz w:val="15"/>
              </w:rPr>
              <w:t>Advertising Standards</w:t>
            </w:r>
          </w:p>
        </w:tc>
        <w:tc>
          <w:tcPr>
            <w:tcW w:type="dxa" w:w="3024"/>
            <w:tcMar>
              <w:top w:w="100" w:type="dxa"/>
              <w:start w:w="120" w:type="dxa"/>
              <w:bottom w:w="100" w:type="dxa"/>
              <w:end w:w="120" w:type="dxa"/>
            </w:tcMar>
            <w:vAlign w:val="center"/>
            <w:shd w:fill="F3F0EB"/>
          </w:tcPr>
          <w:p>
            <w:r>
              <w:rPr>
                <w:sz w:val="15"/>
              </w:rPr>
              <w:t>Advertising must comply with platform standards, including prohibitions on deceptive practices.</w:t>
            </w:r>
          </w:p>
        </w:tc>
      </w:tr>
      <w:tr>
        <w:tc>
          <w:tcPr>
            <w:tcW w:type="dxa" w:w="1152"/>
            <w:tcMar>
              <w:top w:w="100" w:type="dxa"/>
              <w:start w:w="120" w:type="dxa"/>
              <w:bottom w:w="100" w:type="dxa"/>
              <w:end w:w="120" w:type="dxa"/>
            </w:tcMar>
            <w:vAlign w:val="center"/>
          </w:tcPr>
          <w:p>
            <w:r>
              <w:rPr>
                <w:sz w:val="15"/>
              </w:rPr>
              <w:t>SRC-005</w:t>
            </w:r>
          </w:p>
        </w:tc>
        <w:tc>
          <w:tcPr>
            <w:tcW w:type="dxa" w:w="2160"/>
            <w:tcMar>
              <w:top w:w="100" w:type="dxa"/>
              <w:start w:w="120" w:type="dxa"/>
              <w:bottom w:w="100" w:type="dxa"/>
              <w:end w:w="120" w:type="dxa"/>
            </w:tcMar>
            <w:vAlign w:val="center"/>
          </w:tcPr>
          <w:p>
            <w:r>
              <w:rPr>
                <w:sz w:val="15"/>
              </w:rPr>
              <w:t>Google for Developers</w:t>
            </w:r>
          </w:p>
        </w:tc>
        <w:tc>
          <w:tcPr>
            <w:tcW w:type="dxa" w:w="3168"/>
            <w:tcMar>
              <w:top w:w="100" w:type="dxa"/>
              <w:start w:w="120" w:type="dxa"/>
              <w:bottom w:w="100" w:type="dxa"/>
              <w:end w:w="120" w:type="dxa"/>
            </w:tcMar>
            <w:vAlign w:val="center"/>
          </w:tcPr>
          <w:p>
            <w:r>
              <w:rPr>
                <w:sz w:val="15"/>
              </w:rPr>
              <w:t>Google Ads API</w:t>
            </w:r>
          </w:p>
        </w:tc>
        <w:tc>
          <w:tcPr>
            <w:tcW w:type="dxa" w:w="3024"/>
            <w:tcMar>
              <w:top w:w="100" w:type="dxa"/>
              <w:start w:w="120" w:type="dxa"/>
              <w:bottom w:w="100" w:type="dxa"/>
              <w:end w:w="120" w:type="dxa"/>
            </w:tcMar>
            <w:vAlign w:val="center"/>
          </w:tcPr>
          <w:p>
            <w:r>
              <w:rPr>
                <w:sz w:val="15"/>
              </w:rPr>
              <w:t>Programmatic advertising requires authenticated, permissioned Google Ads API access and supported operations.</w:t>
            </w:r>
          </w:p>
        </w:tc>
      </w:tr>
      <w:tr>
        <w:tc>
          <w:tcPr>
            <w:tcW w:type="dxa" w:w="1152"/>
            <w:tcMar>
              <w:top w:w="100" w:type="dxa"/>
              <w:start w:w="120" w:type="dxa"/>
              <w:bottom w:w="100" w:type="dxa"/>
              <w:end w:w="120" w:type="dxa"/>
            </w:tcMar>
            <w:vAlign w:val="center"/>
            <w:shd w:fill="F3F0EB"/>
          </w:tcPr>
          <w:p>
            <w:r>
              <w:rPr>
                <w:sz w:val="15"/>
              </w:rPr>
              <w:t>SRC-006</w:t>
            </w:r>
          </w:p>
        </w:tc>
        <w:tc>
          <w:tcPr>
            <w:tcW w:type="dxa" w:w="2160"/>
            <w:tcMar>
              <w:top w:w="100" w:type="dxa"/>
              <w:start w:w="120" w:type="dxa"/>
              <w:bottom w:w="100" w:type="dxa"/>
              <w:end w:w="120" w:type="dxa"/>
            </w:tcMar>
            <w:vAlign w:val="center"/>
            <w:shd w:fill="F3F0EB"/>
          </w:tcPr>
          <w:p>
            <w:r>
              <w:rPr>
                <w:sz w:val="15"/>
              </w:rPr>
              <w:t>Google Search Central</w:t>
            </w:r>
          </w:p>
        </w:tc>
        <w:tc>
          <w:tcPr>
            <w:tcW w:type="dxa" w:w="3168"/>
            <w:tcMar>
              <w:top w:w="100" w:type="dxa"/>
              <w:start w:w="120" w:type="dxa"/>
              <w:bottom w:w="100" w:type="dxa"/>
              <w:end w:w="120" w:type="dxa"/>
            </w:tcMar>
            <w:vAlign w:val="center"/>
            <w:shd w:fill="F3F0EB"/>
          </w:tcPr>
          <w:p>
            <w:r>
              <w:rPr>
                <w:sz w:val="15"/>
              </w:rPr>
              <w:t>Search Essentials</w:t>
            </w:r>
          </w:p>
        </w:tc>
        <w:tc>
          <w:tcPr>
            <w:tcW w:type="dxa" w:w="3024"/>
            <w:tcMar>
              <w:top w:w="100" w:type="dxa"/>
              <w:start w:w="120" w:type="dxa"/>
              <w:bottom w:w="100" w:type="dxa"/>
              <w:end w:w="120" w:type="dxa"/>
            </w:tcMar>
            <w:vAlign w:val="center"/>
            <w:shd w:fill="F3F0EB"/>
          </w:tcPr>
          <w:p>
            <w:r>
              <w:rPr>
                <w:sz w:val="15"/>
              </w:rPr>
              <w:t>Technical, spam and key best-practice requirements inform search eligibility and quality.</w:t>
            </w:r>
          </w:p>
        </w:tc>
      </w:tr>
      <w:tr>
        <w:tc>
          <w:tcPr>
            <w:tcW w:type="dxa" w:w="1152"/>
            <w:tcMar>
              <w:top w:w="100" w:type="dxa"/>
              <w:start w:w="120" w:type="dxa"/>
              <w:bottom w:w="100" w:type="dxa"/>
              <w:end w:w="120" w:type="dxa"/>
            </w:tcMar>
            <w:vAlign w:val="center"/>
          </w:tcPr>
          <w:p>
            <w:r>
              <w:rPr>
                <w:sz w:val="15"/>
              </w:rPr>
              <w:t>SRC-007</w:t>
            </w:r>
          </w:p>
        </w:tc>
        <w:tc>
          <w:tcPr>
            <w:tcW w:type="dxa" w:w="2160"/>
            <w:tcMar>
              <w:top w:w="100" w:type="dxa"/>
              <w:start w:w="120" w:type="dxa"/>
              <w:bottom w:w="100" w:type="dxa"/>
              <w:end w:w="120" w:type="dxa"/>
            </w:tcMar>
            <w:vAlign w:val="center"/>
          </w:tcPr>
          <w:p>
            <w:r>
              <w:rPr>
                <w:sz w:val="15"/>
              </w:rPr>
              <w:t>NIST</w:t>
            </w:r>
          </w:p>
        </w:tc>
        <w:tc>
          <w:tcPr>
            <w:tcW w:type="dxa" w:w="3168"/>
            <w:tcMar>
              <w:top w:w="100" w:type="dxa"/>
              <w:start w:w="120" w:type="dxa"/>
              <w:bottom w:w="100" w:type="dxa"/>
              <w:end w:w="120" w:type="dxa"/>
            </w:tcMar>
            <w:vAlign w:val="center"/>
          </w:tcPr>
          <w:p>
            <w:r>
              <w:rPr>
                <w:sz w:val="15"/>
              </w:rPr>
              <w:t>AI Risk Management Framework</w:t>
            </w:r>
          </w:p>
        </w:tc>
        <w:tc>
          <w:tcPr>
            <w:tcW w:type="dxa" w:w="3024"/>
            <w:tcMar>
              <w:top w:w="100" w:type="dxa"/>
              <w:start w:w="120" w:type="dxa"/>
              <w:bottom w:w="100" w:type="dxa"/>
              <w:end w:w="120" w:type="dxa"/>
            </w:tcMar>
            <w:vAlign w:val="center"/>
          </w:tcPr>
          <w:p>
            <w:r>
              <w:rPr>
                <w:sz w:val="15"/>
              </w:rPr>
              <w:t>AI risks should be governed, mapped, measured and managed with documented evidence.</w:t>
            </w:r>
          </w:p>
        </w:tc>
      </w:tr>
      <w:tr>
        <w:tc>
          <w:tcPr>
            <w:tcW w:type="dxa" w:w="1152"/>
            <w:tcMar>
              <w:top w:w="100" w:type="dxa"/>
              <w:start w:w="120" w:type="dxa"/>
              <w:bottom w:w="100" w:type="dxa"/>
              <w:end w:w="120" w:type="dxa"/>
            </w:tcMar>
            <w:vAlign w:val="center"/>
            <w:shd w:fill="F3F0EB"/>
          </w:tcPr>
          <w:p>
            <w:r>
              <w:rPr>
                <w:sz w:val="15"/>
              </w:rPr>
              <w:t>SRC-008</w:t>
            </w:r>
          </w:p>
        </w:tc>
        <w:tc>
          <w:tcPr>
            <w:tcW w:type="dxa" w:w="2160"/>
            <w:tcMar>
              <w:top w:w="100" w:type="dxa"/>
              <w:start w:w="120" w:type="dxa"/>
              <w:bottom w:w="100" w:type="dxa"/>
              <w:end w:w="120" w:type="dxa"/>
            </w:tcMar>
            <w:vAlign w:val="center"/>
            <w:shd w:fill="F3F0EB"/>
          </w:tcPr>
          <w:p>
            <w:r>
              <w:rPr>
                <w:sz w:val="15"/>
              </w:rPr>
              <w:t>NIST</w:t>
            </w:r>
          </w:p>
        </w:tc>
        <w:tc>
          <w:tcPr>
            <w:tcW w:type="dxa" w:w="3168"/>
            <w:tcMar>
              <w:top w:w="100" w:type="dxa"/>
              <w:start w:w="120" w:type="dxa"/>
              <w:bottom w:w="100" w:type="dxa"/>
              <w:end w:w="120" w:type="dxa"/>
            </w:tcMar>
            <w:vAlign w:val="center"/>
            <w:shd w:fill="F3F0EB"/>
          </w:tcPr>
          <w:p>
            <w:r>
              <w:rPr>
                <w:sz w:val="15"/>
              </w:rPr>
              <w:t>Generative AI Profile</w:t>
            </w:r>
          </w:p>
        </w:tc>
        <w:tc>
          <w:tcPr>
            <w:tcW w:type="dxa" w:w="3024"/>
            <w:tcMar>
              <w:top w:w="100" w:type="dxa"/>
              <w:start w:w="120" w:type="dxa"/>
              <w:bottom w:w="100" w:type="dxa"/>
              <w:end w:w="120" w:type="dxa"/>
            </w:tcMar>
            <w:vAlign w:val="center"/>
            <w:shd w:fill="F3F0EB"/>
          </w:tcPr>
          <w:p>
            <w:r>
              <w:rPr>
                <w:sz w:val="15"/>
              </w:rPr>
              <w:t>Generative AI requires additional treatment of confabulation, provenance, privacy, misuse and evaluation.</w:t>
            </w:r>
          </w:p>
        </w:tc>
      </w:tr>
      <w:tr>
        <w:tc>
          <w:tcPr>
            <w:tcW w:type="dxa" w:w="1152"/>
            <w:tcMar>
              <w:top w:w="100" w:type="dxa"/>
              <w:start w:w="120" w:type="dxa"/>
              <w:bottom w:w="100" w:type="dxa"/>
              <w:end w:w="120" w:type="dxa"/>
            </w:tcMar>
            <w:vAlign w:val="center"/>
          </w:tcPr>
          <w:p>
            <w:r>
              <w:rPr>
                <w:sz w:val="15"/>
              </w:rPr>
              <w:t>SRC-009</w:t>
            </w:r>
          </w:p>
        </w:tc>
        <w:tc>
          <w:tcPr>
            <w:tcW w:type="dxa" w:w="2160"/>
            <w:tcMar>
              <w:top w:w="100" w:type="dxa"/>
              <w:start w:w="120" w:type="dxa"/>
              <w:bottom w:w="100" w:type="dxa"/>
              <w:end w:w="120" w:type="dxa"/>
            </w:tcMar>
            <w:vAlign w:val="center"/>
          </w:tcPr>
          <w:p>
            <w:r>
              <w:rPr>
                <w:sz w:val="15"/>
              </w:rPr>
              <w:t>Advertising Standards Authority / CAP</w:t>
            </w:r>
          </w:p>
        </w:tc>
        <w:tc>
          <w:tcPr>
            <w:tcW w:type="dxa" w:w="3168"/>
            <w:tcMar>
              <w:top w:w="100" w:type="dxa"/>
              <w:start w:w="120" w:type="dxa"/>
              <w:bottom w:w="100" w:type="dxa"/>
              <w:end w:w="120" w:type="dxa"/>
            </w:tcMar>
            <w:vAlign w:val="center"/>
          </w:tcPr>
          <w:p>
            <w:r>
              <w:rPr>
                <w:sz w:val="15"/>
              </w:rPr>
              <w:t>UK Code of Non-broadcast Advertising and Direct &amp; Promotional Marketing</w:t>
            </w:r>
          </w:p>
        </w:tc>
        <w:tc>
          <w:tcPr>
            <w:tcW w:type="dxa" w:w="3024"/>
            <w:tcMar>
              <w:top w:w="100" w:type="dxa"/>
              <w:start w:w="120" w:type="dxa"/>
              <w:bottom w:w="100" w:type="dxa"/>
              <w:end w:w="120" w:type="dxa"/>
            </w:tcMar>
            <w:vAlign w:val="center"/>
          </w:tcPr>
          <w:p>
            <w:r>
              <w:rPr>
                <w:sz w:val="15"/>
              </w:rPr>
              <w:t>Marketing communications must be legal, decent, honest and truthful; objective claims need substantiation.</w:t>
            </w:r>
          </w:p>
        </w:tc>
      </w:tr>
      <w:tr>
        <w:tc>
          <w:tcPr>
            <w:tcW w:type="dxa" w:w="1152"/>
            <w:tcMar>
              <w:top w:w="100" w:type="dxa"/>
              <w:start w:w="120" w:type="dxa"/>
              <w:bottom w:w="100" w:type="dxa"/>
              <w:end w:w="120" w:type="dxa"/>
            </w:tcMar>
            <w:vAlign w:val="center"/>
            <w:shd w:fill="F3F0EB"/>
          </w:tcPr>
          <w:p>
            <w:r>
              <w:rPr>
                <w:sz w:val="15"/>
              </w:rPr>
              <w:t>SRC-010</w:t>
            </w:r>
          </w:p>
        </w:tc>
        <w:tc>
          <w:tcPr>
            <w:tcW w:type="dxa" w:w="2160"/>
            <w:tcMar>
              <w:top w:w="100" w:type="dxa"/>
              <w:start w:w="120" w:type="dxa"/>
              <w:bottom w:w="100" w:type="dxa"/>
              <w:end w:w="120" w:type="dxa"/>
            </w:tcMar>
            <w:vAlign w:val="center"/>
            <w:shd w:fill="F3F0EB"/>
          </w:tcPr>
          <w:p>
            <w:r>
              <w:rPr>
                <w:sz w:val="15"/>
              </w:rPr>
              <w:t>Nigeria Data Protection Commission</w:t>
            </w:r>
          </w:p>
        </w:tc>
        <w:tc>
          <w:tcPr>
            <w:tcW w:type="dxa" w:w="3168"/>
            <w:tcMar>
              <w:top w:w="100" w:type="dxa"/>
              <w:start w:w="120" w:type="dxa"/>
              <w:bottom w:w="100" w:type="dxa"/>
              <w:end w:w="120" w:type="dxa"/>
            </w:tcMar>
            <w:vAlign w:val="center"/>
            <w:shd w:fill="F3F0EB"/>
          </w:tcPr>
          <w:p>
            <w:r>
              <w:rPr>
                <w:sz w:val="15"/>
              </w:rPr>
              <w:t>Nigeria Data Protection Act and regulatory guidance</w:t>
            </w:r>
          </w:p>
        </w:tc>
        <w:tc>
          <w:tcPr>
            <w:tcW w:type="dxa" w:w="3024"/>
            <w:tcMar>
              <w:top w:w="100" w:type="dxa"/>
              <w:start w:w="120" w:type="dxa"/>
              <w:bottom w:w="100" w:type="dxa"/>
              <w:end w:w="120" w:type="dxa"/>
            </w:tcMar>
            <w:vAlign w:val="center"/>
            <w:shd w:fill="F3F0EB"/>
          </w:tcPr>
          <w:p>
            <w:r>
              <w:rPr>
                <w:sz w:val="15"/>
              </w:rPr>
              <w:t>Nigeria-facing personal-data processing requires approved legal interpretation and documented compliance.</w:t>
            </w:r>
          </w:p>
        </w:tc>
      </w:tr>
    </w:tbl>
    <w:p/>
    <w:p>
      <w:pPr>
        <w:pStyle w:val="Caption"/>
      </w:pPr>
      <w:r>
        <w:t>SRC-001: American Marketing Association, Definition of marketing. https://www.ama.org/the-definition-of-marketing-what-is-marketing/</w:t>
      </w:r>
    </w:p>
    <w:p>
      <w:pPr>
        <w:pStyle w:val="Caption"/>
      </w:pPr>
      <w:r>
        <w:t>SRC-002: UK Information Commissioner’s Office, Electronic mail marketing and PECR. https://ico.org.uk/for-organisations/direct-marketing-and-privacy-and-electronic-communications/guide-to-pecr/electronic-and-telephone-marketing/electronic-mail-marketing/</w:t>
      </w:r>
    </w:p>
    <w:p>
      <w:pPr>
        <w:pStyle w:val="Caption"/>
      </w:pPr>
      <w:r>
        <w:t>SRC-003: Meta for Developers, Instagram Platform. https://developers.facebook.com/docs/instagram-platform/</w:t>
      </w:r>
    </w:p>
    <w:p>
      <w:pPr>
        <w:pStyle w:val="Caption"/>
      </w:pPr>
      <w:r>
        <w:t>SRC-004: Meta Transparency Center, Advertising Standards. https://transparency.meta.com/policies/ad-standards/</w:t>
      </w:r>
    </w:p>
    <w:p>
      <w:pPr>
        <w:pStyle w:val="Caption"/>
      </w:pPr>
      <w:r>
        <w:t>SRC-005: Google for Developers, Google Ads API. https://developers.google.com/google-ads/api/docs/start</w:t>
      </w:r>
    </w:p>
    <w:p>
      <w:pPr>
        <w:pStyle w:val="Caption"/>
      </w:pPr>
      <w:r>
        <w:t>SRC-006: Google Search Central, Search Essentials. https://developers.google.com/search/docs/essentials</w:t>
      </w:r>
    </w:p>
    <w:p>
      <w:pPr>
        <w:pStyle w:val="Caption"/>
      </w:pPr>
      <w:r>
        <w:t>SRC-007: NIST, AI Risk Management Framework. https://www.nist.gov/itl/ai-risk-management-framework</w:t>
      </w:r>
    </w:p>
    <w:p>
      <w:pPr>
        <w:pStyle w:val="Caption"/>
      </w:pPr>
      <w:r>
        <w:t>SRC-008: NIST, Generative AI Profile. https://www.nist.gov/publications/artificial-intelligence-risk-management-framework-generative-artificial-intelligence</w:t>
      </w:r>
    </w:p>
    <w:p>
      <w:pPr>
        <w:pStyle w:val="Caption"/>
      </w:pPr>
      <w:r>
        <w:t>SRC-009: Advertising Standards Authority / CAP, UK Code of Non-broadcast Advertising and Direct &amp; Promotional Marketing. https://www.asa.org.uk/codes-and-rulings/advertising-codes/non-broadcast-code.html</w:t>
      </w:r>
    </w:p>
    <w:p>
      <w:pPr>
        <w:pStyle w:val="Caption"/>
      </w:pPr>
      <w:r>
        <w:t>SRC-010: Nigeria Data Protection Commission, Nigeria Data Protection Act and regulatory guidance. https://ndpc.gov.ng/</w:t>
      </w:r>
    </w:p>
    <w:sectPr w:rsidR="00FC693F" w:rsidRPr="0006063C" w:rsidSect="00034616">
      <w:headerReference w:type="default" r:id="rId9"/>
      <w:footerReference w:type="default" r:id="rId10"/>
      <w:pgSz w:w="11952" w:h="1684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Controlled draft  •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D6670"/>
      </w:rPr>
      <w:t>MAISON DOCLAR  |  MD-MKT-DOC-001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8202A"/>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B79F85"/>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820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20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5D66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