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MAISON DOCLAR</w:t>
      </w:r>
    </w:p>
    <w:p>
      <w:pPr>
        <w:pStyle w:val="Title"/>
        <w:jc w:val="center"/>
      </w:pPr>
      <w:r>
        <w:t>Marketing &amp; Growth OS Product and Intelligence Blueprint</w:t>
      </w:r>
    </w:p>
    <w:p>
      <w:pPr>
        <w:pStyle w:val="Subtitle"/>
        <w:jc w:val="center"/>
      </w:pPr>
      <w:r>
        <w:t>Clean-slate architecture for an experienced, explainable AI Marketing Director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208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Document ID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MD-MKT-BP-001</w:t>
            </w:r>
          </w:p>
        </w:tc>
      </w:tr>
      <w:tr>
        <w:tc>
          <w:tcPr>
            <w:tcW w:type="dxa" w:w="208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208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DRAFT FOR CEO RATIFICATION</w:t>
            </w:r>
          </w:p>
        </w:tc>
      </w:tr>
      <w:tr>
        <w:tc>
          <w:tcPr>
            <w:tcW w:type="dxa" w:w="208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Prepared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04 September 2026</w:t>
            </w:r>
          </w:p>
        </w:tc>
      </w:tr>
    </w:tbl>
    <w:p>
      <w:pPr>
        <w:pStyle w:val="Heading2"/>
      </w:pPr>
      <w:r>
        <w:t>Authority note</w:t>
      </w:r>
    </w:p>
    <w:p>
      <w:r>
        <w:t>This document is a proposed Maison Doclar control instrument. It becomes authoritative only after CEO ratification. Legal, regulatory, cultural, protocol, financial, tax and platform-specific conclusions remain subject to the named competent authority. Unsupported facts are never converted into doctrine merely because an AI generated them.</w:t>
      </w:r>
    </w:p>
    <w:p>
      <w:r>
        <w:br w:type="page"/>
      </w:r>
    </w:p>
    <w:p>
      <w:pPr>
        <w:pStyle w:val="Title"/>
      </w:pPr>
      <w:r>
        <w:t>Contents</w:t>
      </w:r>
    </w:p>
    <w:p>
      <w:pPr>
        <w:spacing w:after="40" w:line="240" w:lineRule="auto"/>
      </w:pPr>
      <w:r>
        <w:rPr>
          <w:rFonts w:ascii="Aptos" w:hAnsi="Aptos"/>
          <w:color w:val="5D6670"/>
          <w:sz w:val="17"/>
        </w:rPr>
        <w:t>Authority note</w:t>
        <w:br/>
      </w:r>
      <w:r>
        <w:rPr>
          <w:rFonts w:ascii="Aptos" w:hAnsi="Aptos"/>
          <w:b/>
          <w:color w:val="18202A"/>
          <w:sz w:val="18"/>
        </w:rPr>
        <w:t>1. Product mandate</w:t>
        <w:br/>
      </w:r>
      <w:r>
        <w:rPr>
          <w:rFonts w:ascii="Aptos" w:hAnsi="Aptos"/>
          <w:b/>
          <w:color w:val="18202A"/>
          <w:sz w:val="18"/>
        </w:rPr>
        <w:t>2. Personas and permission model</w:t>
        <w:br/>
      </w:r>
      <w:r>
        <w:rPr>
          <w:rFonts w:ascii="Aptos" w:hAnsi="Aptos"/>
          <w:b/>
          <w:color w:val="18202A"/>
          <w:sz w:val="18"/>
        </w:rPr>
        <w:t>3. Experience architecture</w:t>
        <w:br/>
      </w:r>
      <w:r>
        <w:rPr>
          <w:rFonts w:ascii="Aptos" w:hAnsi="Aptos"/>
          <w:color w:val="5D6670"/>
          <w:sz w:val="17"/>
        </w:rPr>
        <w:t>Today</w:t>
        <w:br/>
      </w:r>
      <w:r>
        <w:rPr>
          <w:rFonts w:ascii="Aptos" w:hAnsi="Aptos"/>
          <w:color w:val="5D6670"/>
          <w:sz w:val="17"/>
        </w:rPr>
        <w:t>Diagnose</w:t>
        <w:br/>
      </w:r>
      <w:r>
        <w:rPr>
          <w:rFonts w:ascii="Aptos" w:hAnsi="Aptos"/>
          <w:color w:val="5D6670"/>
          <w:sz w:val="17"/>
        </w:rPr>
        <w:t>Strategy</w:t>
        <w:br/>
      </w:r>
      <w:r>
        <w:rPr>
          <w:rFonts w:ascii="Aptos" w:hAnsi="Aptos"/>
          <w:color w:val="5D6670"/>
          <w:sz w:val="17"/>
        </w:rPr>
        <w:t>Campaigns</w:t>
        <w:br/>
      </w:r>
      <w:r>
        <w:rPr>
          <w:rFonts w:ascii="Aptos" w:hAnsi="Aptos"/>
          <w:color w:val="5D6670"/>
          <w:sz w:val="17"/>
        </w:rPr>
        <w:t>Studio</w:t>
        <w:br/>
      </w:r>
      <w:r>
        <w:rPr>
          <w:rFonts w:ascii="Aptos" w:hAnsi="Aptos"/>
          <w:color w:val="5D6670"/>
          <w:sz w:val="17"/>
        </w:rPr>
        <w:t>Relationships</w:t>
        <w:br/>
      </w:r>
      <w:r>
        <w:rPr>
          <w:rFonts w:ascii="Aptos" w:hAnsi="Aptos"/>
          <w:color w:val="5D6670"/>
          <w:sz w:val="17"/>
        </w:rPr>
        <w:t>Channels</w:t>
        <w:br/>
      </w:r>
      <w:r>
        <w:rPr>
          <w:rFonts w:ascii="Aptos" w:hAnsi="Aptos"/>
          <w:color w:val="5D6670"/>
          <w:sz w:val="17"/>
        </w:rPr>
        <w:t>Reputation</w:t>
        <w:br/>
      </w:r>
      <w:r>
        <w:rPr>
          <w:rFonts w:ascii="Aptos" w:hAnsi="Aptos"/>
          <w:color w:val="5D6670"/>
          <w:sz w:val="17"/>
        </w:rPr>
        <w:t>Intelligence</w:t>
        <w:br/>
      </w:r>
      <w:r>
        <w:rPr>
          <w:rFonts w:ascii="Aptos" w:hAnsi="Aptos"/>
          <w:color w:val="5D6670"/>
          <w:sz w:val="17"/>
        </w:rPr>
        <w:t>Knowledge</w:t>
        <w:br/>
      </w:r>
      <w:r>
        <w:rPr>
          <w:rFonts w:ascii="Aptos" w:hAnsi="Aptos"/>
          <w:color w:val="5D6670"/>
          <w:sz w:val="17"/>
        </w:rPr>
        <w:t>Governance</w:t>
        <w:br/>
      </w:r>
      <w:r>
        <w:rPr>
          <w:rFonts w:ascii="Aptos" w:hAnsi="Aptos"/>
          <w:color w:val="5D6670"/>
          <w:sz w:val="17"/>
        </w:rPr>
        <w:t>Settings</w:t>
        <w:br/>
      </w:r>
      <w:r>
        <w:rPr>
          <w:rFonts w:ascii="Aptos" w:hAnsi="Aptos"/>
          <w:b/>
          <w:color w:val="18202A"/>
          <w:sz w:val="18"/>
        </w:rPr>
        <w:t>4. The novice-safe interaction contract</w:t>
        <w:br/>
      </w:r>
      <w:r>
        <w:rPr>
          <w:rFonts w:ascii="Aptos" w:hAnsi="Aptos"/>
          <w:b/>
          <w:color w:val="18202A"/>
          <w:sz w:val="18"/>
        </w:rPr>
        <w:t>5. Domain architecture</w:t>
        <w:br/>
      </w:r>
      <w:r>
        <w:rPr>
          <w:rFonts w:ascii="Aptos" w:hAnsi="Aptos"/>
          <w:b/>
          <w:color w:val="18202A"/>
          <w:sz w:val="18"/>
        </w:rPr>
        <w:t>6. Clean-slate technical reference architecture</w:t>
        <w:br/>
      </w:r>
      <w:r>
        <w:rPr>
          <w:rFonts w:ascii="Aptos" w:hAnsi="Aptos"/>
          <w:b/>
          <w:color w:val="18202A"/>
          <w:sz w:val="18"/>
        </w:rPr>
        <w:t>7. Representative TypeScript domain contracts</w:t>
        <w:br/>
      </w:r>
      <w:r>
        <w:rPr>
          <w:rFonts w:ascii="Aptos" w:hAnsi="Aptos"/>
          <w:b/>
          <w:color w:val="18202A"/>
          <w:sz w:val="18"/>
        </w:rPr>
        <w:t>8. Knowledge and retrieval architecture</w:t>
        <w:br/>
      </w:r>
      <w:r>
        <w:rPr>
          <w:rFonts w:ascii="Aptos" w:hAnsi="Aptos"/>
          <w:b/>
          <w:color w:val="18202A"/>
          <w:sz w:val="18"/>
        </w:rPr>
        <w:t>9. AI orchestration</w:t>
        <w:br/>
      </w:r>
      <w:r>
        <w:rPr>
          <w:rFonts w:ascii="Aptos" w:hAnsi="Aptos"/>
          <w:b/>
          <w:color w:val="18202A"/>
          <w:sz w:val="18"/>
        </w:rPr>
        <w:t>10. Data ownership and tenant/event scope</w:t>
        <w:br/>
      </w:r>
      <w:r>
        <w:rPr>
          <w:rFonts w:ascii="Aptos" w:hAnsi="Aptos"/>
          <w:b/>
          <w:color w:val="18202A"/>
          <w:sz w:val="18"/>
        </w:rPr>
        <w:t>11. API and event principles</w:t>
        <w:br/>
      </w:r>
      <w:r>
        <w:rPr>
          <w:rFonts w:ascii="Aptos" w:hAnsi="Aptos"/>
          <w:b/>
          <w:color w:val="18202A"/>
          <w:sz w:val="18"/>
        </w:rPr>
        <w:t>12. Security and privacy architecture</w:t>
        <w:br/>
      </w:r>
      <w:r>
        <w:rPr>
          <w:rFonts w:ascii="Aptos" w:hAnsi="Aptos"/>
          <w:b/>
          <w:color w:val="18202A"/>
          <w:sz w:val="18"/>
        </w:rPr>
        <w:t>13. Reliability, observability and operations</w:t>
        <w:br/>
      </w:r>
      <w:r>
        <w:rPr>
          <w:rFonts w:ascii="Aptos" w:hAnsi="Aptos"/>
          <w:b/>
          <w:color w:val="18202A"/>
          <w:sz w:val="18"/>
        </w:rPr>
        <w:t>14. Testing strategy</w:t>
        <w:br/>
      </w:r>
      <w:r>
        <w:rPr>
          <w:rFonts w:ascii="Aptos" w:hAnsi="Aptos"/>
          <w:b/>
          <w:color w:val="18202A"/>
          <w:sz w:val="18"/>
        </w:rPr>
        <w:t>15. Phased delivery</w:t>
        <w:br/>
      </w:r>
      <w:r>
        <w:rPr>
          <w:rFonts w:ascii="Aptos" w:hAnsi="Aptos"/>
          <w:b/>
          <w:color w:val="18202A"/>
          <w:sz w:val="18"/>
        </w:rPr>
        <w:t>16. Acceptance standard</w:t>
        <w:br/>
      </w:r>
      <w:r>
        <w:rPr>
          <w:rFonts w:ascii="Aptos" w:hAnsi="Aptos"/>
          <w:color w:val="5D6670"/>
          <w:sz w:val="17"/>
        </w:rPr>
        <w:t>Appendix A. Sources</w:t>
      </w:r>
    </w:p>
    <w:p>
      <w:r>
        <w:br w:type="page"/>
      </w:r>
    </w:p>
    <w:p>
      <w:pPr>
        <w:pStyle w:val="Heading1"/>
      </w:pPr>
      <w:r>
        <w:t>1. Product mandate</w:t>
      </w:r>
    </w:p>
    <w:p>
      <w:r>
        <w:t>The product accepts a commercial outcome in ordinary language, diagnoses the business context, retrieves governed knowledge and evidence, proposes a strategy, prepares execution, obtains the correct approval, coordinates supported channels, observes outcomes and improves future recommendations. It must remain usable by a CEO who has no formal marketing training.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fill="F3F0E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</w:rPr>
              <w:t xml:space="preserve">North-star experience: </w:t>
            </w:r>
            <w:r>
              <w:t>The first screen behaves like a calm daily briefing from an experienced Marketing Director: what matters, why it matters, what is ready, what is blocked, what is producing value, and what decision is required.</w:t>
            </w:r>
          </w:p>
        </w:tc>
      </w:tr>
    </w:tbl>
    <w:p/>
    <w:p>
      <w:pPr>
        <w:pStyle w:val="Heading1"/>
      </w:pPr>
      <w:r>
        <w:t>2. Personas and permission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1800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4464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Needs</w:t>
            </w:r>
          </w:p>
        </w:tc>
        <w:tc>
          <w:tcPr>
            <w:tcW w:type="dxa" w:w="3240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Default authority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CEO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Plain-English decisions, commercial outcomes, risks and exceptions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Ratify doctrine, budgets, sensitive actions and releases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Marketing Lead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Plan, produce, coordinate, analyse and improve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Operate within delegated policies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Content/Brand Reviewer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Evidence, voice, rights and approvals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Approve assigned assets and claims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Relationship Owner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Context-rich follow-up and handoff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Access assigned accounts and interactions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Analyst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Quality, attribution, experiments and forecasts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Read governed facts; publish analyses, not actions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External Specialist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Narrow review of legal, cultural, PR or creative material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Time-bound least-privilege review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System Agent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Prepare or execute only within policy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self-expansion of permissions</w:t>
            </w:r>
          </w:p>
        </w:tc>
      </w:tr>
    </w:tbl>
    <w:p/>
    <w:p>
      <w:pPr>
        <w:pStyle w:val="Heading1"/>
      </w:pPr>
      <w:r>
        <w:t>3. Experience architecture</w:t>
      </w:r>
    </w:p>
    <w:p>
      <w:pPr>
        <w:pStyle w:val="Heading2"/>
      </w:pPr>
      <w:r>
        <w:t>Today</w:t>
      </w:r>
    </w:p>
    <w:p>
      <w:r>
        <w:t>Daily executive brief, recommended priorities, approvals, risks and performance.</w:t>
      </w:r>
    </w:p>
    <w:p>
      <w:pPr>
        <w:pStyle w:val="Heading2"/>
      </w:pPr>
      <w:r>
        <w:t>Diagnose</w:t>
      </w:r>
    </w:p>
    <w:p>
      <w:r>
        <w:t>Business onboarding, baseline, evidence gaps, capacity and opportunity assessment.</w:t>
      </w:r>
    </w:p>
    <w:p>
      <w:pPr>
        <w:pStyle w:val="Heading2"/>
      </w:pPr>
      <w:r>
        <w:t>Strategy</w:t>
      </w:r>
    </w:p>
    <w:p>
      <w:r>
        <w:t>Annual, quarterly, service, market and campaign plans with assumptions and scenarios.</w:t>
      </w:r>
    </w:p>
    <w:p>
      <w:pPr>
        <w:pStyle w:val="Heading2"/>
      </w:pPr>
      <w:r>
        <w:t>Campaigns</w:t>
      </w:r>
    </w:p>
    <w:p>
      <w:r>
        <w:t>Controlled plan-to-learn lifecycle.</w:t>
      </w:r>
    </w:p>
    <w:p>
      <w:pPr>
        <w:pStyle w:val="Heading2"/>
      </w:pPr>
      <w:r>
        <w:t>Studio</w:t>
      </w:r>
    </w:p>
    <w:p>
      <w:r>
        <w:t>Content, creative, proof, SEO and derivatives.</w:t>
      </w:r>
    </w:p>
    <w:p>
      <w:pPr>
        <w:pStyle w:val="Heading2"/>
      </w:pPr>
      <w:r>
        <w:t>Relationships</w:t>
      </w:r>
    </w:p>
    <w:p>
      <w:r>
        <w:t>Audiences, accounts, leads, pipeline, partners and permissioned journeys.</w:t>
      </w:r>
    </w:p>
    <w:p>
      <w:pPr>
        <w:pStyle w:val="Heading2"/>
      </w:pPr>
      <w:r>
        <w:t>Channels</w:t>
      </w:r>
    </w:p>
    <w:p>
      <w:r>
        <w:t>Owned, messaging, social, paid, PR and offline execution/health.</w:t>
      </w:r>
    </w:p>
    <w:p>
      <w:pPr>
        <w:pStyle w:val="Heading2"/>
      </w:pPr>
      <w:r>
        <w:t>Reputation</w:t>
      </w:r>
    </w:p>
    <w:p>
      <w:r>
        <w:t>Reviews, complaints, proof, referrals and recovery handoffs.</w:t>
      </w:r>
    </w:p>
    <w:p>
      <w:pPr>
        <w:pStyle w:val="Heading2"/>
      </w:pPr>
      <w:r>
        <w:t>Intelligence</w:t>
      </w:r>
    </w:p>
    <w:p>
      <w:r>
        <w:t>Metrics, attribution, experiments, forecasts and research.</w:t>
      </w:r>
    </w:p>
    <w:p>
      <w:pPr>
        <w:pStyle w:val="Heading2"/>
      </w:pPr>
      <w:r>
        <w:t>Knowledge</w:t>
      </w:r>
    </w:p>
    <w:p>
      <w:r>
        <w:t>Doctrine, evidence, sources, decisions and learning.</w:t>
      </w:r>
    </w:p>
    <w:p>
      <w:pPr>
        <w:pStyle w:val="Heading2"/>
      </w:pPr>
      <w:r>
        <w:t>Governance</w:t>
      </w:r>
    </w:p>
    <w:p>
      <w:r>
        <w:t>Consent, approval, autonomy, risks, audit, policies and emergency stop.</w:t>
      </w:r>
    </w:p>
    <w:p>
      <w:pPr>
        <w:pStyle w:val="Heading2"/>
      </w:pPr>
      <w:r>
        <w:t>Settings</w:t>
      </w:r>
    </w:p>
    <w:p>
      <w:r>
        <w:t>Connectors, roles, notifications, markets and model configuration.</w:t>
      </w:r>
    </w:p>
    <w:p>
      <w:pPr>
        <w:pStyle w:val="Heading1"/>
      </w:pPr>
      <w:r>
        <w:t>4. The novice-safe interaction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tblHeader w:val="true"/>
        </w:trPr>
        <w:tc>
          <w:tcPr>
            <w:tcW w:type="dxa" w:w="2304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200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Plain-language summary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unexplained acronym; states the business consequence first.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One primary recommendation plus credible alternatives where material.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Shows internal evidence, external sources, freshness and gaps.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Economics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Shows proposed budget, expected range, capacity impact and downside.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Authority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States what AI will do, what requires approval and what remains prohibited.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Learning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Defines when results will be reviewed and how uncertainty will be handled.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Education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Offers short contextual explanation without turning every screen into a course.</w:t>
            </w:r>
          </w:p>
        </w:tc>
      </w:tr>
    </w:tbl>
    <w:p/>
    <w:p>
      <w:pPr>
        <w:pStyle w:val="Heading1"/>
      </w:pPr>
      <w:r>
        <w:t>5. Domain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792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376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Bounded context</w:t>
            </w:r>
          </w:p>
        </w:tc>
        <w:tc>
          <w:tcPr>
            <w:tcW w:type="dxa" w:w="6336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Core aggregates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D01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Business Diagnosis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CompanyProfile, ServiceOffer, CapacityWindow, CommercialConstraint, BaselineAssessment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D02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Doctrine &amp; Knowledge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DoctrineItem, SourceRecord, EvidenceRecord, DecisionRecord, KnowledgeChange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D03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Market Intelligence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ResearchBrief, Finding, Competitor, MarketSignal, Opportunity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D04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Strategy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Objective, StrategyVersion, Scenario, BudgetEnvelope, Priority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D05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Campaigns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Campaign, PlanVersion, Approval, ActionRun, LearningRecord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D06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Brand &amp; Evidence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BrandRule, Claim, ProofAsset, UsageRight, CaseStudy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D07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Content &amp; Creative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Brief, ContentAsset, Version, Derivative, PublicationJob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D08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Audience &amp; Relationships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Party, IdentityLink, Segment, Consent, Account, Lead, Opportunity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D09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Channels &amp; Journeys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Connector, Capability, Journey, Message, Delivery, ChannelEvent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D10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Paid &amp; Conversion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PaidPlan, SpendAuthority, AdEntity, LandingExperience, ConversionEvent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D11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Reputation &amp; Advocacy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Review, Complaint, RecoveryHandoff, Testimonial, Referral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D12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Measurement &amp; Learning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Fact, MetricDefinition, AttributionRun, Experiment, Forecast, Insight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D13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Governance &amp; AI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RiskRule, AutonomyPolicy, ModelRun, Evaluation, AuditEvent, EmergencyStop</w:t>
            </w:r>
          </w:p>
        </w:tc>
      </w:tr>
    </w:tbl>
    <w:p/>
    <w:p>
      <w:pPr>
        <w:pStyle w:val="Heading1"/>
      </w:pPr>
      <w:r>
        <w:t>6. Clean-slate technical reference architecture</w:t>
      </w:r>
    </w:p>
    <w:p>
      <w:pPr>
        <w:pStyle w:val="ListBullet"/>
      </w:pPr>
      <w:r>
        <w:t>A pnpm workspace with a Next.js App Router web application, strict TypeScript packages and explicit service boundaries. The later M0 repository prompt decides the final topology; this blueprint does not claim paths already exist.</w:t>
      </w:r>
    </w:p>
    <w:p>
      <w:pPr>
        <w:pStyle w:val="ListBullet"/>
      </w:pPr>
      <w:r>
        <w:t>PostgreSQL as the system database with bounded schemas or an equivalent naming discipline. JSON is used for provider payload metadata or versioned structured documents, not as a substitute for relational ownership and indexes.</w:t>
      </w:r>
    </w:p>
    <w:p>
      <w:pPr>
        <w:pStyle w:val="ListBullet"/>
      </w:pPr>
      <w:r>
        <w:t>Zod schemas at every inbound request, event, provider boundary and model output; types inferred and shared rather than separately handwritten.</w:t>
      </w:r>
    </w:p>
    <w:p>
      <w:pPr>
        <w:pStyle w:val="ListBullet"/>
      </w:pPr>
      <w:r>
        <w:t>Server components for read-heavy views; client components only for interactive editors and stateful controls.</w:t>
      </w:r>
    </w:p>
    <w:p>
      <w:pPr>
        <w:pStyle w:val="ListBullet"/>
      </w:pPr>
      <w:r>
        <w:t>Postgres-backed durable jobs with transactional claim, lease, retry, dead-letter/reconciliation, idempotency and shutdown safety.</w:t>
      </w:r>
    </w:p>
    <w:p>
      <w:pPr>
        <w:pStyle w:val="ListBullet"/>
      </w:pPr>
      <w:r>
        <w:t>Provider-neutral adapters and a capability registry. The user interface cannot expose an action a connector cannot currently support.</w:t>
      </w:r>
    </w:p>
    <w:p>
      <w:pPr>
        <w:pStyle w:val="ListBullet"/>
      </w:pPr>
      <w:r>
        <w:t>Append-only audit events and versioned mutable business records. Destructive actions use reversible archive/retire patterns where practicable.</w:t>
      </w:r>
    </w:p>
    <w:p>
      <w:pPr>
        <w:pStyle w:val="ListBullet"/>
      </w:pPr>
      <w:r>
        <w:t>Object storage for controlled assets, checksums, malware scanning, rights metadata, derivatives and retention.</w:t>
      </w:r>
    </w:p>
    <w:p>
      <w:pPr>
        <w:pStyle w:val="Heading1"/>
      </w:pPr>
      <w:r>
        <w:t>7. Representative TypeScript domain contracts</w:t>
      </w:r>
    </w:p>
    <w:p>
      <w:r>
        <w:t>```ts</w:t>
        <w:br/>
        <w:t>export const EvidenceRefSchema = z.object({</w:t>
        <w:br/>
        <w:t xml:space="preserve">  id: z.string().uuid(), kind: z.enum(['INTERNAL','EXTERNAL','HUMAN_ATTESTATION']),</w:t>
        <w:br/>
        <w:t xml:space="preserve">  title: z.string().min(1), sourceUri: z.string().url().nullable(),</w:t>
        <w:br/>
        <w:t xml:space="preserve">  observedAt: z.string().datetime(), validUntil: z.string().datetime().nullable(),</w:t>
        <w:br/>
        <w:t xml:space="preserve">  reliability: z.enum(['UNVERIFIED','LIMITED','CORROBORATED','AUTHORITATIVE']),</w:t>
        <w:br/>
        <w:t xml:space="preserve">  supports: z.array(z.string().min(1)), jurisdiction: z.array(z.string())</w:t>
        <w:br/>
        <w:t>});</w:t>
        <w:br/>
        <w:t>export const RecommendationSchema = z.object({</w:t>
        <w:br/>
        <w:t xml:space="preserve">  schemaVersion: z.literal(1), id: z.string().uuid(), objectiveId: z.string().uuid(),</w:t>
        <w:br/>
        <w:t xml:space="preserve">  observation: z.string(), consequence: z.string(), recommendation: z.string(),</w:t>
        <w:br/>
        <w:t xml:space="preserve">  alternatives: z.array(z.object({label:z.string(), tradeoff:z.string()})),</w:t>
        <w:br/>
        <w:t xml:space="preserve">  estimatedCost: z.object({amount:z.number().nonnegative().nullable(),currency:z.string().length(3)}),</w:t>
        <w:br/>
        <w:t xml:space="preserve">  expectedOutcome: z.object({low:z.number().nullable(),base:z.number().nullable(),high:z.number().nullable(),unit:z.string()}),</w:t>
        <w:br/>
        <w:t xml:space="preserve">  assumptions: z.array(z.string()), evidence: z.array(EvidenceRefSchema),</w:t>
        <w:br/>
        <w:t xml:space="preserve">  confidence: z.enum(['LOW','MEDIUM','HIGH']), risk: z.enum(['LOW','MEDIUM','HIGH','CRITICAL']),</w:t>
        <w:br/>
        <w:t xml:space="preserve">  authority: z.object({requiredApproval:z.string().nullable(),autonomyPolicyId:z.string().uuid()}),</w:t>
        <w:br/>
        <w:t xml:space="preserve">  reviewAt: z.string().datetime(), generatedAt: z.string().datetime()</w:t>
        <w:br/>
        <w:t>});</w:t>
        <w:br/>
        <w:t>```</w:t>
      </w:r>
    </w:p>
    <w:p>
      <w:pPr>
        <w:pStyle w:val="Heading1"/>
      </w:pPr>
      <w:r>
        <w:t>8. Knowledge and retrieval architecture</w:t>
      </w:r>
    </w:p>
    <w:p>
      <w:pPr>
        <w:pStyle w:val="ListNumber"/>
      </w:pPr>
      <w:r>
        <w:t>Resolve task, actor, tenant, market, jurisdiction, client/event scope and intended action.</w:t>
      </w:r>
    </w:p>
    <w:p>
      <w:pPr>
        <w:pStyle w:val="ListNumber"/>
      </w:pPr>
      <w:r>
        <w:t>Retrieve ratified doctrine and current policy before advisory material.</w:t>
      </w:r>
    </w:p>
    <w:p>
      <w:pPr>
        <w:pStyle w:val="ListNumber"/>
      </w:pPr>
      <w:r>
        <w:t>Retrieve only evidence whose purpose, confidentiality, rights and freshness permit use.</w:t>
      </w:r>
    </w:p>
    <w:p>
      <w:pPr>
        <w:pStyle w:val="ListNumber"/>
      </w:pPr>
      <w:r>
        <w:t>Separate authoritative fact, approved Maison Doclar decision, external observation, inference and model suggestion.</w:t>
      </w:r>
    </w:p>
    <w:p>
      <w:pPr>
        <w:pStyle w:val="ListNumber"/>
      </w:pPr>
      <w:r>
        <w:t>Generate a schema-valid output with citations and uncertainty.</w:t>
      </w:r>
    </w:p>
    <w:p>
      <w:pPr>
        <w:pStyle w:val="ListNumber"/>
      </w:pPr>
      <w:r>
        <w:t>Run factual, claim, brand, cultural, privacy, safety, commercial and channel evaluators.</w:t>
      </w:r>
    </w:p>
    <w:p>
      <w:pPr>
        <w:pStyle w:val="ListNumber"/>
      </w:pPr>
      <w:r>
        <w:t>Apply risk and autonomy policy; block or route approvals.</w:t>
      </w:r>
    </w:p>
    <w:p>
      <w:pPr>
        <w:pStyle w:val="ListNumber"/>
      </w:pPr>
      <w:r>
        <w:t>Persist the exact context manifest, output, evaluation and decision lineage.</w:t>
      </w:r>
    </w:p>
    <w:p>
      <w:pPr>
        <w:pStyle w:val="Heading1"/>
      </w:pPr>
      <w:r>
        <w:t>9. AI orchestration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1872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Agent capability</w:t>
            </w:r>
          </w:p>
        </w:tc>
        <w:tc>
          <w:tcPr>
            <w:tcW w:type="dxa" w:w="3960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Allowed</w:t>
            </w:r>
          </w:p>
        </w:tc>
        <w:tc>
          <w:tcPr>
            <w:tcW w:type="dxa" w:w="3672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Not allowed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Research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Form queries, collect permitted sources, compare and summarise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Invent evidence, bypass access controls or scrape prohibited data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Strategist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Diagnose, create options, forecast scenarios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Treat forecast as fact or override commercial authority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Content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Draft structured assets and derivatives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Publish unapproved claims or restricted assets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Relationship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Prioritise and draft next action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Impersonate a human or contact suppressed people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Analyst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Reconcile metrics and surface uncertainty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Claim causation from correlation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Operator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Execute approved low-risk actions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Change its own limits, spend beyond cap or conceal failure</w:t>
            </w:r>
          </w:p>
        </w:tc>
      </w:tr>
    </w:tbl>
    <w:p/>
    <w:p>
      <w:pPr>
        <w:pStyle w:val="Heading1"/>
      </w:pPr>
      <w:r>
        <w:t>10. Data ownership and tenant/event scope</w:t>
      </w:r>
    </w:p>
    <w:p>
      <w:r>
        <w:t>Every table and event carries organisation scope; records derived from an event also carry event identifiers and source-system lineage. Cross-event learning is aggregate or de-identified unless a ratified purpose allows identifiable reuse. “Unknown” is a first-class state and must never be rendered as “clear”, “green” or “consented”.</w:t>
      </w:r>
    </w:p>
    <w:p>
      <w:pPr>
        <w:pStyle w:val="Heading1"/>
      </w:pPr>
      <w:r>
        <w:t>11. API and event principles</w:t>
      </w:r>
    </w:p>
    <w:p>
      <w:pPr>
        <w:pStyle w:val="ListBullet"/>
      </w:pPr>
      <w:r>
        <w:t>REST or route-handler contracts return `{ data, meta: { requestId, asOf } }` or a typed error envelope.</w:t>
      </w:r>
    </w:p>
    <w:p>
      <w:pPr>
        <w:pStyle w:val="ListBullet"/>
      </w:pPr>
      <w:r>
        <w:t>Mutations accept idempotency keys and expected versions where concurrent edits matter.</w:t>
      </w:r>
    </w:p>
    <w:p>
      <w:pPr>
        <w:pStyle w:val="ListBullet"/>
      </w:pPr>
      <w:r>
        <w:t>Events use stable names, versioned payloads, producer, occurredAt, recordedAt, correlationId, causationId and scope.</w:t>
      </w:r>
    </w:p>
    <w:p>
      <w:pPr>
        <w:pStyle w:val="ListBullet"/>
      </w:pPr>
      <w:r>
        <w:t>Consumers persist inbox records and deduplicate before effects; producers use an outbox when database state and event publication must be atomic.</w:t>
      </w:r>
    </w:p>
    <w:p>
      <w:pPr>
        <w:pStyle w:val="ListBullet"/>
      </w:pPr>
      <w:r>
        <w:t>No API leaks raw database rows, provider payloads, model context, secrets or stack traces.</w:t>
      </w:r>
    </w:p>
    <w:p>
      <w:pPr>
        <w:pStyle w:val="Heading1"/>
      </w:pPr>
      <w:r>
        <w:t>12. Security and privacy architecture</w:t>
      </w:r>
    </w:p>
    <w:p>
      <w:pPr>
        <w:pStyle w:val="ListBullet"/>
      </w:pPr>
      <w:r>
        <w:t>Role and attribute-based access with explicit purpose, market and client/event scope.</w:t>
      </w:r>
    </w:p>
    <w:p>
      <w:pPr>
        <w:pStyle w:val="ListBullet"/>
      </w:pPr>
      <w:r>
        <w:t>Secrets remain server-side in managed secret storage; connector tokens are never browser data.</w:t>
      </w:r>
    </w:p>
    <w:p>
      <w:pPr>
        <w:pStyle w:val="ListBullet"/>
      </w:pPr>
      <w:r>
        <w:t>Consent and suppression checks occur at plan, approval and execution time to prevent stale permission decisions.</w:t>
      </w:r>
    </w:p>
    <w:p>
      <w:pPr>
        <w:pStyle w:val="ListBullet"/>
      </w:pPr>
      <w:r>
        <w:t>Export, rectification, restriction, deletion, legal hold and retention workflows are traceable and conflict-aware.</w:t>
      </w:r>
    </w:p>
    <w:p>
      <w:pPr>
        <w:pStyle w:val="ListBullet"/>
      </w:pPr>
      <w:r>
        <w:t>Sensitive content and VIP information use narrower scopes, access logging and redacted views.</w:t>
      </w:r>
    </w:p>
    <w:p>
      <w:pPr>
        <w:pStyle w:val="ListBullet"/>
      </w:pPr>
      <w:r>
        <w:t>Prompt injection and untrusted-content controls separate retrieved content from system policy and executable instructions.</w:t>
      </w:r>
    </w:p>
    <w:p>
      <w:pPr>
        <w:pStyle w:val="Heading1"/>
      </w:pPr>
      <w:r>
        <w:t>13. Reliability, observability and operations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tblHeader w:val="true"/>
        </w:trPr>
        <w:tc>
          <w:tcPr>
            <w:tcW w:type="dxa" w:w="208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416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Required evidence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Health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Database, worker and configured connector checks without false claims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Jobs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Queue age, attempts, lease expiry, failure reason and reconciliation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Connectors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Capability, permission, quota, last success, degradation and webhook health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Latency, cost, validation, evaluator results, refusal/block and drift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Business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Funnel reconciliation, spend reconciliation, missing data and metric freshness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Release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Migration status, tests, deployment ID, rollback position and smoke evidence</w:t>
            </w:r>
          </w:p>
        </w:tc>
      </w:tr>
    </w:tbl>
    <w:p/>
    <w:p>
      <w:pPr>
        <w:pStyle w:val="Heading1"/>
      </w:pPr>
      <w:r>
        <w:t>14. Testing strategy</w:t>
      </w:r>
    </w:p>
    <w:p>
      <w:pPr>
        <w:pStyle w:val="ListBullet"/>
      </w:pPr>
      <w:r>
        <w:t>Schema/property tests for every public contract and state transition.</w:t>
      </w:r>
    </w:p>
    <w:p>
      <w:pPr>
        <w:pStyle w:val="ListBullet"/>
      </w:pPr>
      <w:r>
        <w:t>Repository and service tests for tenancy, authorisation, idempotency, version conflict and append-only controls.</w:t>
      </w:r>
    </w:p>
    <w:p>
      <w:pPr>
        <w:pStyle w:val="ListBullet"/>
      </w:pPr>
      <w:r>
        <w:t>Connector contract tests using recorded, redacted fixtures plus sandbox tests where providers support them.</w:t>
      </w:r>
    </w:p>
    <w:p>
      <w:pPr>
        <w:pStyle w:val="ListBullet"/>
      </w:pPr>
      <w:r>
        <w:t>AI evaluation sets covering hallucination, weak evidence, brand drift, unsafe persuasion, prompt injection, sensitive data and uncertainty.</w:t>
      </w:r>
    </w:p>
    <w:p>
      <w:pPr>
        <w:pStyle w:val="ListBullet"/>
      </w:pPr>
      <w:r>
        <w:t>Playwright journeys for novice onboarding, decision brief, approval, blocked action, connector failure, emergency stop and audit reconstruction.</w:t>
      </w:r>
    </w:p>
    <w:p>
      <w:pPr>
        <w:pStyle w:val="ListBullet"/>
      </w:pPr>
      <w:r>
        <w:t>Reconciliation tests tying marketing facts to Event OS, Academy and finance/control totals.</w:t>
      </w:r>
    </w:p>
    <w:p>
      <w:pPr>
        <w:pStyle w:val="Heading1"/>
      </w:pPr>
      <w:r>
        <w:t>15. Phased delivery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936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Phase</w:t>
            </w:r>
          </w:p>
        </w:tc>
        <w:tc>
          <w:tcPr>
            <w:tcW w:type="dxa" w:w="3312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Outcome</w:t>
            </w:r>
          </w:p>
        </w:tc>
        <w:tc>
          <w:tcPr>
            <w:tcW w:type="dxa" w:w="5256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Release condition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M0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Reconnaissance and decisions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Verified repo, providers, policies, data and baseline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M1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Diagnosis and commercial foundation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Business profile, offers, capacity, baseline and evidence gaps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M2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Doctrine and knowledge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Ratified knowledge, sources, evidence vault and novice guidance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M3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Strategy and command centre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Objectives, strategies, scenarios, budgets, campaigns and approvals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M4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Content and owned growth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Studio, brand, SEO, website and rights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M5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Relationships and lifecycle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Consent, identity, leads, pipeline and journeys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M6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Social and reputation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Publishing, listening, reviews, complaints and response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M7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Measurement and learning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Facts, attribution, experiments, forecasts and executive reporting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M8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Paid and conversion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Provider-supported ads, landing tests and spend control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M9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Events, PR and partnerships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Event-led growth, creators, press, referrals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M10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Estate integration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5"/>
              </w:rPr>
              <w:t>Event OS, Academy and finance/control contracts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M11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AI validation and release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Shadow mode, calibration, bounded autonomy and acceptance</w:t>
            </w:r>
          </w:p>
        </w:tc>
      </w:tr>
    </w:tbl>
    <w:p/>
    <w:p>
      <w:pPr>
        <w:pStyle w:val="Heading1"/>
      </w:pPr>
      <w:r>
        <w:t>16. Acceptance standard</w:t>
      </w:r>
    </w:p>
    <w:p>
      <w:pPr>
        <w:pStyle w:val="ListBullet"/>
      </w:pPr>
      <w:r>
        <w:t>A CEO with no assumed marketing knowledge can state a goal, understand the recommendation and make an informed decision.</w:t>
      </w:r>
    </w:p>
    <w:p>
      <w:pPr>
        <w:pStyle w:val="ListBullet"/>
      </w:pPr>
      <w:r>
        <w:t>No system action is possible without current permission, connector capability, budget authority and a traceable approved policy.</w:t>
      </w:r>
    </w:p>
    <w:p>
      <w:pPr>
        <w:pStyle w:val="ListBullet"/>
      </w:pPr>
      <w:r>
        <w:t>Every material claim and recommendation can be reconstructed from doctrine, evidence, assumptions, model/prompt version and human decisions.</w:t>
      </w:r>
    </w:p>
    <w:p>
      <w:pPr>
        <w:pStyle w:val="ListBullet"/>
      </w:pPr>
      <w:r>
        <w:t>No event or Academy source-of-truth is duplicated without an explicit synchronisation contract.</w:t>
      </w:r>
    </w:p>
    <w:p>
      <w:pPr>
        <w:pStyle w:val="ListBullet"/>
      </w:pPr>
      <w:r>
        <w:t>The system can say “insufficient evidence”, remain in draft, or stop safely.</w:t>
      </w:r>
    </w:p>
    <w:p>
      <w:pPr>
        <w:pStyle w:val="ListBullet"/>
      </w:pPr>
      <w:r>
        <w:t>A production incident can be contained through emergency stop, connector disablement, job cancellation and audit reconstruction.</w:t>
      </w:r>
    </w:p>
    <w:p>
      <w:pPr>
        <w:pStyle w:val="Heading1"/>
      </w:pPr>
      <w:r>
        <w:t>Appendix A. Sources</w:t>
      </w:r>
    </w:p>
    <w:p>
      <w:r>
        <w:t>SRC-001 — American Marketing Association: Definition of marketing. https://www.ama.org/the-definition-of-marketing-what-is-marketing/</w:t>
      </w:r>
    </w:p>
    <w:p>
      <w:r>
        <w:t>SRC-002 — UK Information Commissioner’s Office: Electronic mail marketing and PECR. https://ico.org.uk/for-organisations/direct-marketing-and-privacy-and-electronic-communications/guide-to-pecr/electronic-and-telephone-marketing/electronic-mail-marketing/</w:t>
      </w:r>
    </w:p>
    <w:p>
      <w:r>
        <w:t>SRC-003 — Meta for Developers: Instagram Platform. https://developers.facebook.com/docs/instagram-platform/</w:t>
      </w:r>
    </w:p>
    <w:p>
      <w:r>
        <w:t>SRC-004 — Meta Transparency Center: Advertising Standards. https://transparency.meta.com/policies/ad-standards/</w:t>
      </w:r>
    </w:p>
    <w:p>
      <w:r>
        <w:t>SRC-005 — Google for Developers: Google Ads API. https://developers.google.com/google-ads/api/docs/start</w:t>
      </w:r>
    </w:p>
    <w:p>
      <w:r>
        <w:t>SRC-006 — Google Search Central: Search Essentials. https://developers.google.com/search/docs/essentials</w:t>
      </w:r>
    </w:p>
    <w:p>
      <w:r>
        <w:t>SRC-007 — NIST: AI Risk Management Framework. https://www.nist.gov/itl/ai-risk-management-framework</w:t>
      </w:r>
    </w:p>
    <w:p>
      <w:r>
        <w:t>SRC-008 — NIST: Generative AI Profile. https://www.nist.gov/publications/artificial-intelligence-risk-management-framework-generative-artificial-intelligence</w:t>
      </w:r>
    </w:p>
    <w:p>
      <w:r>
        <w:t>SRC-009 — Advertising Standards Authority / CAP: UK Code of Non-broadcast Advertising and Direct &amp; Promotional Marketing. https://www.asa.org.uk/codes-and-rulings/advertising-codes/non-broadcast-code.html</w:t>
      </w:r>
    </w:p>
    <w:p>
      <w:r>
        <w:t>SRC-010 — Nigeria Data Protection Commission: Nigeria Data Protection Act and regulatory guidance. https://ndpc.gov.ng/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Controlled draft  •  </w:t>
    </w:r>
    <w:r>
      <w:fldChar w:fldCharType="begin"/>
    </w:r>
    <w:r>
      <w:instrText xml:space="preserve">PAGE</w:instrTex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D6670"/>
      </w:rPr>
      <w:t>MAISON DOCLAR  |  MD-MKT-BP-001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79F8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20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5D66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