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Marketing Knowledge Traceability Register</w:t>
      </w:r>
    </w:p>
    <w:p>
      <w:pPr>
        <w:pStyle w:val="Subtitle"/>
        <w:jc w:val="center"/>
      </w:pPr>
      <w:r>
        <w:t>Doctrine to data, workflow, AI, interface, test and Academy competency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Document ID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MD-MKT-KTR-001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DRAFT FOR CEO RATIFICATION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Prepared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04 September 2026</w:t>
            </w:r>
          </w:p>
        </w:tc>
      </w:tr>
    </w:tbl>
    <w:p>
      <w:pPr>
        <w:pStyle w:val="Heading2"/>
      </w:pPr>
      <w:r>
        <w:t>Authority note</w:t>
      </w:r>
    </w:p>
    <w:p>
      <w:r>
        <w:t>This document is a proposed Maison Doclar control instrument. It becomes authoritative only after CEO ratification. Legal, regulatory, cultural, protocol, financial, tax and platform-specific conclusions remain subject to the named competent authority. Unsupported facts are never converted into doctrine merely because an AI generated them.</w:t>
      </w:r>
    </w:p>
    <w:p>
      <w:r>
        <w:br w:type="page"/>
      </w:r>
    </w:p>
    <w:p>
      <w:pPr>
        <w:pStyle w:val="Title"/>
      </w:pPr>
      <w:r>
        <w:t>Contents</w:t>
      </w:r>
    </w:p>
    <w:p>
      <w:pPr>
        <w:spacing w:after="40" w:line="240" w:lineRule="auto"/>
      </w:pPr>
      <w:r>
        <w:rPr>
          <w:rFonts w:ascii="Aptos" w:hAnsi="Aptos"/>
          <w:color w:val="5D6670"/>
          <w:sz w:val="17"/>
        </w:rPr>
        <w:t>Authority note</w:t>
        <w:br/>
      </w:r>
      <w:r>
        <w:rPr>
          <w:rFonts w:ascii="Aptos" w:hAnsi="Aptos"/>
          <w:b/>
          <w:color w:val="18202A"/>
          <w:sz w:val="18"/>
        </w:rPr>
        <w:t>1. Register rules</w:t>
        <w:br/>
      </w:r>
      <w:r>
        <w:rPr>
          <w:rFonts w:ascii="Aptos" w:hAnsi="Aptos"/>
          <w:b/>
          <w:color w:val="18202A"/>
          <w:sz w:val="18"/>
        </w:rPr>
        <w:t>2. Traceability model</w:t>
        <w:br/>
      </w:r>
      <w:r>
        <w:rPr>
          <w:rFonts w:ascii="Aptos" w:hAnsi="Aptos"/>
          <w:b/>
          <w:color w:val="18202A"/>
          <w:sz w:val="18"/>
        </w:rPr>
        <w:t>3. Implementation evidence requirements</w:t>
        <w:br/>
      </w:r>
      <w:r>
        <w:rPr>
          <w:rFonts w:ascii="Aptos" w:hAnsi="Aptos"/>
          <w:b/>
          <w:color w:val="18202A"/>
          <w:sz w:val="18"/>
        </w:rPr>
        <w:t>4. Orphan controls</w:t>
        <w:br/>
      </w:r>
      <w:r>
        <w:rPr>
          <w:rFonts w:ascii="Aptos" w:hAnsi="Aptos"/>
          <w:b/>
          <w:color w:val="18202A"/>
          <w:sz w:val="18"/>
        </w:rPr>
        <w:t>5. Change-impact register template</w:t>
        <w:br/>
      </w:r>
      <w:r>
        <w:rPr>
          <w:rFonts w:ascii="Aptos" w:hAnsi="Aptos"/>
          <w:b/>
          <w:color w:val="18202A"/>
          <w:sz w:val="18"/>
        </w:rPr>
        <w:t>6. Release completeness tests</w:t>
      </w:r>
    </w:p>
    <w:p>
      <w:r>
        <w:br w:type="page"/>
      </w:r>
    </w:p>
    <w:p>
      <w:pPr>
        <w:pStyle w:val="Heading1"/>
      </w:pPr>
      <w:r>
        <w:t>1. Register rules</w:t>
      </w:r>
    </w:p>
    <w:p>
      <w:pPr>
        <w:pStyle w:val="ListBullet"/>
      </w:pPr>
      <w:r>
        <w:t>A mapping is not implementation evidence. “Designed”, “built”, “tested”, “validated” and “released” are distinct states.</w:t>
      </w:r>
    </w:p>
    <w:p>
      <w:pPr>
        <w:pStyle w:val="ListBullet"/>
      </w:pPr>
      <w:r>
        <w:t>Every executable AI or rule outcome must cite one or more stable doctrine IDs and the effective version.</w:t>
      </w:r>
    </w:p>
    <w:p>
      <w:pPr>
        <w:pStyle w:val="ListBullet"/>
      </w:pPr>
      <w:r>
        <w:t>Every operational competency created by marketing work must have an Academy disposition: teach, assess, authorise, awareness-only or not applicable.</w:t>
      </w:r>
    </w:p>
    <w:p>
      <w:pPr>
        <w:pStyle w:val="ListBullet"/>
      </w:pPr>
      <w:r>
        <w:t>Critical doctrine may not remain orphaned from data, workflow, interface or test.</w:t>
      </w:r>
    </w:p>
    <w:p>
      <w:pPr>
        <w:pStyle w:val="ListBullet"/>
      </w:pPr>
      <w:r>
        <w:t>New doctrine has a source and authority; source material that is excluded has an explicit disposition.</w:t>
      </w:r>
    </w:p>
    <w:p>
      <w:pPr>
        <w:pStyle w:val="Heading1"/>
      </w:pPr>
      <w:r>
        <w:t>2. Traceability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tblHeader w:val="true"/>
        </w:trPr>
        <w:tc>
          <w:tcPr>
            <w:tcW w:type="dxa" w:w="108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Doctrine ID</w:t>
            </w:r>
          </w:p>
        </w:tc>
        <w:tc>
          <w:tcPr>
            <w:tcW w:type="dxa" w:w="158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Rule</w:t>
            </w:r>
          </w:p>
        </w:tc>
        <w:tc>
          <w:tcPr>
            <w:tcW w:type="dxa" w:w="165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Data</w:t>
            </w:r>
          </w:p>
        </w:tc>
        <w:tc>
          <w:tcPr>
            <w:tcW w:type="dxa" w:w="144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Workflow</w:t>
            </w:r>
          </w:p>
        </w:tc>
        <w:tc>
          <w:tcPr>
            <w:tcW w:type="dxa" w:w="93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AI</w:t>
            </w:r>
          </w:p>
        </w:tc>
        <w:tc>
          <w:tcPr>
            <w:tcW w:type="dxa" w:w="129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UI</w:t>
            </w:r>
          </w:p>
        </w:tc>
        <w:tc>
          <w:tcPr>
            <w:tcW w:type="dxa" w:w="180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Acceptance test</w:t>
            </w:r>
          </w:p>
        </w:tc>
        <w:tc>
          <w:tcPr>
            <w:tcW w:type="dxa" w:w="165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Academy</w:t>
            </w:r>
          </w:p>
        </w:tc>
        <w:tc>
          <w:tcPr>
            <w:tcW w:type="dxa" w:w="93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State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MKT-DOC-001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Value before volume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ServiceOffer, Objective, MetricDefinition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Diagnosis → Strategy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Strategist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Today priority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Qualified-demand metric test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Commercial judgment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MKT-DOC-002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Truth before persuasion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Claim, EvidenceRecord, UsageRight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Content review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Content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Evidence panel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Unsupported claim blocks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Claim substantiation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MKT-DOC-003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People before data points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Consent, Purpose, Suppression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Segment/send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Relationship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Consent ledger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Suppressed party excluded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Consent foundations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MKT-DOC-004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Promise must match delivery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CapacityWindow, Offer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Campaign approval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Strategist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Capacity warning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Restricted capacity blocks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Event-commercial alignment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MKT-DOC-005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Human authority remains real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AutonomyPolicy, Approval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All consequential actions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Operator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Approval gate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No authority → no effect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AI governance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MKT-DOC-006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Learning is an asset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LearningRecord, Experiment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Campaign close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Analyst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Learning review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Close requires interpretation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Measurement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MKT-DOC-007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Separate guest operations and marketing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Purpose, IdentityLink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Event handoff/segment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Relationship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Purpose boundary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Guest without permission excluded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Guest-data ethics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MKT-DOC-008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Approved offer before promotion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ServiceOffer, PriceAuthority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Strategy/campaign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Strategist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Offer card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Undefined offer blocks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Offer governance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MKT-DOC-009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Margin-aware growth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CostAssumption, Outcome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Plan/measurement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Strategist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Economics panel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Revenue-only optimisation rejected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Commercial measurement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MKT-DOC-010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Evidence-ranked research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SourceRecord, Finding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Research brief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Researcher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Source inspector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Inference labelled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Research literacy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MKT-DOC-011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Source freshness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SourceRecord.validUntil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Retrieval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Researcher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Stale badge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Expired source excluded/flagged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Research literacy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MKT-DOC-012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Competitor claim is not fact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Finding.evidenceType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Competitor analysis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Researcher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Claim label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No claim promoted to fact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Competitive intelligence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MKT-DOC-013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Plain English first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Recommendation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All advice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Explainer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Decision brief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Acronym/accessibility test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Executive communication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MKT-DOC-014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One primary recommendation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Recommendation, Alternative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Decision brief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Strategist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Recommendation card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Primary + alternatives schema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Decision quality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MKT-DOC-015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Economics visible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Budget, Forecast, Capacity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Approval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Strategist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Cost/outcome panel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Missing downside blocks approval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Commercial judgment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MKT-DOC-016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Channel capability verified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ConnectorCapability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Execution preflight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Operator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Connector health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Unsupported action hidden/blocked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Channel operations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MKT-DOC-017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Consent checked twice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ConsentDecision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Plan and execution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Operator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Preflight result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Revocation prevents queued send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Consent operations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MKT-DOC-018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Exact approved version executes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ContentVersion, Approval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Publication/send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Operator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Version fingerprint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Mutation after approval invalidates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Content governance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MKT-DOC-019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Hard paid-spend limits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SpendAuthority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Paid execution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Paid operator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Spend gate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Amount above cap rejected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Paid media controls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MKT-DOC-020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Attribution is model-labelled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AttributionRun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Reporting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Analyst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Attribution explanation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No unlabelled credit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Attribution literacy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MKT-DOC-021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Correlation is not causation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Insight.evidenceClass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Insight review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Analyst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Evidence badge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Language evaluator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Measurement reasoning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MKT-DOC-022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Inconclusive is valid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ExperimentResult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Experiment close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Analyst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Result state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Low evidence not “winner”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Experimentation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MKT-DOC-023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Sensitive response remains human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Case, RiskRule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Complaint/press response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Response drafter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Escalation panel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No autonomous send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Reputation escalation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MKT-DOC-024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Rights before asset use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UsageRight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Asset approval/publish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Content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Rights panel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Expired/missing rights block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Rights management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MKT-DOC-025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Cultural assertion verified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AuthorityRecord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Content/strategy review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Evaluator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Authority warning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Material assertion blocks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Cultural intelligence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MKT-DOC-026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AI output provenance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ModelRun, ContextManifest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Generation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All agents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Provenance drawer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Every output reconstructable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AI governance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MKT-DOC-027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Model change evaluated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ModelRelease, Evaluation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Release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Evaluator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Release gate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Regression failure blocks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AI evaluation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MKT-DOC-028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Confidence is bounded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Recommendation.confidence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All advice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All agents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Confidence explanation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No pseudo-probability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Uncertainty literacy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MKT-DOC-029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Emergency stop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EmergencyStop, ActionRun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All external execution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Operator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Global stop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Queued effects cancelled/blocked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Incident response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DESIGNED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MKT-DOC-030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Change propagation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KnowledgeChange, Impact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Doctrine release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Change agent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Impact workspace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Orphans block release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Doctrine governance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2"/>
              </w:rPr>
              <w:t>DESIGNED</w:t>
            </w:r>
          </w:p>
        </w:tc>
      </w:tr>
    </w:tbl>
    <w:p/>
    <w:p>
      <w:pPr>
        <w:pStyle w:val="Heading1"/>
      </w:pPr>
      <w:r>
        <w:t>3. Implementation evidence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165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84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Minimum evidence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DESIGNED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Ratified mapping and accountable owner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BUILT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Code/schema/UI paths and migration/build identifiers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TESTED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Automated test IDs and passing build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VALIDATED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Human evaluation or controlled operational evidence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RELEASED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Deployment ID, effective configuration and release authority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SUSPENDED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Reason, impact, containment and recovery owner</w:t>
            </w:r>
          </w:p>
        </w:tc>
      </w:tr>
    </w:tbl>
    <w:p/>
    <w:p>
      <w:pPr>
        <w:pStyle w:val="Heading1"/>
      </w:pPr>
      <w:r>
        <w:t>4. Orphan controls</w:t>
      </w:r>
    </w:p>
    <w:p>
      <w:pPr>
        <w:pStyle w:val="ListBullet"/>
      </w:pPr>
      <w:r>
        <w:t>Doctrine orphan: no system or deliberate human-only disposition.</w:t>
      </w:r>
    </w:p>
    <w:p>
      <w:pPr>
        <w:pStyle w:val="ListBullet"/>
      </w:pPr>
      <w:r>
        <w:t>Data orphan: collected field has no approved purpose, consumer or retention treatment.</w:t>
      </w:r>
    </w:p>
    <w:p>
      <w:pPr>
        <w:pStyle w:val="ListBullet"/>
      </w:pPr>
      <w:r>
        <w:t>Workflow orphan: consequential state transition has no doctrine or authority.</w:t>
      </w:r>
    </w:p>
    <w:p>
      <w:pPr>
        <w:pStyle w:val="ListBullet"/>
      </w:pPr>
      <w:r>
        <w:t>AI orphan: model output lacks schema, evidence, risk, evaluator or owner.</w:t>
      </w:r>
    </w:p>
    <w:p>
      <w:pPr>
        <w:pStyle w:val="ListBullet"/>
      </w:pPr>
      <w:r>
        <w:t>Interface orphan: user can approve an effect without seeing its consequence.</w:t>
      </w:r>
    </w:p>
    <w:p>
      <w:pPr>
        <w:pStyle w:val="ListBullet"/>
      </w:pPr>
      <w:r>
        <w:t>Test orphan: critical rule has no automated or human acceptance evidence.</w:t>
      </w:r>
    </w:p>
    <w:p>
      <w:pPr>
        <w:pStyle w:val="ListBullet"/>
      </w:pPr>
      <w:r>
        <w:t>Academy orphan: controlled human responsibility has no competence treatment.</w:t>
      </w:r>
    </w:p>
    <w:p>
      <w:pPr>
        <w:pStyle w:val="Heading1"/>
      </w:pPr>
      <w:r>
        <w:t>5. Change-impact register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tblHeader w:val="true"/>
        </w:trPr>
        <w:tc>
          <w:tcPr>
            <w:tcW w:type="dxa" w:w="144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Change ID</w:t>
            </w:r>
          </w:p>
        </w:tc>
        <w:tc>
          <w:tcPr>
            <w:tcW w:type="dxa" w:w="144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Doctrine IDs</w:t>
            </w:r>
          </w:p>
        </w:tc>
        <w:tc>
          <w:tcPr>
            <w:tcW w:type="dxa" w:w="194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Reason/source</w:t>
            </w:r>
          </w:p>
        </w:tc>
        <w:tc>
          <w:tcPr>
            <w:tcW w:type="dxa" w:w="158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Systems</w:t>
            </w:r>
          </w:p>
        </w:tc>
        <w:tc>
          <w:tcPr>
            <w:tcW w:type="dxa" w:w="144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Active work</w:t>
            </w:r>
          </w:p>
        </w:tc>
        <w:tc>
          <w:tcPr>
            <w:tcW w:type="dxa" w:w="144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Training</w:t>
            </w:r>
          </w:p>
        </w:tc>
        <w:tc>
          <w:tcPr>
            <w:tcW w:type="dxa" w:w="144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Authority</w:t>
            </w:r>
          </w:p>
        </w:tc>
        <w:tc>
          <w:tcPr>
            <w:tcW w:type="dxa" w:w="122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Effective</w:t>
            </w:r>
          </w:p>
        </w:tc>
        <w:tc>
          <w:tcPr>
            <w:tcW w:type="dxa" w:w="144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KCH-YYYY-NNN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MKT-DOC-…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Describe evidence and decision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Marketing/Event/Academy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Campaigns/events/assets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Roles and reassessment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Named approver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Date/time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2"/>
              </w:rPr>
              <w:t>Links/IDs</w:t>
            </w:r>
          </w:p>
        </w:tc>
      </w:tr>
    </w:tbl>
    <w:p/>
    <w:p>
      <w:pPr>
        <w:pStyle w:val="Heading1"/>
      </w:pPr>
      <w:r>
        <w:t>6. Release completeness tests</w:t>
      </w:r>
    </w:p>
    <w:p>
      <w:pPr>
        <w:pStyle w:val="ListNumber"/>
      </w:pPr>
      <w:r>
        <w:t>All ratified critical doctrine has at least one destination and owner.</w:t>
      </w:r>
    </w:p>
    <w:p>
      <w:pPr>
        <w:pStyle w:val="ListNumber"/>
      </w:pPr>
      <w:r>
        <w:t>No external action lacks permission, risk, autonomy, exact preview and audit treatment.</w:t>
      </w:r>
    </w:p>
    <w:p>
      <w:pPr>
        <w:pStyle w:val="ListNumber"/>
      </w:pPr>
      <w:r>
        <w:t>All collected personal data has purpose, source, access and retention treatment.</w:t>
      </w:r>
    </w:p>
    <w:p>
      <w:pPr>
        <w:pStyle w:val="ListNumber"/>
      </w:pPr>
      <w:r>
        <w:t>All AI recommendations expose evidence, assumptions and uncertainty.</w:t>
      </w:r>
    </w:p>
    <w:p>
      <w:pPr>
        <w:pStyle w:val="ListNumber"/>
      </w:pPr>
      <w:r>
        <w:t>All controlled human roles have an Academy disposition.</w:t>
      </w:r>
    </w:p>
    <w:p>
      <w:pPr>
        <w:pStyle w:val="ListNumber"/>
      </w:pPr>
      <w:r>
        <w:t>All Event OS and Academy dependencies appear in the integration contract.</w:t>
      </w:r>
    </w:p>
    <w:p>
      <w:pPr>
        <w:pStyle w:val="ListNumber"/>
      </w:pPr>
      <w:r>
        <w:t>All VERIFY capabilities remain disabled until recorded evidence exists.</w:t>
      </w:r>
    </w:p>
    <w:p>
      <w:pPr>
        <w:pStyle w:val="ListNumber"/>
      </w:pPr>
      <w:r>
        <w:t>All specialist decisions remain unresolved or approved by the named authority; AI has not self-approved them.</w:t>
      </w:r>
    </w:p>
    <w:p>
      <w:pPr>
        <w:pStyle w:val="ListNumber"/>
      </w:pPr>
      <w:r>
        <w:t>All critical tests have durable evidence and failure blocks release.</w:t>
      </w:r>
    </w:p>
    <w:p>
      <w:pPr>
        <w:pStyle w:val="ListNumber"/>
      </w:pPr>
      <w:r>
        <w:t>CEO release cannot be recorded until independent acceptance evidence is attached.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Controlled draft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D6670"/>
      </w:rPr>
      <w:t>MAISON DOCLAR  |  MD-MKT-KTR-001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