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B79F85"/>
          <w:sz w:val="30"/>
        </w:rPr>
        <w:t>MAISON DOCLAR</w:t>
      </w:r>
    </w:p>
    <w:p>
      <w:pPr>
        <w:spacing w:before="280"/>
        <w:jc w:val="center"/>
      </w:pPr>
      <w:r>
        <w:rPr>
          <w:rFonts w:ascii="Aptos Display" w:hAnsi="Aptos Display"/>
          <w:b/>
          <w:color w:val="171717"/>
          <w:sz w:val="54"/>
        </w:rPr>
        <w:t>OS–Academy Full Knowledge</w:t>
        <w:br/>
        <w:t>Reconciliation and Release-Control Pack</w:t>
      </w:r>
    </w:p>
    <w:p>
      <w:pPr>
        <w:jc w:val="center"/>
      </w:pPr>
      <w:r>
        <w:rPr>
          <w:i/>
          <w:color w:val="666666"/>
          <w:sz w:val="26"/>
        </w:rPr>
        <w:t>Execution output for Steps 1–10</w:t>
      </w:r>
    </w:p>
    <w:p>
      <w:pPr>
        <w:spacing w:before="640"/>
        <w:jc w:val="center"/>
      </w:pPr>
      <w:r>
        <w:rPr>
          <w:sz w:val="22"/>
        </w:rPr>
        <w:t>Canonical source: CEO Handbook Comprehensive v2.0</w:t>
        <w:br/>
        <w:t>Status: Ratified by CEO</w:t>
        <w:br/>
        <w:t>Pack version: 1.0  |  Effective: 3 September 2026</w:t>
      </w:r>
    </w:p>
    <w:p>
      <w:pPr>
        <w:spacing w:before="1600"/>
        <w:jc w:val="center"/>
      </w:pPr>
      <w:r>
        <w:rPr>
          <w:b/>
          <w:color w:val="B79F85"/>
        </w:rPr>
        <w:t>CONTROLLED CONCLUSION</w:t>
      </w:r>
    </w:p>
    <w:p>
      <w:pPr>
        <w:jc w:val="center"/>
      </w:pPr>
      <w:r>
        <w:t>Doctrine and destinations are now reconciled at register level.</w:t>
        <w:br/>
        <w:t>Production knowledge-completeness remains conditional on evidence, specialist authority, Academy content production and operational validation.</w:t>
      </w: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tcMar>
              <w:top w:w="80" w:type="dxa"/>
              <w:start w:w="120" w:type="dxa"/>
              <w:bottom w:w="80" w:type="dxa"/>
              <w:end w:w="120" w:type="dxa"/>
            </w:tcMar>
            <w:vAlign w:val="top"/>
            <w:shd w:fill="B79F85"/>
          </w:tcPr>
          <w:p>
            <w:r>
              <w:rPr>
                <w:b/>
                <w:color w:val="171717"/>
                <w:sz w:val="17"/>
              </w:rPr>
              <w:t>Field</w:t>
            </w:r>
          </w:p>
        </w:tc>
        <w:tc>
          <w:tcPr>
            <w:tcW w:type="dxa" w:w="6768"/>
            <w:tcMar>
              <w:top w:w="80" w:type="dxa"/>
              <w:start w:w="120" w:type="dxa"/>
              <w:bottom w:w="80" w:type="dxa"/>
              <w:end w:w="120" w:type="dxa"/>
            </w:tcMar>
            <w:vAlign w:val="top"/>
            <w:shd w:fill="B79F85"/>
          </w:tcPr>
          <w:p>
            <w:r>
              <w:rPr>
                <w:b/>
                <w:color w:val="171717"/>
                <w:sz w:val="17"/>
              </w:rPr>
              <w:t>Controlled value</w:t>
            </w:r>
          </w:p>
        </w:tc>
      </w:tr>
      <w:tr>
        <w:trPr>
          <w:cantSplit/>
        </w:trPr>
        <w:tc>
          <w:tcPr>
            <w:tcW w:type="dxa" w:w="4680"/>
            <w:shd w:fill="FAF8F6"/>
          </w:tcPr>
          <w:p>
            <w:pPr>
              <w:spacing w:after="40"/>
            </w:pPr>
            <w:r>
              <w:rPr>
                <w:color w:val="171717"/>
                <w:sz w:val="17"/>
              </w:rPr>
              <w:t>Document owner</w:t>
            </w:r>
          </w:p>
        </w:tc>
        <w:tc>
          <w:tcPr>
            <w:tcW w:type="dxa" w:w="4680"/>
            <w:shd w:fill="FAF8F6"/>
          </w:tcPr>
          <w:p>
            <w:pPr>
              <w:spacing w:after="40"/>
            </w:pPr>
            <w:r>
              <w:rPr>
                <w:color w:val="171717"/>
                <w:sz w:val="17"/>
              </w:rPr>
              <w:t>CEO, Maison Doclar</w:t>
            </w:r>
          </w:p>
        </w:tc>
      </w:tr>
      <w:tr>
        <w:trPr>
          <w:cantSplit/>
        </w:trPr>
        <w:tc>
          <w:tcPr>
            <w:tcW w:type="dxa" w:w="4680"/>
          </w:tcPr>
          <w:p>
            <w:pPr>
              <w:spacing w:after="40"/>
            </w:pPr>
            <w:r>
              <w:rPr>
                <w:color w:val="171717"/>
                <w:sz w:val="17"/>
              </w:rPr>
              <w:t>Operational custodian</w:t>
            </w:r>
          </w:p>
        </w:tc>
        <w:tc>
          <w:tcPr>
            <w:tcW w:type="dxa" w:w="4680"/>
          </w:tcPr>
          <w:p>
            <w:pPr>
              <w:spacing w:after="40"/>
            </w:pPr>
            <w:r>
              <w:rPr>
                <w:color w:val="171717"/>
                <w:sz w:val="17"/>
              </w:rPr>
              <w:t>Knowledge Steward</w:t>
            </w:r>
          </w:p>
        </w:tc>
      </w:tr>
      <w:tr>
        <w:trPr>
          <w:cantSplit/>
        </w:trPr>
        <w:tc>
          <w:tcPr>
            <w:tcW w:type="dxa" w:w="4680"/>
            <w:shd w:fill="FAF8F6"/>
          </w:tcPr>
          <w:p>
            <w:pPr>
              <w:spacing w:after="40"/>
            </w:pPr>
            <w:r>
              <w:rPr>
                <w:color w:val="171717"/>
                <w:sz w:val="17"/>
              </w:rPr>
              <w:t>Canonical doctrine</w:t>
            </w:r>
          </w:p>
        </w:tc>
        <w:tc>
          <w:tcPr>
            <w:tcW w:type="dxa" w:w="4680"/>
            <w:shd w:fill="FAF8F6"/>
          </w:tcPr>
          <w:p>
            <w:pPr>
              <w:spacing w:after="40"/>
            </w:pPr>
            <w:r>
              <w:rPr>
                <w:color w:val="171717"/>
                <w:sz w:val="17"/>
              </w:rPr>
              <w:t>Maison Doclar Canonical CEO Handbook Comprehensive v2.0</w:t>
            </w:r>
          </w:p>
        </w:tc>
      </w:tr>
      <w:tr>
        <w:trPr>
          <w:cantSplit/>
        </w:trPr>
        <w:tc>
          <w:tcPr>
            <w:tcW w:type="dxa" w:w="4680"/>
          </w:tcPr>
          <w:p>
            <w:pPr>
              <w:spacing w:after="40"/>
            </w:pPr>
            <w:r>
              <w:rPr>
                <w:color w:val="171717"/>
                <w:sz w:val="17"/>
              </w:rPr>
              <w:t>Canonical decision</w:t>
            </w:r>
          </w:p>
        </w:tc>
        <w:tc>
          <w:tcPr>
            <w:tcW w:type="dxa" w:w="4680"/>
          </w:tcPr>
          <w:p>
            <w:pPr>
              <w:spacing w:after="40"/>
            </w:pPr>
            <w:r>
              <w:rPr>
                <w:color w:val="171717"/>
                <w:sz w:val="17"/>
              </w:rPr>
              <w:t>Ratified by CEO on 3 September 2026</w:t>
            </w:r>
          </w:p>
        </w:tc>
      </w:tr>
      <w:tr>
        <w:trPr>
          <w:cantSplit/>
        </w:trPr>
        <w:tc>
          <w:tcPr>
            <w:tcW w:type="dxa" w:w="4680"/>
            <w:shd w:fill="FAF8F6"/>
          </w:tcPr>
          <w:p>
            <w:pPr>
              <w:spacing w:after="40"/>
            </w:pPr>
            <w:r>
              <w:rPr>
                <w:color w:val="171717"/>
                <w:sz w:val="17"/>
              </w:rPr>
              <w:t>Companion control</w:t>
            </w:r>
          </w:p>
        </w:tc>
        <w:tc>
          <w:tcPr>
            <w:tcW w:type="dxa" w:w="4680"/>
            <w:shd w:fill="FAF8F6"/>
          </w:tcPr>
          <w:p>
            <w:pPr>
              <w:spacing w:after="40"/>
            </w:pPr>
            <w:r>
              <w:rPr>
                <w:color w:val="171717"/>
                <w:sz w:val="17"/>
              </w:rPr>
              <w:t>Three-Way Knowledge Traceability Register v1.0</w:t>
            </w:r>
          </w:p>
        </w:tc>
      </w:tr>
      <w:tr>
        <w:trPr>
          <w:cantSplit/>
        </w:trPr>
        <w:tc>
          <w:tcPr>
            <w:tcW w:type="dxa" w:w="4680"/>
          </w:tcPr>
          <w:p>
            <w:pPr>
              <w:spacing w:after="40"/>
            </w:pPr>
            <w:r>
              <w:rPr>
                <w:color w:val="171717"/>
                <w:sz w:val="17"/>
              </w:rPr>
              <w:t>Status of this pack</w:t>
            </w:r>
          </w:p>
        </w:tc>
        <w:tc>
          <w:tcPr>
            <w:tcW w:type="dxa" w:w="4680"/>
          </w:tcPr>
          <w:p>
            <w:pPr>
              <w:spacing w:after="40"/>
            </w:pPr>
            <w:r>
              <w:rPr>
                <w:color w:val="171717"/>
                <w:sz w:val="17"/>
              </w:rPr>
              <w:t>Approved reconciliation baseline; not a production-readiness certificate</w:t>
            </w:r>
          </w:p>
        </w:tc>
      </w:tr>
      <w:tr>
        <w:trPr>
          <w:cantSplit/>
        </w:trPr>
        <w:tc>
          <w:tcPr>
            <w:tcW w:type="dxa" w:w="4680"/>
            <w:shd w:fill="FAF8F6"/>
          </w:tcPr>
          <w:p>
            <w:pPr>
              <w:spacing w:after="40"/>
            </w:pPr>
            <w:r>
              <w:rPr>
                <w:color w:val="171717"/>
                <w:sz w:val="17"/>
              </w:rPr>
              <w:t>Next formal decision</w:t>
            </w:r>
          </w:p>
        </w:tc>
        <w:tc>
          <w:tcPr>
            <w:tcW w:type="dxa" w:w="4680"/>
            <w:shd w:fill="FAF8F6"/>
          </w:tcPr>
          <w:p>
            <w:pPr>
              <w:spacing w:after="40"/>
            </w:pPr>
            <w:r>
              <w:rPr>
                <w:color w:val="171717"/>
                <w:sz w:val="17"/>
              </w:rPr>
              <w:t>Independent acceptance, then CEO production authorisation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pPr>
              <w:spacing w:after="0"/>
            </w:pPr>
            <w:r>
              <w:rPr>
                <w:b/>
                <w:color w:val="171717"/>
              </w:rPr>
              <w:t xml:space="preserve">IMPORTANT DISTINCTION  </w:t>
            </w:r>
            <w:r>
              <w:t>A mapping proves that knowledge has a defined destination. It does not prove that the OS code exists, that Academy content is finished, or that a live event has validated the rule.</w:t>
            </w:r>
          </w:p>
        </w:tc>
      </w:tr>
    </w:tbl>
    <w:p>
      <w:pPr>
        <w:spacing w:after="20"/>
      </w:pPr>
    </w:p>
    <w:p>
      <w:pPr>
        <w:pStyle w:val="Heading1"/>
        <w:keepNext/>
      </w:pPr>
      <w:r>
        <w:t>Executive outcome</w:t>
      </w:r>
    </w:p>
    <w:p>
      <w:r>
        <w:t>Step 1 is complete. The comprehensive CEO Handbook v2.0 is the sole controlling human doctrine. This pack executes the remaining reconciliation work by creating stable identifiers, assigning all substantive doctrine to the OS and Academy, defining the cross-system contract, exposing blockers, and establishing evidence-based release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tcMar>
              <w:top w:w="80" w:type="dxa"/>
              <w:start w:w="120" w:type="dxa"/>
              <w:bottom w:w="80" w:type="dxa"/>
              <w:end w:w="120" w:type="dxa"/>
            </w:tcMar>
            <w:vAlign w:val="top"/>
            <w:shd w:fill="B79F85"/>
          </w:tcPr>
          <w:p>
            <w:r>
              <w:rPr>
                <w:b/>
                <w:color w:val="171717"/>
                <w:sz w:val="17"/>
              </w:rPr>
              <w:t>Layer</w:t>
            </w:r>
          </w:p>
        </w:tc>
        <w:tc>
          <w:tcPr>
            <w:tcW w:type="dxa" w:w="2520"/>
            <w:tcMar>
              <w:top w:w="80" w:type="dxa"/>
              <w:start w:w="120" w:type="dxa"/>
              <w:bottom w:w="80" w:type="dxa"/>
              <w:end w:w="120" w:type="dxa"/>
            </w:tcMar>
            <w:vAlign w:val="top"/>
            <w:shd w:fill="B79F85"/>
          </w:tcPr>
          <w:p>
            <w:r>
              <w:rPr>
                <w:b/>
                <w:color w:val="171717"/>
                <w:sz w:val="17"/>
              </w:rPr>
              <w:t>Position after this work</w:t>
            </w:r>
          </w:p>
        </w:tc>
        <w:tc>
          <w:tcPr>
            <w:tcW w:type="dxa" w:w="4608"/>
            <w:tcMar>
              <w:top w:w="80" w:type="dxa"/>
              <w:start w:w="120" w:type="dxa"/>
              <w:bottom w:w="80" w:type="dxa"/>
              <w:end w:w="120" w:type="dxa"/>
            </w:tcMar>
            <w:vAlign w:val="top"/>
            <w:shd w:fill="B79F85"/>
          </w:tcPr>
          <w:p>
            <w:r>
              <w:rPr>
                <w:b/>
                <w:color w:val="171717"/>
                <w:sz w:val="17"/>
              </w:rPr>
              <w:t>Meaning</w:t>
            </w:r>
          </w:p>
        </w:tc>
      </w:tr>
      <w:tr>
        <w:trPr>
          <w:cantSplit/>
        </w:trPr>
        <w:tc>
          <w:tcPr>
            <w:tcW w:type="dxa" w:w="3120"/>
            <w:shd w:fill="FAF8F6"/>
          </w:tcPr>
          <w:p>
            <w:pPr>
              <w:spacing w:after="40"/>
            </w:pPr>
            <w:r>
              <w:rPr>
                <w:color w:val="171717"/>
                <w:sz w:val="17"/>
              </w:rPr>
              <w:t>Canonical doctrine</w:t>
            </w:r>
          </w:p>
        </w:tc>
        <w:tc>
          <w:tcPr>
            <w:tcW w:type="dxa" w:w="3120"/>
            <w:shd w:fill="FAF8F6"/>
          </w:tcPr>
          <w:p>
            <w:pPr>
              <w:spacing w:after="40"/>
            </w:pPr>
            <w:r>
              <w:rPr>
                <w:color w:val="171717"/>
                <w:sz w:val="17"/>
              </w:rPr>
              <w:t>Ratified</w:t>
            </w:r>
          </w:p>
        </w:tc>
        <w:tc>
          <w:tcPr>
            <w:tcW w:type="dxa" w:w="3120"/>
            <w:shd w:fill="FAF8F6"/>
          </w:tcPr>
          <w:p>
            <w:pPr>
              <w:spacing w:after="40"/>
            </w:pPr>
            <w:r>
              <w:rPr>
                <w:color w:val="171717"/>
                <w:sz w:val="17"/>
              </w:rPr>
              <w:t>The source of truth and rationale is fixed.</w:t>
            </w:r>
          </w:p>
        </w:tc>
      </w:tr>
      <w:tr>
        <w:trPr>
          <w:cantSplit/>
        </w:trPr>
        <w:tc>
          <w:tcPr>
            <w:tcW w:type="dxa" w:w="3120"/>
          </w:tcPr>
          <w:p>
            <w:pPr>
              <w:spacing w:after="40"/>
            </w:pPr>
            <w:r>
              <w:rPr>
                <w:color w:val="171717"/>
                <w:sz w:val="17"/>
              </w:rPr>
              <w:t>Doctrine identification</w:t>
            </w:r>
          </w:p>
        </w:tc>
        <w:tc>
          <w:tcPr>
            <w:tcW w:type="dxa" w:w="3120"/>
          </w:tcPr>
          <w:p>
            <w:pPr>
              <w:spacing w:after="40"/>
            </w:pPr>
            <w:r>
              <w:rPr>
                <w:color w:val="171717"/>
                <w:sz w:val="17"/>
              </w:rPr>
              <w:t>Complete</w:t>
            </w:r>
          </w:p>
        </w:tc>
        <w:tc>
          <w:tcPr>
            <w:tcW w:type="dxa" w:w="3120"/>
          </w:tcPr>
          <w:p>
            <w:pPr>
              <w:spacing w:after="40"/>
            </w:pPr>
            <w:r>
              <w:rPr>
                <w:color w:val="171717"/>
                <w:sz w:val="17"/>
              </w:rPr>
              <w:t>1,900 substantive sections have stable IDs.</w:t>
            </w:r>
          </w:p>
        </w:tc>
      </w:tr>
      <w:tr>
        <w:trPr>
          <w:cantSplit/>
        </w:trPr>
        <w:tc>
          <w:tcPr>
            <w:tcW w:type="dxa" w:w="3120"/>
            <w:shd w:fill="FAF8F6"/>
          </w:tcPr>
          <w:p>
            <w:pPr>
              <w:spacing w:after="40"/>
            </w:pPr>
            <w:r>
              <w:rPr>
                <w:color w:val="171717"/>
                <w:sz w:val="17"/>
              </w:rPr>
              <w:t>OS disposition</w:t>
            </w:r>
          </w:p>
        </w:tc>
        <w:tc>
          <w:tcPr>
            <w:tcW w:type="dxa" w:w="3120"/>
            <w:shd w:fill="FAF8F6"/>
          </w:tcPr>
          <w:p>
            <w:pPr>
              <w:spacing w:after="40"/>
            </w:pPr>
            <w:r>
              <w:rPr>
                <w:color w:val="171717"/>
                <w:sz w:val="17"/>
              </w:rPr>
              <w:t>Complete at mapping level</w:t>
            </w:r>
          </w:p>
        </w:tc>
        <w:tc>
          <w:tcPr>
            <w:tcW w:type="dxa" w:w="3120"/>
            <w:shd w:fill="FAF8F6"/>
          </w:tcPr>
          <w:p>
            <w:pPr>
              <w:spacing w:after="40"/>
            </w:pPr>
            <w:r>
              <w:rPr>
                <w:color w:val="171717"/>
                <w:sz w:val="17"/>
              </w:rPr>
              <w:t>Every doctrine ID has an OS home and automation boundary.</w:t>
            </w:r>
          </w:p>
        </w:tc>
      </w:tr>
      <w:tr>
        <w:trPr>
          <w:cantSplit/>
        </w:trPr>
        <w:tc>
          <w:tcPr>
            <w:tcW w:type="dxa" w:w="3120"/>
          </w:tcPr>
          <w:p>
            <w:pPr>
              <w:spacing w:after="40"/>
            </w:pPr>
            <w:r>
              <w:rPr>
                <w:color w:val="171717"/>
                <w:sz w:val="17"/>
              </w:rPr>
              <w:t>Academy disposition</w:t>
            </w:r>
          </w:p>
        </w:tc>
        <w:tc>
          <w:tcPr>
            <w:tcW w:type="dxa" w:w="3120"/>
          </w:tcPr>
          <w:p>
            <w:pPr>
              <w:spacing w:after="40"/>
            </w:pPr>
            <w:r>
              <w:rPr>
                <w:color w:val="171717"/>
                <w:sz w:val="17"/>
              </w:rPr>
              <w:t>Complete at mapping level</w:t>
            </w:r>
          </w:p>
        </w:tc>
        <w:tc>
          <w:tcPr>
            <w:tcW w:type="dxa" w:w="3120"/>
          </w:tcPr>
          <w:p>
            <w:pPr>
              <w:spacing w:after="40"/>
            </w:pPr>
            <w:r>
              <w:rPr>
                <w:color w:val="171717"/>
                <w:sz w:val="17"/>
              </w:rPr>
              <w:t>Every doctrine ID has a course and production evidence requirement.</w:t>
            </w:r>
          </w:p>
        </w:tc>
      </w:tr>
      <w:tr>
        <w:trPr>
          <w:cantSplit/>
        </w:trPr>
        <w:tc>
          <w:tcPr>
            <w:tcW w:type="dxa" w:w="3120"/>
            <w:shd w:fill="FAF8F6"/>
          </w:tcPr>
          <w:p>
            <w:pPr>
              <w:spacing w:after="40"/>
            </w:pPr>
            <w:r>
              <w:rPr>
                <w:color w:val="171717"/>
                <w:sz w:val="17"/>
              </w:rPr>
              <w:t>OS implementation</w:t>
            </w:r>
          </w:p>
        </w:tc>
        <w:tc>
          <w:tcPr>
            <w:tcW w:type="dxa" w:w="3120"/>
            <w:shd w:fill="FAF8F6"/>
          </w:tcPr>
          <w:p>
            <w:pPr>
              <w:spacing w:after="40"/>
            </w:pPr>
            <w:r>
              <w:rPr>
                <w:color w:val="171717"/>
                <w:sz w:val="17"/>
              </w:rPr>
              <w:t>Not evidenced</w:t>
            </w:r>
          </w:p>
        </w:tc>
        <w:tc>
          <w:tcPr>
            <w:tcW w:type="dxa" w:w="3120"/>
            <w:shd w:fill="FAF8F6"/>
          </w:tcPr>
          <w:p>
            <w:pPr>
              <w:spacing w:after="40"/>
            </w:pPr>
            <w:r>
              <w:rPr>
                <w:color w:val="171717"/>
                <w:sz w:val="17"/>
              </w:rPr>
              <w:t>The clean repo must implement and prove the mapped contracts.</w:t>
            </w:r>
          </w:p>
        </w:tc>
      </w:tr>
      <w:tr>
        <w:trPr>
          <w:cantSplit/>
        </w:trPr>
        <w:tc>
          <w:tcPr>
            <w:tcW w:type="dxa" w:w="3120"/>
          </w:tcPr>
          <w:p>
            <w:pPr>
              <w:spacing w:after="40"/>
            </w:pPr>
            <w:r>
              <w:rPr>
                <w:color w:val="171717"/>
                <w:sz w:val="17"/>
              </w:rPr>
              <w:t>Academy production</w:t>
            </w:r>
          </w:p>
        </w:tc>
        <w:tc>
          <w:tcPr>
            <w:tcW w:type="dxa" w:w="3120"/>
          </w:tcPr>
          <w:p>
            <w:pPr>
              <w:spacing w:after="40"/>
            </w:pPr>
            <w:r>
              <w:rPr>
                <w:color w:val="171717"/>
                <w:sz w:val="17"/>
              </w:rPr>
              <w:t>Incomplete</w:t>
            </w:r>
          </w:p>
        </w:tc>
        <w:tc>
          <w:tcPr>
            <w:tcW w:type="dxa" w:w="3120"/>
          </w:tcPr>
          <w:p>
            <w:pPr>
              <w:spacing w:after="40"/>
            </w:pPr>
            <w:r>
              <w:rPr>
                <w:color w:val="171717"/>
                <w:sz w:val="17"/>
              </w:rPr>
              <w:t>Full lessons, scenarios, questions, practicals and calibration are still required.</w:t>
            </w:r>
          </w:p>
        </w:tc>
      </w:tr>
      <w:tr>
        <w:trPr>
          <w:cantSplit/>
        </w:trPr>
        <w:tc>
          <w:tcPr>
            <w:tcW w:type="dxa" w:w="3120"/>
            <w:shd w:fill="FAF8F6"/>
          </w:tcPr>
          <w:p>
            <w:pPr>
              <w:spacing w:after="40"/>
            </w:pPr>
            <w:r>
              <w:rPr>
                <w:color w:val="171717"/>
                <w:sz w:val="17"/>
              </w:rPr>
              <w:t>Operational validation</w:t>
            </w:r>
          </w:p>
        </w:tc>
        <w:tc>
          <w:tcPr>
            <w:tcW w:type="dxa" w:w="3120"/>
            <w:shd w:fill="FAF8F6"/>
          </w:tcPr>
          <w:p>
            <w:pPr>
              <w:spacing w:after="40"/>
            </w:pPr>
            <w:r>
              <w:rPr>
                <w:color w:val="171717"/>
                <w:sz w:val="17"/>
              </w:rPr>
              <w:t>Not complete</w:t>
            </w:r>
          </w:p>
        </w:tc>
        <w:tc>
          <w:tcPr>
            <w:tcW w:type="dxa" w:w="3120"/>
            <w:shd w:fill="FAF8F6"/>
          </w:tcPr>
          <w:p>
            <w:pPr>
              <w:spacing w:after="40"/>
            </w:pPr>
            <w:r>
              <w:rPr>
                <w:color w:val="171717"/>
                <w:sz w:val="17"/>
              </w:rPr>
              <w:t>No live event has established production thresholds or workload.</w:t>
            </w:r>
          </w:p>
        </w:tc>
      </w:tr>
      <w:tr>
        <w:trPr>
          <w:cantSplit/>
        </w:trPr>
        <w:tc>
          <w:tcPr>
            <w:tcW w:type="dxa" w:w="3120"/>
          </w:tcPr>
          <w:p>
            <w:pPr>
              <w:spacing w:after="40"/>
            </w:pPr>
            <w:r>
              <w:rPr>
                <w:color w:val="171717"/>
                <w:sz w:val="17"/>
              </w:rPr>
              <w:t>Knowledge-complete release</w:t>
            </w:r>
          </w:p>
        </w:tc>
        <w:tc>
          <w:tcPr>
            <w:tcW w:type="dxa" w:w="3120"/>
          </w:tcPr>
          <w:p>
            <w:pPr>
              <w:spacing w:after="40"/>
            </w:pPr>
            <w:r>
              <w:rPr>
                <w:color w:val="171717"/>
                <w:sz w:val="17"/>
              </w:rPr>
              <w:t>Not eligible</w:t>
            </w:r>
          </w:p>
        </w:tc>
        <w:tc>
          <w:tcPr>
            <w:tcW w:type="dxa" w:w="3120"/>
          </w:tcPr>
          <w:p>
            <w:pPr>
              <w:spacing w:after="40"/>
            </w:pPr>
            <w:r>
              <w:rPr>
                <w:color w:val="171717"/>
                <w:sz w:val="17"/>
              </w:rPr>
              <w:t>Blocking gates remain open.</w:t>
            </w:r>
          </w:p>
        </w:tc>
      </w:tr>
    </w:tbl>
    <w:p>
      <w:pPr>
        <w:spacing w:after="20"/>
      </w:pPr>
    </w:p>
    <w:p>
      <w:pPr>
        <w:pStyle w:val="Heading2"/>
        <w:keepNext/>
      </w:pPr>
      <w:r>
        <w:t>The reconciled control chain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096"/>
            <w:tcMar>
              <w:top w:w="80" w:type="dxa"/>
              <w:start w:w="120" w:type="dxa"/>
              <w:bottom w:w="80" w:type="dxa"/>
              <w:end w:w="120" w:type="dxa"/>
            </w:tcMar>
            <w:vAlign w:val="top"/>
            <w:shd w:fill="B79F85"/>
          </w:tcPr>
          <w:p>
            <w:r>
              <w:rPr>
                <w:b/>
                <w:color w:val="171717"/>
                <w:sz w:val="17"/>
              </w:rPr>
              <w:t>Canonical doctrine</w:t>
            </w:r>
          </w:p>
        </w:tc>
        <w:tc>
          <w:tcPr>
            <w:tcW w:type="dxa" w:w="3096"/>
            <w:tcMar>
              <w:top w:w="80" w:type="dxa"/>
              <w:start w:w="120" w:type="dxa"/>
              <w:bottom w:w="80" w:type="dxa"/>
              <w:end w:w="120" w:type="dxa"/>
            </w:tcMar>
            <w:vAlign w:val="top"/>
            <w:shd w:fill="B79F85"/>
          </w:tcPr>
          <w:p>
            <w:r>
              <w:rPr>
                <w:b/>
                <w:color w:val="171717"/>
                <w:sz w:val="17"/>
              </w:rPr>
              <w:t>Event OS</w:t>
            </w:r>
          </w:p>
        </w:tc>
        <w:tc>
          <w:tcPr>
            <w:tcW w:type="dxa" w:w="3168"/>
            <w:tcMar>
              <w:top w:w="80" w:type="dxa"/>
              <w:start w:w="120" w:type="dxa"/>
              <w:bottom w:w="80" w:type="dxa"/>
              <w:end w:w="120" w:type="dxa"/>
            </w:tcMar>
            <w:vAlign w:val="top"/>
            <w:shd w:fill="B79F85"/>
          </w:tcPr>
          <w:p>
            <w:r>
              <w:rPr>
                <w:b/>
                <w:color w:val="171717"/>
                <w:sz w:val="17"/>
              </w:rPr>
              <w:t>Maison Doclar Academy</w:t>
            </w:r>
          </w:p>
        </w:tc>
      </w:tr>
      <w:tr>
        <w:trPr>
          <w:cantSplit/>
        </w:trPr>
        <w:tc>
          <w:tcPr>
            <w:tcW w:type="dxa" w:w="3120"/>
            <w:shd w:fill="FAF8F6"/>
          </w:tcPr>
          <w:p>
            <w:pPr>
              <w:spacing w:after="40"/>
            </w:pPr>
            <w:r>
              <w:rPr>
                <w:color w:val="171717"/>
                <w:sz w:val="17"/>
              </w:rPr>
              <w:t>Explains what Maison Doclar believes, why it matters and where judgment belongs.</w:t>
            </w:r>
          </w:p>
        </w:tc>
        <w:tc>
          <w:tcPr>
            <w:tcW w:type="dxa" w:w="3120"/>
            <w:shd w:fill="FAF8F6"/>
          </w:tcPr>
          <w:p>
            <w:pPr>
              <w:spacing w:after="40"/>
            </w:pPr>
            <w:r>
              <w:rPr>
                <w:color w:val="171717"/>
                <w:sz w:val="17"/>
              </w:rPr>
              <w:t>Applies approved rules to event-scoped facts; produces auditable intelligence, workflows, gates and recommendations.</w:t>
            </w:r>
          </w:p>
        </w:tc>
        <w:tc>
          <w:tcPr>
            <w:tcW w:type="dxa" w:w="3120"/>
            <w:shd w:fill="FAF8F6"/>
          </w:tcPr>
          <w:p>
            <w:pPr>
              <w:spacing w:after="40"/>
            </w:pPr>
            <w:r>
              <w:rPr>
                <w:color w:val="171717"/>
                <w:sz w:val="17"/>
              </w:rPr>
              <w:t>Teaches the doctrine, tests understanding and practical competence, and issues controlled authorisation.</w:t>
            </w:r>
          </w:p>
        </w:tc>
      </w:tr>
      <w:tr>
        <w:trPr>
          <w:cantSplit/>
        </w:trPr>
        <w:tc>
          <w:tcPr>
            <w:tcW w:type="dxa" w:w="3120"/>
          </w:tcPr>
          <w:p>
            <w:pPr>
              <w:spacing w:after="40"/>
            </w:pPr>
            <w:r>
              <w:rPr>
                <w:color w:val="171717"/>
                <w:sz w:val="17"/>
              </w:rPr>
              <w:t>Stable doctrine ID and version</w:t>
            </w:r>
          </w:p>
        </w:tc>
        <w:tc>
          <w:tcPr>
            <w:tcW w:type="dxa" w:w="3120"/>
          </w:tcPr>
          <w:p>
            <w:pPr>
              <w:spacing w:after="40"/>
            </w:pPr>
            <w:r>
              <w:rPr>
                <w:color w:val="171717"/>
                <w:sz w:val="17"/>
              </w:rPr>
              <w:t>Same doctrine ID on rules, data contracts, UI explanations and decisions</w:t>
            </w:r>
          </w:p>
        </w:tc>
        <w:tc>
          <w:tcPr>
            <w:tcW w:type="dxa" w:w="3120"/>
          </w:tcPr>
          <w:p>
            <w:pPr>
              <w:spacing w:after="40"/>
            </w:pPr>
            <w:r>
              <w:rPr>
                <w:color w:val="171717"/>
                <w:sz w:val="17"/>
              </w:rPr>
              <w:t>Same doctrine ID on lessons, scenarios, questions, rubrics and certificates</w:t>
            </w:r>
          </w:p>
        </w:tc>
      </w:tr>
    </w:tbl>
    <w:p>
      <w:pPr>
        <w:spacing w:after="20"/>
      </w:pPr>
    </w:p>
    <w:p>
      <w:pPr>
        <w:pStyle w:val="Heading1"/>
        <w:keepNext/>
      </w:pPr>
      <w:r>
        <w:t>Step 1 — Ratify the canonical source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DDEBDD"/>
          </w:tcPr>
          <w:p>
            <w:pPr>
              <w:spacing w:after="0"/>
            </w:pPr>
            <w:r>
              <w:rPr>
                <w:b/>
                <w:color w:val="171717"/>
              </w:rPr>
              <w:t xml:space="preserve">DECISION RECORDED  </w:t>
            </w:r>
            <w:r>
              <w:t>The CEO has ratified the Maison Doclar Canonical CEO Handbook Comprehensive v2.0. The original 30-module document remains source evidence. The shorter handbook remains an executive summary and must not displace the canonical edition.</w:t>
            </w:r>
          </w:p>
        </w:tc>
      </w:tr>
    </w:tbl>
    <w:p>
      <w:pPr>
        <w:spacing w:after="20"/>
      </w:pPr>
    </w:p>
    <w:p>
      <w:pPr>
        <w:pStyle w:val="ListBullet"/>
      </w:pPr>
      <w:r>
        <w:t>No OS rule or Academy lesson may cite the short summary as its sole authority where the canonical handbook provides fuller doctrine.</w:t>
      </w:r>
    </w:p>
    <w:p>
      <w:pPr>
        <w:pStyle w:val="ListBullet"/>
      </w:pPr>
      <w:r>
        <w:t>Any conflict is resolved in favour of the latest CEO-ratified canonical doctrine, subject to law and qualified external authority.</w:t>
      </w:r>
    </w:p>
    <w:p>
      <w:pPr>
        <w:pStyle w:val="ListBullet"/>
      </w:pPr>
      <w:r>
        <w:t>Future material amendments require a new doctrine version, impact assessment and controlled propagation.</w:t>
      </w:r>
    </w:p>
    <w:p>
      <w:pPr>
        <w:pStyle w:val="Heading1"/>
        <w:keepNext/>
      </w:pPr>
      <w:r>
        <w:t>Step 2 — Stable doctrine identifiers</w:t>
      </w:r>
    </w:p>
    <w:p>
      <w:r>
        <w:t>The identifier scheme is now established for every substantive Heading 2 section in the 22 canonical chapters. The register excludes navigation text and recurring CEO application-checkpoint labels, while retaining the full handbook as the explanatory authority.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vAlign w:val="top"/>
            <w:shd w:fill="B79F85"/>
          </w:tcPr>
          <w:p>
            <w:r>
              <w:rPr>
                <w:b/>
                <w:color w:val="171717"/>
                <w:sz w:val="17"/>
              </w:rPr>
              <w:t>Element</w:t>
            </w:r>
          </w:p>
        </w:tc>
        <w:tc>
          <w:tcPr>
            <w:tcW w:type="dxa" w:w="5256"/>
            <w:tcMar>
              <w:top w:w="80" w:type="dxa"/>
              <w:start w:w="120" w:type="dxa"/>
              <w:bottom w:w="80" w:type="dxa"/>
              <w:end w:w="120" w:type="dxa"/>
            </w:tcMar>
            <w:vAlign w:val="top"/>
            <w:shd w:fill="B79F85"/>
          </w:tcPr>
          <w:p>
            <w:r>
              <w:rPr>
                <w:b/>
                <w:color w:val="171717"/>
                <w:sz w:val="17"/>
              </w:rPr>
              <w:t>Rule</w:t>
            </w:r>
          </w:p>
        </w:tc>
        <w:tc>
          <w:tcPr>
            <w:tcW w:type="dxa" w:w="2160"/>
            <w:tcMar>
              <w:top w:w="80" w:type="dxa"/>
              <w:start w:w="120" w:type="dxa"/>
              <w:bottom w:w="80" w:type="dxa"/>
              <w:end w:w="120" w:type="dxa"/>
            </w:tcMar>
            <w:vAlign w:val="top"/>
            <w:shd w:fill="B79F85"/>
          </w:tcPr>
          <w:p>
            <w:r>
              <w:rPr>
                <w:b/>
                <w:color w:val="171717"/>
                <w:sz w:val="17"/>
              </w:rPr>
              <w:t>Example</w:t>
            </w:r>
          </w:p>
        </w:tc>
      </w:tr>
      <w:tr>
        <w:trPr>
          <w:cantSplit/>
        </w:trPr>
        <w:tc>
          <w:tcPr>
            <w:tcW w:type="dxa" w:w="3120"/>
            <w:shd w:fill="FAF8F6"/>
          </w:tcPr>
          <w:p>
            <w:pPr>
              <w:spacing w:after="40"/>
            </w:pPr>
            <w:r>
              <w:rPr>
                <w:color w:val="171717"/>
                <w:sz w:val="17"/>
              </w:rPr>
              <w:t>Prefix</w:t>
            </w:r>
          </w:p>
        </w:tc>
        <w:tc>
          <w:tcPr>
            <w:tcW w:type="dxa" w:w="3120"/>
            <w:shd w:fill="FAF8F6"/>
          </w:tcPr>
          <w:p>
            <w:pPr>
              <w:spacing w:after="40"/>
            </w:pPr>
            <w:r>
              <w:rPr>
                <w:color w:val="171717"/>
                <w:sz w:val="17"/>
              </w:rPr>
              <w:t>MD-D means Maison Doclar Doctrine</w:t>
            </w:r>
          </w:p>
        </w:tc>
        <w:tc>
          <w:tcPr>
            <w:tcW w:type="dxa" w:w="3120"/>
            <w:shd w:fill="FAF8F6"/>
          </w:tcPr>
          <w:p>
            <w:pPr>
              <w:spacing w:after="40"/>
            </w:pPr>
            <w:r>
              <w:rPr>
                <w:color w:val="171717"/>
                <w:sz w:val="17"/>
              </w:rPr>
              <w:t>MD-D</w:t>
            </w:r>
          </w:p>
        </w:tc>
      </w:tr>
      <w:tr>
        <w:trPr>
          <w:cantSplit/>
        </w:trPr>
        <w:tc>
          <w:tcPr>
            <w:tcW w:type="dxa" w:w="3120"/>
          </w:tcPr>
          <w:p>
            <w:pPr>
              <w:spacing w:after="40"/>
            </w:pPr>
            <w:r>
              <w:rPr>
                <w:color w:val="171717"/>
                <w:sz w:val="17"/>
              </w:rPr>
              <w:t>Chapter component</w:t>
            </w:r>
          </w:p>
        </w:tc>
        <w:tc>
          <w:tcPr>
            <w:tcW w:type="dxa" w:w="3120"/>
          </w:tcPr>
          <w:p>
            <w:pPr>
              <w:spacing w:after="40"/>
            </w:pPr>
            <w:r>
              <w:rPr>
                <w:color w:val="171717"/>
                <w:sz w:val="17"/>
              </w:rPr>
              <w:t>Two-digit canonical chapter number</w:t>
            </w:r>
          </w:p>
        </w:tc>
        <w:tc>
          <w:tcPr>
            <w:tcW w:type="dxa" w:w="3120"/>
          </w:tcPr>
          <w:p>
            <w:pPr>
              <w:spacing w:after="40"/>
            </w:pPr>
            <w:r>
              <w:rPr>
                <w:color w:val="171717"/>
                <w:sz w:val="17"/>
              </w:rPr>
              <w:t>01</w:t>
            </w:r>
          </w:p>
        </w:tc>
      </w:tr>
      <w:tr>
        <w:trPr>
          <w:cantSplit/>
        </w:trPr>
        <w:tc>
          <w:tcPr>
            <w:tcW w:type="dxa" w:w="3120"/>
            <w:shd w:fill="FAF8F6"/>
          </w:tcPr>
          <w:p>
            <w:pPr>
              <w:spacing w:after="40"/>
            </w:pPr>
            <w:r>
              <w:rPr>
                <w:color w:val="171717"/>
                <w:sz w:val="17"/>
              </w:rPr>
              <w:t>Section component</w:t>
            </w:r>
          </w:p>
        </w:tc>
        <w:tc>
          <w:tcPr>
            <w:tcW w:type="dxa" w:w="3120"/>
            <w:shd w:fill="FAF8F6"/>
          </w:tcPr>
          <w:p>
            <w:pPr>
              <w:spacing w:after="40"/>
            </w:pPr>
            <w:r>
              <w:rPr>
                <w:color w:val="171717"/>
                <w:sz w:val="17"/>
              </w:rPr>
              <w:t>Three-digit sequence within the chapter</w:t>
            </w:r>
          </w:p>
        </w:tc>
        <w:tc>
          <w:tcPr>
            <w:tcW w:type="dxa" w:w="3120"/>
            <w:shd w:fill="FAF8F6"/>
          </w:tcPr>
          <w:p>
            <w:pPr>
              <w:spacing w:after="40"/>
            </w:pPr>
            <w:r>
              <w:rPr>
                <w:color w:val="171717"/>
                <w:sz w:val="17"/>
              </w:rPr>
              <w:t>003</w:t>
            </w:r>
          </w:p>
        </w:tc>
      </w:tr>
      <w:tr>
        <w:trPr>
          <w:cantSplit/>
        </w:trPr>
        <w:tc>
          <w:tcPr>
            <w:tcW w:type="dxa" w:w="3120"/>
          </w:tcPr>
          <w:p>
            <w:pPr>
              <w:spacing w:after="40"/>
            </w:pPr>
            <w:r>
              <w:rPr>
                <w:color w:val="171717"/>
                <w:sz w:val="17"/>
              </w:rPr>
              <w:t>Complete ID</w:t>
            </w:r>
          </w:p>
        </w:tc>
        <w:tc>
          <w:tcPr>
            <w:tcW w:type="dxa" w:w="3120"/>
          </w:tcPr>
          <w:p>
            <w:pPr>
              <w:spacing w:after="40"/>
            </w:pPr>
            <w:r>
              <w:rPr>
                <w:color w:val="171717"/>
                <w:sz w:val="17"/>
              </w:rPr>
              <w:t>Permanent identifier; never recycled</w:t>
            </w:r>
          </w:p>
        </w:tc>
        <w:tc>
          <w:tcPr>
            <w:tcW w:type="dxa" w:w="3120"/>
          </w:tcPr>
          <w:p>
            <w:pPr>
              <w:spacing w:after="40"/>
            </w:pPr>
            <w:r>
              <w:rPr>
                <w:color w:val="171717"/>
                <w:sz w:val="17"/>
              </w:rPr>
              <w:t>MD-D01-003</w:t>
            </w:r>
          </w:p>
        </w:tc>
      </w:tr>
      <w:tr>
        <w:trPr>
          <w:cantSplit/>
        </w:trPr>
        <w:tc>
          <w:tcPr>
            <w:tcW w:type="dxa" w:w="3120"/>
            <w:shd w:fill="FAF8F6"/>
          </w:tcPr>
          <w:p>
            <w:pPr>
              <w:spacing w:after="40"/>
            </w:pPr>
            <w:r>
              <w:rPr>
                <w:color w:val="171717"/>
                <w:sz w:val="17"/>
              </w:rPr>
              <w:t>Version</w:t>
            </w:r>
          </w:p>
        </w:tc>
        <w:tc>
          <w:tcPr>
            <w:tcW w:type="dxa" w:w="3120"/>
            <w:shd w:fill="FAF8F6"/>
          </w:tcPr>
          <w:p>
            <w:pPr>
              <w:spacing w:after="40"/>
            </w:pPr>
            <w:r>
              <w:rPr>
                <w:color w:val="171717"/>
                <w:sz w:val="17"/>
              </w:rPr>
              <w:t>Changes when meaning materially changes; ID remains stable</w:t>
            </w:r>
          </w:p>
        </w:tc>
        <w:tc>
          <w:tcPr>
            <w:tcW w:type="dxa" w:w="3120"/>
            <w:shd w:fill="FAF8F6"/>
          </w:tcPr>
          <w:p>
            <w:pPr>
              <w:spacing w:after="40"/>
            </w:pPr>
            <w:r>
              <w:rPr>
                <w:color w:val="171717"/>
                <w:sz w:val="17"/>
              </w:rPr>
              <w:t>2.0 → 2.1</w:t>
            </w:r>
          </w:p>
        </w:tc>
      </w:tr>
      <w:tr>
        <w:trPr>
          <w:cantSplit/>
        </w:trPr>
        <w:tc>
          <w:tcPr>
            <w:tcW w:type="dxa" w:w="3120"/>
          </w:tcPr>
          <w:p>
            <w:pPr>
              <w:spacing w:after="40"/>
            </w:pPr>
            <w:r>
              <w:rPr>
                <w:color w:val="171717"/>
                <w:sz w:val="17"/>
              </w:rPr>
              <w:t>Retirement</w:t>
            </w:r>
          </w:p>
        </w:tc>
        <w:tc>
          <w:tcPr>
            <w:tcW w:type="dxa" w:w="3120"/>
          </w:tcPr>
          <w:p>
            <w:pPr>
              <w:spacing w:after="40"/>
            </w:pPr>
            <w:r>
              <w:rPr>
                <w:color w:val="171717"/>
                <w:sz w:val="17"/>
              </w:rPr>
              <w:t>ID remains searchable and points to successor; it is not deleted</w:t>
            </w:r>
          </w:p>
        </w:tc>
        <w:tc>
          <w:tcPr>
            <w:tcW w:type="dxa" w:w="3120"/>
          </w:tcPr>
          <w:p>
            <w:pPr>
              <w:spacing w:after="40"/>
            </w:pPr>
            <w:r>
              <w:rPr>
                <w:color w:val="171717"/>
                <w:sz w:val="17"/>
              </w:rPr>
              <w:t>Superseded by MD-Dxx-xxx</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pPr>
              <w:spacing w:after="0"/>
            </w:pPr>
            <w:r>
              <w:rPr>
                <w:b/>
                <w:color w:val="171717"/>
              </w:rPr>
              <w:t xml:space="preserve">CONTROL RESULT  </w:t>
            </w:r>
            <w:r>
              <w:t>1,900 canonical doctrine records have been generated. Each includes source module, summary, knowledge disposition, automation boundary, scope, authority, priority, OS destination, Academy destination, change propagation and acceptance evidence.</w:t>
            </w:r>
          </w:p>
        </w:tc>
      </w:tr>
    </w:tbl>
    <w:p>
      <w:pPr>
        <w:spacing w:after="20"/>
      </w:pPr>
    </w:p>
    <w:p>
      <w:pPr>
        <w:pStyle w:val="Heading1"/>
        <w:keepNext/>
      </w:pPr>
      <w:r>
        <w:t>Step 3 — Three-way knowledge traceability</w:t>
      </w:r>
    </w:p>
    <w:p>
      <w:r>
        <w:t>The companion workbook is the operational register. It is deliberately more detailed than this narrative pack: one row exists for every substantive canonical section. The following fields are mandatory and may not be removed from the production register.</w:t>
      </w:r>
    </w:p>
    <w:p>
      <w:pPr>
        <w:pStyle w:val="ListBullet"/>
      </w:pPr>
      <w:r>
        <w:t>Canonical identity: doctrine ID, version, status, handbook chapter/section, original module and rationale summary.</w:t>
      </w:r>
    </w:p>
    <w:p>
      <w:pPr>
        <w:pStyle w:val="ListBullet"/>
      </w:pPr>
      <w:r>
        <w:t>Classification: knowledge disposition, automation boundary, Lagos/global scope, approving authority and priority.</w:t>
      </w:r>
    </w:p>
    <w:p>
      <w:pPr>
        <w:pStyle w:val="ListBullet"/>
      </w:pPr>
      <w:r>
        <w:t>OS destination: domain, object or repository destination, current status and required evidence.</w:t>
      </w:r>
    </w:p>
    <w:p>
      <w:pPr>
        <w:pStyle w:val="ListBullet"/>
      </w:pPr>
      <w:r>
        <w:t>Academy destination: course, production components, current status and required evidence.</w:t>
      </w:r>
    </w:p>
    <w:p>
      <w:pPr>
        <w:pStyle w:val="ListBullet"/>
      </w:pPr>
      <w:r>
        <w:t>Lifecycle: change propagation, acceptance test, approved exception and implementation-evidence link.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pPr>
              <w:spacing w:after="0"/>
            </w:pPr>
            <w:r>
              <w:rPr>
                <w:b/>
                <w:color w:val="171717"/>
              </w:rPr>
              <w:t xml:space="preserve">DEFINITION OF COMPLETE  </w:t>
            </w:r>
            <w:r>
              <w:t>A row is reconciled only when both systems have an explicit disposition. ‘Human-only’, ‘specialist-authorised’, ‘event-specific’ and ‘not applicable’ are valid dispositions when justified; silence is not.</w:t>
            </w:r>
          </w:p>
        </w:tc>
      </w:tr>
    </w:tbl>
    <w:p>
      <w:pPr>
        <w:spacing w:after="20"/>
      </w:pPr>
    </w:p>
    <w:p>
      <w:pPr>
        <w:pStyle w:val="Heading1"/>
        <w:keepNext/>
      </w:pPr>
      <w:r>
        <w:t>Step 4 — Close OS knowledge gaps</w:t>
      </w:r>
    </w:p>
    <w:p>
      <w:r>
        <w:t>The OS must not become a copy of the handbook. It must convert approved doctrine into controlled operating artefacts while retaining a rationale link. Every rule must be event-scoped unless the data is explicitly authorised for cross-event reuse.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tcMar>
              <w:top w:w="80" w:type="dxa"/>
              <w:start w:w="120" w:type="dxa"/>
              <w:bottom w:w="80" w:type="dxa"/>
              <w:end w:w="120" w:type="dxa"/>
            </w:tcMar>
            <w:vAlign w:val="top"/>
            <w:shd w:fill="B79F85"/>
          </w:tcPr>
          <w:p>
            <w:r>
              <w:rPr>
                <w:b/>
                <w:color w:val="171717"/>
                <w:sz w:val="16"/>
              </w:rPr>
              <w:t>OS artefact</w:t>
            </w:r>
          </w:p>
        </w:tc>
        <w:tc>
          <w:tcPr>
            <w:tcW w:type="dxa" w:w="3240"/>
            <w:tcMar>
              <w:top w:w="80" w:type="dxa"/>
              <w:start w:w="120" w:type="dxa"/>
              <w:bottom w:w="80" w:type="dxa"/>
              <w:end w:w="120" w:type="dxa"/>
            </w:tcMar>
            <w:vAlign w:val="top"/>
            <w:shd w:fill="B79F85"/>
          </w:tcPr>
          <w:p>
            <w:r>
              <w:rPr>
                <w:b/>
                <w:color w:val="171717"/>
                <w:sz w:val="16"/>
              </w:rPr>
              <w:t>Purpose</w:t>
            </w:r>
          </w:p>
        </w:tc>
        <w:tc>
          <w:tcPr>
            <w:tcW w:type="dxa" w:w="3888"/>
            <w:tcMar>
              <w:top w:w="80" w:type="dxa"/>
              <w:start w:w="120" w:type="dxa"/>
              <w:bottom w:w="80" w:type="dxa"/>
              <w:end w:w="120" w:type="dxa"/>
            </w:tcMar>
            <w:vAlign w:val="top"/>
            <w:shd w:fill="B79F85"/>
          </w:tcPr>
          <w:p>
            <w:r>
              <w:rPr>
                <w:b/>
                <w:color w:val="171717"/>
                <w:sz w:val="16"/>
              </w:rPr>
              <w:t>Minimum control</w:t>
            </w:r>
          </w:p>
        </w:tc>
      </w:tr>
      <w:tr>
        <w:trPr>
          <w:cantSplit/>
        </w:trPr>
        <w:tc>
          <w:tcPr>
            <w:tcW w:type="dxa" w:w="3120"/>
            <w:shd w:fill="FAF8F6"/>
          </w:tcPr>
          <w:p>
            <w:pPr>
              <w:spacing w:after="40"/>
            </w:pPr>
            <w:r>
              <w:rPr>
                <w:color w:val="171717"/>
                <w:sz w:val="16"/>
              </w:rPr>
              <w:t>Versioned knowledge rule</w:t>
            </w:r>
          </w:p>
        </w:tc>
        <w:tc>
          <w:tcPr>
            <w:tcW w:type="dxa" w:w="3120"/>
            <w:shd w:fill="FAF8F6"/>
          </w:tcPr>
          <w:p>
            <w:pPr>
              <w:spacing w:after="40"/>
            </w:pPr>
            <w:r>
              <w:rPr>
                <w:color w:val="171717"/>
                <w:sz w:val="16"/>
              </w:rPr>
              <w:t>Apply an approved deterministic condition</w:t>
            </w:r>
          </w:p>
        </w:tc>
        <w:tc>
          <w:tcPr>
            <w:tcW w:type="dxa" w:w="3120"/>
            <w:shd w:fill="FAF8F6"/>
          </w:tcPr>
          <w:p>
            <w:pPr>
              <w:spacing w:after="40"/>
            </w:pPr>
            <w:r>
              <w:rPr>
                <w:color w:val="171717"/>
                <w:sz w:val="16"/>
              </w:rPr>
              <w:t>Doctrine ID, version, scope, owner, effective dates, test and rollback</w:t>
            </w:r>
          </w:p>
        </w:tc>
      </w:tr>
      <w:tr>
        <w:trPr>
          <w:cantSplit/>
        </w:trPr>
        <w:tc>
          <w:tcPr>
            <w:tcW w:type="dxa" w:w="3120"/>
          </w:tcPr>
          <w:p>
            <w:pPr>
              <w:spacing w:after="40"/>
            </w:pPr>
            <w:r>
              <w:rPr>
                <w:color w:val="171717"/>
                <w:sz w:val="16"/>
              </w:rPr>
              <w:t>Configuration</w:t>
            </w:r>
          </w:p>
        </w:tc>
        <w:tc>
          <w:tcPr>
            <w:tcW w:type="dxa" w:w="3120"/>
          </w:tcPr>
          <w:p>
            <w:pPr>
              <w:spacing w:after="40"/>
            </w:pPr>
            <w:r>
              <w:rPr>
                <w:color w:val="171717"/>
                <w:sz w:val="16"/>
              </w:rPr>
              <w:t>Allow event/jurisdiction parameters without code changes</w:t>
            </w:r>
          </w:p>
        </w:tc>
        <w:tc>
          <w:tcPr>
            <w:tcW w:type="dxa" w:w="3120"/>
          </w:tcPr>
          <w:p>
            <w:pPr>
              <w:spacing w:after="40"/>
            </w:pPr>
            <w:r>
              <w:rPr>
                <w:color w:val="171717"/>
                <w:sz w:val="16"/>
              </w:rPr>
              <w:t>Default, permitted range, authority, event override and audit</w:t>
            </w:r>
          </w:p>
        </w:tc>
      </w:tr>
      <w:tr>
        <w:trPr>
          <w:cantSplit/>
        </w:trPr>
        <w:tc>
          <w:tcPr>
            <w:tcW w:type="dxa" w:w="3120"/>
            <w:shd w:fill="FAF8F6"/>
          </w:tcPr>
          <w:p>
            <w:pPr>
              <w:spacing w:after="40"/>
            </w:pPr>
            <w:r>
              <w:rPr>
                <w:color w:val="171717"/>
                <w:sz w:val="16"/>
              </w:rPr>
              <w:t>Event-scoped fact</w:t>
            </w:r>
          </w:p>
        </w:tc>
        <w:tc>
          <w:tcPr>
            <w:tcW w:type="dxa" w:w="3120"/>
            <w:shd w:fill="FAF8F6"/>
          </w:tcPr>
          <w:p>
            <w:pPr>
              <w:spacing w:after="40"/>
            </w:pPr>
            <w:r>
              <w:rPr>
                <w:color w:val="171717"/>
                <w:sz w:val="16"/>
              </w:rPr>
              <w:t>Describe a guest, host, supplier, venue, timing or risk</w:t>
            </w:r>
          </w:p>
        </w:tc>
        <w:tc>
          <w:tcPr>
            <w:tcW w:type="dxa" w:w="3120"/>
            <w:shd w:fill="FAF8F6"/>
          </w:tcPr>
          <w:p>
            <w:pPr>
              <w:spacing w:after="40"/>
            </w:pPr>
            <w:r>
              <w:rPr>
                <w:color w:val="171717"/>
                <w:sz w:val="16"/>
              </w:rPr>
              <w:t>event_id, provenance, sensitivity, owner and freshness</w:t>
            </w:r>
          </w:p>
        </w:tc>
      </w:tr>
      <w:tr>
        <w:trPr>
          <w:cantSplit/>
        </w:trPr>
        <w:tc>
          <w:tcPr>
            <w:tcW w:type="dxa" w:w="3120"/>
          </w:tcPr>
          <w:p>
            <w:pPr>
              <w:spacing w:after="40"/>
            </w:pPr>
            <w:r>
              <w:rPr>
                <w:color w:val="171717"/>
                <w:sz w:val="16"/>
              </w:rPr>
              <w:t>Verified context record</w:t>
            </w:r>
          </w:p>
        </w:tc>
        <w:tc>
          <w:tcPr>
            <w:tcW w:type="dxa" w:w="3120"/>
          </w:tcPr>
          <w:p>
            <w:pPr>
              <w:spacing w:after="40"/>
            </w:pPr>
            <w:r>
              <w:rPr>
                <w:color w:val="171717"/>
                <w:sz w:val="16"/>
              </w:rPr>
              <w:t>Represent protocol, culture or law</w:t>
            </w:r>
          </w:p>
        </w:tc>
        <w:tc>
          <w:tcPr>
            <w:tcW w:type="dxa" w:w="3120"/>
          </w:tcPr>
          <w:p>
            <w:pPr>
              <w:spacing w:after="40"/>
            </w:pPr>
            <w:r>
              <w:rPr>
                <w:color w:val="171717"/>
                <w:sz w:val="16"/>
              </w:rPr>
              <w:t>source, scope, reviewer, effective date, expiry and event confirmation</w:t>
            </w:r>
          </w:p>
        </w:tc>
      </w:tr>
      <w:tr>
        <w:trPr>
          <w:cantSplit/>
        </w:trPr>
        <w:tc>
          <w:tcPr>
            <w:tcW w:type="dxa" w:w="3120"/>
            <w:shd w:fill="FAF8F6"/>
          </w:tcPr>
          <w:p>
            <w:pPr>
              <w:spacing w:after="40"/>
            </w:pPr>
            <w:r>
              <w:rPr>
                <w:color w:val="171717"/>
                <w:sz w:val="16"/>
              </w:rPr>
              <w:t>Workflow/gate</w:t>
            </w:r>
          </w:p>
        </w:tc>
        <w:tc>
          <w:tcPr>
            <w:tcW w:type="dxa" w:w="3120"/>
            <w:shd w:fill="FAF8F6"/>
          </w:tcPr>
          <w:p>
            <w:pPr>
              <w:spacing w:after="40"/>
            </w:pPr>
            <w:r>
              <w:rPr>
                <w:color w:val="171717"/>
                <w:sz w:val="16"/>
              </w:rPr>
              <w:t>Route tasks, approvals and escalation</w:t>
            </w:r>
          </w:p>
        </w:tc>
        <w:tc>
          <w:tcPr>
            <w:tcW w:type="dxa" w:w="3120"/>
            <w:shd w:fill="FAF8F6"/>
          </w:tcPr>
          <w:p>
            <w:pPr>
              <w:spacing w:after="40"/>
            </w:pPr>
            <w:r>
              <w:rPr>
                <w:color w:val="171717"/>
                <w:sz w:val="16"/>
              </w:rPr>
              <w:t>trigger, owner, deadline, evidence, failure behaviour and exception</w:t>
            </w:r>
          </w:p>
        </w:tc>
      </w:tr>
      <w:tr>
        <w:trPr>
          <w:cantSplit/>
        </w:trPr>
        <w:tc>
          <w:tcPr>
            <w:tcW w:type="dxa" w:w="3120"/>
          </w:tcPr>
          <w:p>
            <w:pPr>
              <w:spacing w:after="40"/>
            </w:pPr>
            <w:r>
              <w:rPr>
                <w:color w:val="171717"/>
                <w:sz w:val="16"/>
              </w:rPr>
              <w:t>Intelligence product</w:t>
            </w:r>
          </w:p>
        </w:tc>
        <w:tc>
          <w:tcPr>
            <w:tcW w:type="dxa" w:w="3120"/>
          </w:tcPr>
          <w:p>
            <w:pPr>
              <w:spacing w:after="40"/>
            </w:pPr>
            <w:r>
              <w:rPr>
                <w:color w:val="171717"/>
                <w:sz w:val="16"/>
              </w:rPr>
              <w:t>Explain risk, gap or recommendation</w:t>
            </w:r>
          </w:p>
        </w:tc>
        <w:tc>
          <w:tcPr>
            <w:tcW w:type="dxa" w:w="3120"/>
          </w:tcPr>
          <w:p>
            <w:pPr>
              <w:spacing w:after="40"/>
            </w:pPr>
            <w:r>
              <w:rPr>
                <w:color w:val="171717"/>
                <w:sz w:val="16"/>
              </w:rPr>
              <w:t>inputs, rule/version, confidence, impact, action, owner and human override</w:t>
            </w:r>
          </w:p>
        </w:tc>
      </w:tr>
      <w:tr>
        <w:trPr>
          <w:cantSplit/>
        </w:trPr>
        <w:tc>
          <w:tcPr>
            <w:tcW w:type="dxa" w:w="3120"/>
            <w:shd w:fill="FAF8F6"/>
          </w:tcPr>
          <w:p>
            <w:pPr>
              <w:spacing w:after="40"/>
            </w:pPr>
            <w:r>
              <w:rPr>
                <w:color w:val="171717"/>
                <w:sz w:val="16"/>
              </w:rPr>
              <w:t>Decision record</w:t>
            </w:r>
          </w:p>
        </w:tc>
        <w:tc>
          <w:tcPr>
            <w:tcW w:type="dxa" w:w="3120"/>
            <w:shd w:fill="FAF8F6"/>
          </w:tcPr>
          <w:p>
            <w:pPr>
              <w:spacing w:after="40"/>
            </w:pPr>
            <w:r>
              <w:rPr>
                <w:color w:val="171717"/>
                <w:sz w:val="16"/>
              </w:rPr>
              <w:t>Preserve accountable human judgment</w:t>
            </w:r>
          </w:p>
        </w:tc>
        <w:tc>
          <w:tcPr>
            <w:tcW w:type="dxa" w:w="3120"/>
            <w:shd w:fill="FAF8F6"/>
          </w:tcPr>
          <w:p>
            <w:pPr>
              <w:spacing w:after="40"/>
            </w:pPr>
            <w:r>
              <w:rPr>
                <w:color w:val="171717"/>
                <w:sz w:val="16"/>
              </w:rPr>
              <w:t>decision, options, rationale, authority, timestamp and consequences</w:t>
            </w:r>
          </w:p>
        </w:tc>
      </w:tr>
    </w:tbl>
    <w:p>
      <w:pPr>
        <w:spacing w:after="20"/>
      </w:pPr>
    </w:p>
    <w:p>
      <w:pPr>
        <w:pStyle w:val="Heading2"/>
        <w:keepNext/>
      </w:pPr>
      <w:r>
        <w:t>OS event scope and cross-event capability</w:t>
      </w:r>
    </w:p>
    <w:p>
      <w:pPr>
        <w:pStyle w:val="ListBullet"/>
      </w:pPr>
      <w:r>
        <w:t>All operational records carry event_id and tenant/organisation scope. Access is denied if scope cannot be resolved.</w:t>
      </w:r>
    </w:p>
    <w:p>
      <w:pPr>
        <w:pStyle w:val="ListBullet"/>
      </w:pPr>
      <w:r>
        <w:t>Reusable guest memory is a separate governed capability, not an accidental query across event tables.</w:t>
      </w:r>
    </w:p>
    <w:p>
      <w:pPr>
        <w:pStyle w:val="ListBullet"/>
      </w:pPr>
      <w:r>
        <w:t>Cross-event analytics use minimised, permissioned data and must not expose sensitive event details to unrelated teams.</w:t>
      </w:r>
    </w:p>
    <w:p>
      <w:pPr>
        <w:pStyle w:val="ListBullet"/>
      </w:pPr>
      <w:r>
        <w:t>A copied event creates new operational records and references approved templates; it does not inherit live decisions, access grants or stale personal data.</w:t>
      </w:r>
    </w:p>
    <w:p>
      <w:pPr>
        <w:pStyle w:val="ListBullet"/>
      </w:pPr>
      <w:r>
        <w:t>Every frontend view makes the active event unmistakable, especially on mobile and in the command centre.</w:t>
      </w:r>
    </w:p>
    <w:p>
      <w:pPr>
        <w:pStyle w:val="Heading2"/>
        <w:keepNext/>
      </w:pPr>
      <w:r>
        <w:t>OS gaps requiring closure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080"/>
            <w:tcMar>
              <w:top w:w="80" w:type="dxa"/>
              <w:start w:w="120" w:type="dxa"/>
              <w:bottom w:w="80" w:type="dxa"/>
              <w:end w:w="120" w:type="dxa"/>
            </w:tcMar>
            <w:vAlign w:val="top"/>
            <w:shd w:fill="B79F85"/>
          </w:tcPr>
          <w:p>
            <w:r>
              <w:rPr>
                <w:b/>
                <w:color w:val="171717"/>
                <w:sz w:val="15"/>
              </w:rPr>
              <w:t>Domain</w:t>
            </w:r>
          </w:p>
        </w:tc>
        <w:tc>
          <w:tcPr>
            <w:tcW w:type="dxa" w:w="3096"/>
            <w:tcMar>
              <w:top w:w="80" w:type="dxa"/>
              <w:start w:w="120" w:type="dxa"/>
              <w:bottom w:w="80" w:type="dxa"/>
              <w:end w:w="120" w:type="dxa"/>
            </w:tcMar>
            <w:vAlign w:val="top"/>
            <w:shd w:fill="B79F85"/>
          </w:tcPr>
          <w:p>
            <w:r>
              <w:rPr>
                <w:b/>
                <w:color w:val="171717"/>
                <w:sz w:val="15"/>
              </w:rPr>
              <w:t>Subject</w:t>
            </w:r>
          </w:p>
        </w:tc>
        <w:tc>
          <w:tcPr>
            <w:tcW w:type="dxa" w:w="2088"/>
            <w:tcMar>
              <w:top w:w="80" w:type="dxa"/>
              <w:start w:w="120" w:type="dxa"/>
              <w:bottom w:w="80" w:type="dxa"/>
              <w:end w:w="120" w:type="dxa"/>
            </w:tcMar>
            <w:vAlign w:val="top"/>
            <w:shd w:fill="B79F85"/>
          </w:tcPr>
          <w:p>
            <w:r>
              <w:rPr>
                <w:b/>
                <w:color w:val="171717"/>
                <w:sz w:val="15"/>
              </w:rPr>
              <w:t>Current OS position</w:t>
            </w:r>
          </w:p>
        </w:tc>
        <w:tc>
          <w:tcPr>
            <w:tcW w:type="dxa" w:w="3096"/>
            <w:tcMar>
              <w:top w:w="80" w:type="dxa"/>
              <w:start w:w="120" w:type="dxa"/>
              <w:bottom w:w="80" w:type="dxa"/>
              <w:end w:w="120" w:type="dxa"/>
            </w:tcMar>
            <w:vAlign w:val="top"/>
            <w:shd w:fill="B79F85"/>
          </w:tcPr>
          <w:p>
            <w:r>
              <w:rPr>
                <w:b/>
                <w:color w:val="171717"/>
                <w:sz w:val="15"/>
              </w:rPr>
              <w:t>Required closure</w:t>
            </w:r>
          </w:p>
        </w:tc>
      </w:tr>
      <w:tr>
        <w:trPr>
          <w:cantSplit/>
        </w:trPr>
        <w:tc>
          <w:tcPr>
            <w:tcW w:type="dxa" w:w="2340"/>
            <w:shd w:fill="FAF8F6"/>
          </w:tcPr>
          <w:p>
            <w:pPr>
              <w:spacing w:after="40"/>
            </w:pPr>
            <w:r>
              <w:rPr>
                <w:color w:val="171717"/>
                <w:sz w:val="15"/>
              </w:rPr>
              <w:t>KIA-04</w:t>
            </w:r>
          </w:p>
        </w:tc>
        <w:tc>
          <w:tcPr>
            <w:tcW w:type="dxa" w:w="2340"/>
            <w:shd w:fill="FAF8F6"/>
          </w:tcPr>
          <w:p>
            <w:pPr>
              <w:spacing w:after="40"/>
            </w:pPr>
            <w:r>
              <w:rPr>
                <w:color w:val="171717"/>
                <w:sz w:val="15"/>
              </w:rPr>
              <w:t>Nigerian Protocol, Precedence and Respect</w:t>
            </w:r>
          </w:p>
        </w:tc>
        <w:tc>
          <w:tcPr>
            <w:tcW w:type="dxa" w:w="2340"/>
            <w:shd w:fill="FAF8F6"/>
          </w:tcPr>
          <w:p>
            <w:pPr>
              <w:spacing w:after="40"/>
            </w:pPr>
            <w:r>
              <w:rPr>
                <w:color w:val="171717"/>
                <w:sz w:val="15"/>
              </w:rPr>
              <w:t>Partial</w:t>
            </w:r>
          </w:p>
        </w:tc>
        <w:tc>
          <w:tcPr>
            <w:tcW w:type="dxa" w:w="2340"/>
            <w:shd w:fill="FAF8F6"/>
          </w:tcPr>
          <w:p>
            <w:pPr>
              <w:spacing w:after="40"/>
            </w:pPr>
            <w:r>
              <w:rPr>
                <w:color w:val="171717"/>
                <w:sz w:val="15"/>
              </w:rPr>
              <w:t>Approve sourced protocol register and verified learning pack.</w:t>
            </w:r>
          </w:p>
        </w:tc>
      </w:tr>
      <w:tr>
        <w:trPr>
          <w:cantSplit/>
        </w:trPr>
        <w:tc>
          <w:tcPr>
            <w:tcW w:type="dxa" w:w="2340"/>
          </w:tcPr>
          <w:p>
            <w:pPr>
              <w:spacing w:after="40"/>
            </w:pPr>
            <w:r>
              <w:rPr>
                <w:color w:val="171717"/>
                <w:sz w:val="15"/>
              </w:rPr>
              <w:t>KIA-05</w:t>
            </w:r>
          </w:p>
        </w:tc>
        <w:tc>
          <w:tcPr>
            <w:tcW w:type="dxa" w:w="2340"/>
          </w:tcPr>
          <w:p>
            <w:pPr>
              <w:spacing w:after="40"/>
            </w:pPr>
            <w:r>
              <w:rPr>
                <w:color w:val="171717"/>
                <w:sz w:val="15"/>
              </w:rPr>
              <w:t>Cultural and Ceremonial Intelligence</w:t>
            </w:r>
          </w:p>
        </w:tc>
        <w:tc>
          <w:tcPr>
            <w:tcW w:type="dxa" w:w="2340"/>
          </w:tcPr>
          <w:p>
            <w:pPr>
              <w:spacing w:after="40"/>
            </w:pPr>
            <w:r>
              <w:rPr>
                <w:color w:val="171717"/>
                <w:sz w:val="15"/>
              </w:rPr>
              <w:t>Partial</w:t>
            </w:r>
          </w:p>
        </w:tc>
        <w:tc>
          <w:tcPr>
            <w:tcW w:type="dxa" w:w="2340"/>
          </w:tcPr>
          <w:p>
            <w:pPr>
              <w:spacing w:after="40"/>
            </w:pPr>
            <w:r>
              <w:rPr>
                <w:color w:val="171717"/>
                <w:sz w:val="15"/>
              </w:rPr>
              <w:t>Appoint reviewers and publish scoped context packs.</w:t>
            </w:r>
          </w:p>
        </w:tc>
      </w:tr>
      <w:tr>
        <w:trPr>
          <w:cantSplit/>
        </w:trPr>
        <w:tc>
          <w:tcPr>
            <w:tcW w:type="dxa" w:w="2340"/>
            <w:shd w:fill="FAF8F6"/>
          </w:tcPr>
          <w:p>
            <w:pPr>
              <w:spacing w:after="40"/>
            </w:pPr>
            <w:r>
              <w:rPr>
                <w:color w:val="171717"/>
                <w:sz w:val="15"/>
              </w:rPr>
              <w:t>KIA-07</w:t>
            </w:r>
          </w:p>
        </w:tc>
        <w:tc>
          <w:tcPr>
            <w:tcW w:type="dxa" w:w="2340"/>
            <w:shd w:fill="FAF8F6"/>
          </w:tcPr>
          <w:p>
            <w:pPr>
              <w:spacing w:after="40"/>
            </w:pPr>
            <w:r>
              <w:rPr>
                <w:color w:val="171717"/>
                <w:sz w:val="15"/>
              </w:rPr>
              <w:t>Protocol Conflict and Diplomatic Judgment</w:t>
            </w:r>
          </w:p>
        </w:tc>
        <w:tc>
          <w:tcPr>
            <w:tcW w:type="dxa" w:w="2340"/>
            <w:shd w:fill="FAF8F6"/>
          </w:tcPr>
          <w:p>
            <w:pPr>
              <w:spacing w:after="40"/>
            </w:pPr>
            <w:r>
              <w:rPr>
                <w:color w:val="171717"/>
                <w:sz w:val="15"/>
              </w:rPr>
              <w:t>Partial</w:t>
            </w:r>
          </w:p>
        </w:tc>
        <w:tc>
          <w:tcPr>
            <w:tcW w:type="dxa" w:w="2340"/>
            <w:shd w:fill="FAF8F6"/>
          </w:tcPr>
          <w:p>
            <w:pPr>
              <w:spacing w:after="40"/>
            </w:pPr>
            <w:r>
              <w:rPr>
                <w:color w:val="171717"/>
                <w:sz w:val="15"/>
              </w:rPr>
              <w:t>Specialist-review branching scenarios and escalation evidence.</w:t>
            </w:r>
          </w:p>
        </w:tc>
      </w:tr>
      <w:tr>
        <w:trPr>
          <w:cantSplit/>
        </w:trPr>
        <w:tc>
          <w:tcPr>
            <w:tcW w:type="dxa" w:w="2340"/>
          </w:tcPr>
          <w:p>
            <w:pPr>
              <w:spacing w:after="40"/>
            </w:pPr>
            <w:r>
              <w:rPr>
                <w:color w:val="171717"/>
                <w:sz w:val="15"/>
              </w:rPr>
              <w:t>KIA-11</w:t>
            </w:r>
          </w:p>
        </w:tc>
        <w:tc>
          <w:tcPr>
            <w:tcW w:type="dxa" w:w="2340"/>
          </w:tcPr>
          <w:p>
            <w:pPr>
              <w:spacing w:after="40"/>
            </w:pPr>
            <w:r>
              <w:rPr>
                <w:color w:val="171717"/>
                <w:sz w:val="15"/>
              </w:rPr>
              <w:t>White-Glove Team and Service Culture</w:t>
            </w:r>
          </w:p>
        </w:tc>
        <w:tc>
          <w:tcPr>
            <w:tcW w:type="dxa" w:w="2340"/>
          </w:tcPr>
          <w:p>
            <w:pPr>
              <w:spacing w:after="40"/>
            </w:pPr>
            <w:r>
              <w:rPr>
                <w:color w:val="171717"/>
                <w:sz w:val="15"/>
              </w:rPr>
              <w:t>Partial</w:t>
            </w:r>
          </w:p>
        </w:tc>
        <w:tc>
          <w:tcPr>
            <w:tcW w:type="dxa" w:w="2340"/>
          </w:tcPr>
          <w:p>
            <w:pPr>
              <w:spacing w:after="40"/>
            </w:pPr>
            <w:r>
              <w:rPr>
                <w:color w:val="171717"/>
                <w:sz w:val="15"/>
              </w:rPr>
              <w:t>Approve staffing policies and role practicals.</w:t>
            </w:r>
          </w:p>
        </w:tc>
      </w:tr>
      <w:tr>
        <w:trPr>
          <w:cantSplit/>
        </w:trPr>
        <w:tc>
          <w:tcPr>
            <w:tcW w:type="dxa" w:w="2340"/>
            <w:shd w:fill="FAF8F6"/>
          </w:tcPr>
          <w:p>
            <w:pPr>
              <w:spacing w:after="40"/>
            </w:pPr>
            <w:r>
              <w:rPr>
                <w:color w:val="171717"/>
                <w:sz w:val="15"/>
              </w:rPr>
              <w:t>KIA-15</w:t>
            </w:r>
          </w:p>
        </w:tc>
        <w:tc>
          <w:tcPr>
            <w:tcW w:type="dxa" w:w="2340"/>
            <w:shd w:fill="FAF8F6"/>
          </w:tcPr>
          <w:p>
            <w:pPr>
              <w:spacing w:after="40"/>
            </w:pPr>
            <w:r>
              <w:rPr>
                <w:color w:val="171717"/>
                <w:sz w:val="15"/>
              </w:rPr>
              <w:t>Live Operations and Operations Room</w:t>
            </w:r>
          </w:p>
        </w:tc>
        <w:tc>
          <w:tcPr>
            <w:tcW w:type="dxa" w:w="2340"/>
            <w:shd w:fill="FAF8F6"/>
          </w:tcPr>
          <w:p>
            <w:pPr>
              <w:spacing w:after="40"/>
            </w:pPr>
            <w:r>
              <w:rPr>
                <w:color w:val="171717"/>
                <w:sz w:val="15"/>
              </w:rPr>
              <w:t>Complete, unvalidated</w:t>
            </w:r>
          </w:p>
        </w:tc>
        <w:tc>
          <w:tcPr>
            <w:tcW w:type="dxa" w:w="2340"/>
            <w:shd w:fill="FAF8F6"/>
          </w:tcPr>
          <w:p>
            <w:pPr>
              <w:spacing w:after="40"/>
            </w:pPr>
            <w:r>
              <w:rPr>
                <w:color w:val="171717"/>
                <w:sz w:val="15"/>
              </w:rPr>
              <w:t>Tabletop, shadow validation and operations-room simulation.</w:t>
            </w:r>
          </w:p>
        </w:tc>
      </w:tr>
      <w:tr>
        <w:trPr>
          <w:cantSplit/>
        </w:trPr>
        <w:tc>
          <w:tcPr>
            <w:tcW w:type="dxa" w:w="2340"/>
          </w:tcPr>
          <w:p>
            <w:pPr>
              <w:spacing w:after="40"/>
            </w:pPr>
            <w:r>
              <w:rPr>
                <w:color w:val="171717"/>
                <w:sz w:val="15"/>
              </w:rPr>
              <w:t>KIA-16</w:t>
            </w:r>
          </w:p>
        </w:tc>
        <w:tc>
          <w:tcPr>
            <w:tcW w:type="dxa" w:w="2340"/>
          </w:tcPr>
          <w:p>
            <w:pPr>
              <w:spacing w:after="40"/>
            </w:pPr>
            <w:r>
              <w:rPr>
                <w:color w:val="171717"/>
                <w:sz w:val="15"/>
              </w:rPr>
              <w:t>Event Command Centre and Governed AI</w:t>
            </w:r>
          </w:p>
        </w:tc>
        <w:tc>
          <w:tcPr>
            <w:tcW w:type="dxa" w:w="2340"/>
          </w:tcPr>
          <w:p>
            <w:pPr>
              <w:spacing w:after="40"/>
            </w:pPr>
            <w:r>
              <w:rPr>
                <w:color w:val="171717"/>
                <w:sz w:val="15"/>
              </w:rPr>
              <w:t>Partial—release blocked</w:t>
            </w:r>
          </w:p>
        </w:tc>
        <w:tc>
          <w:tcPr>
            <w:tcW w:type="dxa" w:w="2340"/>
          </w:tcPr>
          <w:p>
            <w:pPr>
              <w:spacing w:after="40"/>
            </w:pPr>
            <w:r>
              <w:rPr>
                <w:color w:val="171717"/>
                <w:sz w:val="15"/>
              </w:rPr>
              <w:t>Build shadow harness and AI judgment training.</w:t>
            </w:r>
          </w:p>
        </w:tc>
      </w:tr>
      <w:tr>
        <w:trPr>
          <w:cantSplit/>
        </w:trPr>
        <w:tc>
          <w:tcPr>
            <w:tcW w:type="dxa" w:w="2340"/>
            <w:shd w:fill="FAF8F6"/>
          </w:tcPr>
          <w:p>
            <w:pPr>
              <w:spacing w:after="40"/>
            </w:pPr>
            <w:r>
              <w:rPr>
                <w:color w:val="171717"/>
                <w:sz w:val="15"/>
              </w:rPr>
              <w:t>KIA-17</w:t>
            </w:r>
          </w:p>
        </w:tc>
        <w:tc>
          <w:tcPr>
            <w:tcW w:type="dxa" w:w="2340"/>
            <w:shd w:fill="FAF8F6"/>
          </w:tcPr>
          <w:p>
            <w:pPr>
              <w:spacing w:after="40"/>
            </w:pPr>
            <w:r>
              <w:rPr>
                <w:color w:val="171717"/>
                <w:sz w:val="15"/>
              </w:rPr>
              <w:t>Event-Day Execution</w:t>
            </w:r>
          </w:p>
        </w:tc>
        <w:tc>
          <w:tcPr>
            <w:tcW w:type="dxa" w:w="2340"/>
            <w:shd w:fill="FAF8F6"/>
          </w:tcPr>
          <w:p>
            <w:pPr>
              <w:spacing w:after="40"/>
            </w:pPr>
            <w:r>
              <w:rPr>
                <w:color w:val="171717"/>
                <w:sz w:val="15"/>
              </w:rPr>
              <w:t>Complete, unvalidated</w:t>
            </w:r>
          </w:p>
        </w:tc>
        <w:tc>
          <w:tcPr>
            <w:tcW w:type="dxa" w:w="2340"/>
            <w:shd w:fill="FAF8F6"/>
          </w:tcPr>
          <w:p>
            <w:pPr>
              <w:spacing w:after="40"/>
            </w:pPr>
            <w:r>
              <w:rPr>
                <w:color w:val="171717"/>
                <w:sz w:val="15"/>
              </w:rPr>
              <w:t>Rehearsal/live validation and supervised practicals.</w:t>
            </w:r>
          </w:p>
        </w:tc>
      </w:tr>
      <w:tr>
        <w:trPr>
          <w:cantSplit/>
        </w:trPr>
        <w:tc>
          <w:tcPr>
            <w:tcW w:type="dxa" w:w="2340"/>
          </w:tcPr>
          <w:p>
            <w:pPr>
              <w:spacing w:after="40"/>
            </w:pPr>
            <w:r>
              <w:rPr>
                <w:color w:val="171717"/>
                <w:sz w:val="15"/>
              </w:rPr>
              <w:t>KIA-20</w:t>
            </w:r>
          </w:p>
        </w:tc>
        <w:tc>
          <w:tcPr>
            <w:tcW w:type="dxa" w:w="2340"/>
          </w:tcPr>
          <w:p>
            <w:pPr>
              <w:spacing w:after="40"/>
            </w:pPr>
            <w:r>
              <w:rPr>
                <w:color w:val="171717"/>
                <w:sz w:val="15"/>
              </w:rPr>
              <w:t>Safety, Security, Privacy and Information Control</w:t>
            </w:r>
          </w:p>
        </w:tc>
        <w:tc>
          <w:tcPr>
            <w:tcW w:type="dxa" w:w="2340"/>
          </w:tcPr>
          <w:p>
            <w:pPr>
              <w:spacing w:after="40"/>
            </w:pPr>
            <w:r>
              <w:rPr>
                <w:color w:val="171717"/>
                <w:sz w:val="15"/>
              </w:rPr>
              <w:t>Partial</w:t>
            </w:r>
          </w:p>
        </w:tc>
        <w:tc>
          <w:tcPr>
            <w:tcW w:type="dxa" w:w="2340"/>
          </w:tcPr>
          <w:p>
            <w:pPr>
              <w:spacing w:after="40"/>
            </w:pPr>
            <w:r>
              <w:rPr>
                <w:color w:val="171717"/>
                <w:sz w:val="15"/>
              </w:rPr>
              <w:t>Legal/DPIA, biometric, retention and breach decisions.</w:t>
            </w:r>
          </w:p>
        </w:tc>
      </w:tr>
    </w:tbl>
    <w:p>
      <w:pPr>
        <w:spacing w:after="20"/>
      </w:pPr>
    </w:p>
    <w:p>
      <w:pPr>
        <w:pStyle w:val="Heading2"/>
        <w:keepNext/>
      </w:pPr>
      <w:r>
        <w:t>OS implementation acceptance</w:t>
      </w:r>
    </w:p>
    <w:p>
      <w:pPr>
        <w:pStyle w:val="ListBullet"/>
      </w:pPr>
      <w:r>
        <w:t>No critical doctrine ID is absent from the deployed knowledge manifest.</w:t>
      </w:r>
    </w:p>
    <w:p>
      <w:pPr>
        <w:pStyle w:val="ListBullet"/>
      </w:pPr>
      <w:r>
        <w:t>Every executable rule has deterministic unit tests and an event-scope isolation test.</w:t>
      </w:r>
    </w:p>
    <w:p>
      <w:pPr>
        <w:pStyle w:val="ListBullet"/>
      </w:pPr>
      <w:r>
        <w:t>Every human-only rule produces advice or an approval route, never a silent decision.</w:t>
      </w:r>
    </w:p>
    <w:p>
      <w:pPr>
        <w:pStyle w:val="ListBullet"/>
      </w:pPr>
      <w:r>
        <w:t>Every alert is explainable, actionable, owned, deduplicated and severity-calibrated.</w:t>
      </w:r>
    </w:p>
    <w:p>
      <w:pPr>
        <w:pStyle w:val="ListBullet"/>
      </w:pPr>
      <w:r>
        <w:t>Every frontend decision surface shows status, source/rationale, owner, next action and evidence.</w:t>
      </w:r>
    </w:p>
    <w:p>
      <w:pPr>
        <w:pStyle w:val="ListBullet"/>
      </w:pPr>
      <w:r>
        <w:t>Every exception is time-bound, authorised and visible to independent acceptance.</w:t>
      </w:r>
    </w:p>
    <w:p>
      <w:pPr>
        <w:pStyle w:val="Heading1"/>
        <w:keepNext/>
      </w:pPr>
      <w:r>
        <w:t>Step 5 — Complete Academy knowledge and assessment</w:t>
      </w:r>
    </w:p>
    <w:p>
      <w:r>
        <w:t>The Academy architecture is strong but must now be populated. The 1,900 doctrine records provide production inputs; they are not themselves lessons. Curriculum authors must transform them into role-appropriate teaching without stripping away rationale, ambiguity, failure modes or escalation boundaries.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tcMar>
              <w:top w:w="80" w:type="dxa"/>
              <w:start w:w="120" w:type="dxa"/>
              <w:bottom w:w="80" w:type="dxa"/>
              <w:end w:w="120" w:type="dxa"/>
            </w:tcMar>
            <w:vAlign w:val="top"/>
            <w:shd w:fill="B79F85"/>
          </w:tcPr>
          <w:p>
            <w:r>
              <w:rPr>
                <w:b/>
                <w:color w:val="171717"/>
                <w:sz w:val="16"/>
              </w:rPr>
              <w:t>Production component</w:t>
            </w:r>
          </w:p>
        </w:tc>
        <w:tc>
          <w:tcPr>
            <w:tcW w:type="dxa" w:w="4320"/>
            <w:tcMar>
              <w:top w:w="80" w:type="dxa"/>
              <w:start w:w="120" w:type="dxa"/>
              <w:bottom w:w="80" w:type="dxa"/>
              <w:end w:w="120" w:type="dxa"/>
            </w:tcMar>
            <w:vAlign w:val="top"/>
            <w:shd w:fill="B79F85"/>
          </w:tcPr>
          <w:p>
            <w:r>
              <w:rPr>
                <w:b/>
                <w:color w:val="171717"/>
                <w:sz w:val="16"/>
              </w:rPr>
              <w:t>Required output</w:t>
            </w:r>
          </w:p>
        </w:tc>
        <w:tc>
          <w:tcPr>
            <w:tcW w:type="dxa" w:w="2952"/>
            <w:tcMar>
              <w:top w:w="80" w:type="dxa"/>
              <w:start w:w="120" w:type="dxa"/>
              <w:bottom w:w="80" w:type="dxa"/>
              <w:end w:w="120" w:type="dxa"/>
            </w:tcMar>
            <w:vAlign w:val="top"/>
            <w:shd w:fill="B79F85"/>
          </w:tcPr>
          <w:p>
            <w:r>
              <w:rPr>
                <w:b/>
                <w:color w:val="171717"/>
                <w:sz w:val="16"/>
              </w:rPr>
              <w:t>Completion evidence</w:t>
            </w:r>
          </w:p>
        </w:tc>
      </w:tr>
      <w:tr>
        <w:trPr>
          <w:cantSplit/>
        </w:trPr>
        <w:tc>
          <w:tcPr>
            <w:tcW w:type="dxa" w:w="3120"/>
            <w:shd w:fill="FAF8F6"/>
          </w:tcPr>
          <w:p>
            <w:pPr>
              <w:spacing w:after="40"/>
            </w:pPr>
            <w:r>
              <w:rPr>
                <w:color w:val="171717"/>
                <w:sz w:val="16"/>
              </w:rPr>
              <w:t>Lesson corpus</w:t>
            </w:r>
          </w:p>
        </w:tc>
        <w:tc>
          <w:tcPr>
            <w:tcW w:type="dxa" w:w="3120"/>
            <w:shd w:fill="FAF8F6"/>
          </w:tcPr>
          <w:p>
            <w:pPr>
              <w:spacing w:after="40"/>
            </w:pPr>
            <w:r>
              <w:rPr>
                <w:color w:val="171717"/>
                <w:sz w:val="16"/>
              </w:rPr>
              <w:t>Standalone explanation, examples, application, failure modes and escalation</w:t>
            </w:r>
          </w:p>
        </w:tc>
        <w:tc>
          <w:tcPr>
            <w:tcW w:type="dxa" w:w="3120"/>
            <w:shd w:fill="FAF8F6"/>
          </w:tcPr>
          <w:p>
            <w:pPr>
              <w:spacing w:after="40"/>
            </w:pPr>
            <w:r>
              <w:rPr>
                <w:color w:val="171717"/>
                <w:sz w:val="16"/>
              </w:rPr>
              <w:t>Published, reviewed lesson linked to doctrine IDs</w:t>
            </w:r>
          </w:p>
        </w:tc>
      </w:tr>
      <w:tr>
        <w:trPr>
          <w:cantSplit/>
        </w:trPr>
        <w:tc>
          <w:tcPr>
            <w:tcW w:type="dxa" w:w="3120"/>
          </w:tcPr>
          <w:p>
            <w:pPr>
              <w:spacing w:after="40"/>
            </w:pPr>
            <w:r>
              <w:rPr>
                <w:color w:val="171717"/>
                <w:sz w:val="16"/>
              </w:rPr>
              <w:t>Role scenarios</w:t>
            </w:r>
          </w:p>
        </w:tc>
        <w:tc>
          <w:tcPr>
            <w:tcW w:type="dxa" w:w="3120"/>
          </w:tcPr>
          <w:p>
            <w:pPr>
              <w:spacing w:after="40"/>
            </w:pPr>
            <w:r>
              <w:rPr>
                <w:color w:val="171717"/>
                <w:sz w:val="16"/>
              </w:rPr>
              <w:t>Realistic choices for CEO, Event Director, leads, concierge, ushers and controlled specialists</w:t>
            </w:r>
          </w:p>
        </w:tc>
        <w:tc>
          <w:tcPr>
            <w:tcW w:type="dxa" w:w="3120"/>
          </w:tcPr>
          <w:p>
            <w:pPr>
              <w:spacing w:after="40"/>
            </w:pPr>
            <w:r>
              <w:rPr>
                <w:color w:val="171717"/>
                <w:sz w:val="16"/>
              </w:rPr>
              <w:t>Reviewed scenario coverage by role and competency</w:t>
            </w:r>
          </w:p>
        </w:tc>
      </w:tr>
      <w:tr>
        <w:trPr>
          <w:cantSplit/>
        </w:trPr>
        <w:tc>
          <w:tcPr>
            <w:tcW w:type="dxa" w:w="3120"/>
            <w:shd w:fill="FAF8F6"/>
          </w:tcPr>
          <w:p>
            <w:pPr>
              <w:spacing w:after="40"/>
            </w:pPr>
            <w:r>
              <w:rPr>
                <w:color w:val="171717"/>
                <w:sz w:val="16"/>
              </w:rPr>
              <w:t>Question bank</w:t>
            </w:r>
          </w:p>
        </w:tc>
        <w:tc>
          <w:tcPr>
            <w:tcW w:type="dxa" w:w="3120"/>
            <w:shd w:fill="FAF8F6"/>
          </w:tcPr>
          <w:p>
            <w:pPr>
              <w:spacing w:after="40"/>
            </w:pPr>
            <w:r>
              <w:rPr>
                <w:color w:val="171717"/>
                <w:sz w:val="16"/>
              </w:rPr>
              <w:t>High-difficulty, randomisable items with critical rules and rationales</w:t>
            </w:r>
          </w:p>
        </w:tc>
        <w:tc>
          <w:tcPr>
            <w:tcW w:type="dxa" w:w="3120"/>
            <w:shd w:fill="FAF8F6"/>
          </w:tcPr>
          <w:p>
            <w:pPr>
              <w:spacing w:after="40"/>
            </w:pPr>
            <w:r>
              <w:rPr>
                <w:color w:val="171717"/>
                <w:sz w:val="16"/>
              </w:rPr>
              <w:t>Moderation, blueprint coverage and item analytics</w:t>
            </w:r>
          </w:p>
        </w:tc>
      </w:tr>
      <w:tr>
        <w:trPr>
          <w:cantSplit/>
        </w:trPr>
        <w:tc>
          <w:tcPr>
            <w:tcW w:type="dxa" w:w="3120"/>
          </w:tcPr>
          <w:p>
            <w:pPr>
              <w:spacing w:after="40"/>
            </w:pPr>
            <w:r>
              <w:rPr>
                <w:color w:val="171717"/>
                <w:sz w:val="16"/>
              </w:rPr>
              <w:t>Practical assessment</w:t>
            </w:r>
          </w:p>
        </w:tc>
        <w:tc>
          <w:tcPr>
            <w:tcW w:type="dxa" w:w="3120"/>
          </w:tcPr>
          <w:p>
            <w:pPr>
              <w:spacing w:after="40"/>
            </w:pPr>
            <w:r>
              <w:rPr>
                <w:color w:val="171717"/>
                <w:sz w:val="16"/>
              </w:rPr>
              <w:t>Observation of service, command, protocol, recovery and event-specific readiness</w:t>
            </w:r>
          </w:p>
        </w:tc>
        <w:tc>
          <w:tcPr>
            <w:tcW w:type="dxa" w:w="3120"/>
          </w:tcPr>
          <w:p>
            <w:pPr>
              <w:spacing w:after="40"/>
            </w:pPr>
            <w:r>
              <w:rPr>
                <w:color w:val="171717"/>
                <w:sz w:val="16"/>
              </w:rPr>
              <w:t>Assessor rubric, evidence and decision</w:t>
            </w:r>
          </w:p>
        </w:tc>
      </w:tr>
      <w:tr>
        <w:trPr>
          <w:cantSplit/>
        </w:trPr>
        <w:tc>
          <w:tcPr>
            <w:tcW w:type="dxa" w:w="3120"/>
            <w:shd w:fill="FAF8F6"/>
          </w:tcPr>
          <w:p>
            <w:pPr>
              <w:spacing w:after="40"/>
            </w:pPr>
            <w:r>
              <w:rPr>
                <w:color w:val="171717"/>
                <w:sz w:val="16"/>
              </w:rPr>
              <w:t>Assessor calibration</w:t>
            </w:r>
          </w:p>
        </w:tc>
        <w:tc>
          <w:tcPr>
            <w:tcW w:type="dxa" w:w="3120"/>
            <w:shd w:fill="FAF8F6"/>
          </w:tcPr>
          <w:p>
            <w:pPr>
              <w:spacing w:after="40"/>
            </w:pPr>
            <w:r>
              <w:rPr>
                <w:color w:val="171717"/>
                <w:sz w:val="16"/>
              </w:rPr>
              <w:t>Shared interpretation of scoring and critical failures</w:t>
            </w:r>
          </w:p>
        </w:tc>
        <w:tc>
          <w:tcPr>
            <w:tcW w:type="dxa" w:w="3120"/>
            <w:shd w:fill="FAF8F6"/>
          </w:tcPr>
          <w:p>
            <w:pPr>
              <w:spacing w:after="40"/>
            </w:pPr>
            <w:r>
              <w:rPr>
                <w:color w:val="171717"/>
                <w:sz w:val="16"/>
              </w:rPr>
              <w:t>Inter-rater reliability evidence</w:t>
            </w:r>
          </w:p>
        </w:tc>
      </w:tr>
      <w:tr>
        <w:trPr>
          <w:cantSplit/>
        </w:trPr>
        <w:tc>
          <w:tcPr>
            <w:tcW w:type="dxa" w:w="3120"/>
          </w:tcPr>
          <w:p>
            <w:pPr>
              <w:spacing w:after="40"/>
            </w:pPr>
            <w:r>
              <w:rPr>
                <w:color w:val="171717"/>
                <w:sz w:val="16"/>
              </w:rPr>
              <w:t>Certification</w:t>
            </w:r>
          </w:p>
        </w:tc>
        <w:tc>
          <w:tcPr>
            <w:tcW w:type="dxa" w:w="3120"/>
          </w:tcPr>
          <w:p>
            <w:pPr>
              <w:spacing w:after="40"/>
            </w:pPr>
            <w:r>
              <w:rPr>
                <w:color w:val="171717"/>
                <w:sz w:val="16"/>
              </w:rPr>
              <w:t>Pass ≥80%; distinction ≥90%; retake below 80%; expiry/renewal rules</w:t>
            </w:r>
          </w:p>
        </w:tc>
        <w:tc>
          <w:tcPr>
            <w:tcW w:type="dxa" w:w="3120"/>
          </w:tcPr>
          <w:p>
            <w:pPr>
              <w:spacing w:after="40"/>
            </w:pPr>
            <w:r>
              <w:rPr>
                <w:color w:val="171717"/>
                <w:sz w:val="16"/>
              </w:rPr>
              <w:t>Certificate and operational-authorisation linkage</w:t>
            </w:r>
          </w:p>
        </w:tc>
      </w:tr>
      <w:tr>
        <w:trPr>
          <w:cantSplit/>
        </w:trPr>
        <w:tc>
          <w:tcPr>
            <w:tcW w:type="dxa" w:w="3120"/>
            <w:shd w:fill="FAF8F6"/>
          </w:tcPr>
          <w:p>
            <w:pPr>
              <w:spacing w:after="40"/>
            </w:pPr>
            <w:r>
              <w:rPr>
                <w:color w:val="171717"/>
                <w:sz w:val="16"/>
              </w:rPr>
              <w:t>Refresher learning</w:t>
            </w:r>
          </w:p>
        </w:tc>
        <w:tc>
          <w:tcPr>
            <w:tcW w:type="dxa" w:w="3120"/>
            <w:shd w:fill="FAF8F6"/>
          </w:tcPr>
          <w:p>
            <w:pPr>
              <w:spacing w:after="40"/>
            </w:pPr>
            <w:r>
              <w:rPr>
                <w:color w:val="171717"/>
                <w:sz w:val="16"/>
              </w:rPr>
              <w:t>Targeted reassignment after material change, role move, expiry or performance evidence</w:t>
            </w:r>
          </w:p>
        </w:tc>
        <w:tc>
          <w:tcPr>
            <w:tcW w:type="dxa" w:w="3120"/>
            <w:shd w:fill="FAF8F6"/>
          </w:tcPr>
          <w:p>
            <w:pPr>
              <w:spacing w:after="40"/>
            </w:pPr>
            <w:r>
              <w:rPr>
                <w:color w:val="171717"/>
                <w:sz w:val="16"/>
              </w:rPr>
              <w:t>Completion against current doctrine and event version</w:t>
            </w:r>
          </w:p>
        </w:tc>
      </w:tr>
    </w:tbl>
    <w:p>
      <w:pPr>
        <w:spacing w:after="20"/>
      </w:pPr>
    </w:p>
    <w:p>
      <w:pPr>
        <w:pStyle w:val="Heading2"/>
        <w:keepNext/>
      </w:pPr>
      <w:r>
        <w:t>Academy non-negotiable depth test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pPr>
              <w:spacing w:after="0"/>
            </w:pPr>
            <w:r>
              <w:rPr>
                <w:b/>
                <w:color w:val="171717"/>
              </w:rPr>
              <w:t xml:space="preserve">INDEPENDENT LEARNER TEST  </w:t>
            </w:r>
            <w:r>
              <w:t>A learner with the appropriate prerequisite knowledge must be able to understand why the standard exists, recognise when it applies, choose the correct action, identify when not to automate it, and escalate uncertainty without opening the original 30-module source.</w:t>
            </w:r>
          </w:p>
        </w:tc>
      </w:tr>
    </w:tbl>
    <w:p>
      <w:pPr>
        <w:spacing w:after="20"/>
      </w:pPr>
    </w:p>
    <w:p>
      <w:pPr>
        <w:pStyle w:val="ListBullet"/>
      </w:pPr>
      <w:r>
        <w:t>Mandatory competency → teaching → guided practice → high-difficulty assessment → practical evidence → certification.</w:t>
      </w:r>
    </w:p>
    <w:p>
      <w:pPr>
        <w:pStyle w:val="ListBullet"/>
      </w:pPr>
      <w:r>
        <w:t>Critical safety, privacy, protocol and dignity failures cannot be offset by a high average score.</w:t>
      </w:r>
    </w:p>
    <w:p>
      <w:pPr>
        <w:pStyle w:val="ListBullet"/>
      </w:pPr>
      <w:r>
        <w:t>Restricted event facts are delivered only to staff who need them for the assigned event and role.</w:t>
      </w:r>
    </w:p>
    <w:p>
      <w:pPr>
        <w:pStyle w:val="ListBullet"/>
      </w:pPr>
      <w:r>
        <w:t>Vertical or horizontal role changes trigger a pathway recalculation; valid shared competencies receive credit and new gaps are assigned.</w:t>
      </w:r>
    </w:p>
    <w:p>
      <w:pPr>
        <w:pStyle w:val="ListBullet"/>
      </w:pPr>
      <w:r>
        <w:t>Assessment attempts, retakes and item exposure are auditable; unlimited readiness-based retakes do not mean repeated identical papers.</w:t>
      </w:r>
    </w:p>
    <w:p>
      <w:pPr>
        <w:pStyle w:val="Heading1"/>
        <w:keepNext/>
      </w:pPr>
      <w:r>
        <w:t>Step 6 — OS–Academy operational integration</w:t>
      </w:r>
    </w:p>
    <w:p>
      <w:r>
        <w:t>The two repos remain separate systems with explicit contracts. Neither reads the other’s database directly. Events and role requirements originate through approved authorities; the Academy returns verified learning and authorisation outcomes; the OS enforces deployment eligibility.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088"/>
            <w:tcMar>
              <w:top w:w="80" w:type="dxa"/>
              <w:start w:w="120" w:type="dxa"/>
              <w:bottom w:w="80" w:type="dxa"/>
              <w:end w:w="120" w:type="dxa"/>
            </w:tcMar>
            <w:vAlign w:val="top"/>
            <w:shd w:fill="B79F85"/>
          </w:tcPr>
          <w:p>
            <w:r>
              <w:rPr>
                <w:b/>
                <w:color w:val="171717"/>
                <w:sz w:val="15"/>
              </w:rPr>
              <w:t>Exchange</w:t>
            </w:r>
          </w:p>
        </w:tc>
        <w:tc>
          <w:tcPr>
            <w:tcW w:type="dxa" w:w="2448"/>
            <w:tcMar>
              <w:top w:w="80" w:type="dxa"/>
              <w:start w:w="120" w:type="dxa"/>
              <w:bottom w:w="80" w:type="dxa"/>
              <w:end w:w="120" w:type="dxa"/>
            </w:tcMar>
            <w:vAlign w:val="top"/>
            <w:shd w:fill="B79F85"/>
          </w:tcPr>
          <w:p>
            <w:r>
              <w:rPr>
                <w:b/>
                <w:color w:val="171717"/>
                <w:sz w:val="15"/>
              </w:rPr>
              <w:t>Authority → consumer</w:t>
            </w:r>
          </w:p>
        </w:tc>
        <w:tc>
          <w:tcPr>
            <w:tcW w:type="dxa" w:w="3096"/>
            <w:tcMar>
              <w:top w:w="80" w:type="dxa"/>
              <w:start w:w="120" w:type="dxa"/>
              <w:bottom w:w="80" w:type="dxa"/>
              <w:end w:w="120" w:type="dxa"/>
            </w:tcMar>
            <w:vAlign w:val="top"/>
            <w:shd w:fill="B79F85"/>
          </w:tcPr>
          <w:p>
            <w:r>
              <w:rPr>
                <w:b/>
                <w:color w:val="171717"/>
                <w:sz w:val="15"/>
              </w:rPr>
              <w:t>Operational result</w:t>
            </w:r>
          </w:p>
        </w:tc>
        <w:tc>
          <w:tcPr>
            <w:tcW w:type="dxa" w:w="1728"/>
            <w:tcMar>
              <w:top w:w="80" w:type="dxa"/>
              <w:start w:w="120" w:type="dxa"/>
              <w:bottom w:w="80" w:type="dxa"/>
              <w:end w:w="120" w:type="dxa"/>
            </w:tcMar>
            <w:vAlign w:val="top"/>
            <w:shd w:fill="B79F85"/>
          </w:tcPr>
          <w:p>
            <w:r>
              <w:rPr>
                <w:b/>
                <w:color w:val="171717"/>
                <w:sz w:val="15"/>
              </w:rPr>
              <w:t>Failure posture</w:t>
            </w:r>
          </w:p>
        </w:tc>
      </w:tr>
      <w:tr>
        <w:trPr>
          <w:cantSplit/>
        </w:trPr>
        <w:tc>
          <w:tcPr>
            <w:tcW w:type="dxa" w:w="2340"/>
            <w:shd w:fill="FAF8F6"/>
          </w:tcPr>
          <w:p>
            <w:pPr>
              <w:spacing w:after="40"/>
            </w:pPr>
            <w:r>
              <w:rPr>
                <w:color w:val="171717"/>
                <w:sz w:val="15"/>
              </w:rPr>
              <w:t>Staff identity</w:t>
            </w:r>
          </w:p>
        </w:tc>
        <w:tc>
          <w:tcPr>
            <w:tcW w:type="dxa" w:w="2340"/>
            <w:shd w:fill="FAF8F6"/>
          </w:tcPr>
          <w:p>
            <w:pPr>
              <w:spacing w:after="40"/>
            </w:pPr>
            <w:r>
              <w:rPr>
                <w:color w:val="171717"/>
                <w:sz w:val="15"/>
              </w:rPr>
              <w:t>Academy → OS</w:t>
            </w:r>
          </w:p>
        </w:tc>
        <w:tc>
          <w:tcPr>
            <w:tcW w:type="dxa" w:w="2340"/>
            <w:shd w:fill="FAF8F6"/>
          </w:tcPr>
          <w:p>
            <w:pPr>
              <w:spacing w:after="40"/>
            </w:pPr>
            <w:r>
              <w:rPr>
                <w:color w:val="171717"/>
                <w:sz w:val="15"/>
              </w:rPr>
              <w:t>Event assignment eligibility</w:t>
            </w:r>
          </w:p>
        </w:tc>
        <w:tc>
          <w:tcPr>
            <w:tcW w:type="dxa" w:w="2340"/>
            <w:shd w:fill="FAF8F6"/>
          </w:tcPr>
          <w:p>
            <w:pPr>
              <w:spacing w:after="40"/>
            </w:pPr>
            <w:r>
              <w:rPr>
                <w:color w:val="171717"/>
                <w:sz w:val="15"/>
              </w:rPr>
              <w:t>Fail closed</w:t>
            </w:r>
          </w:p>
        </w:tc>
      </w:tr>
      <w:tr>
        <w:trPr>
          <w:cantSplit/>
        </w:trPr>
        <w:tc>
          <w:tcPr>
            <w:tcW w:type="dxa" w:w="2340"/>
          </w:tcPr>
          <w:p>
            <w:pPr>
              <w:spacing w:after="40"/>
            </w:pPr>
            <w:r>
              <w:rPr>
                <w:color w:val="171717"/>
                <w:sz w:val="15"/>
              </w:rPr>
              <w:t>Role assignment</w:t>
            </w:r>
          </w:p>
        </w:tc>
        <w:tc>
          <w:tcPr>
            <w:tcW w:type="dxa" w:w="2340"/>
          </w:tcPr>
          <w:p>
            <w:pPr>
              <w:spacing w:after="40"/>
            </w:pPr>
            <w:r>
              <w:rPr>
                <w:color w:val="171717"/>
                <w:sz w:val="15"/>
              </w:rPr>
              <w:t>OS/HR authority → Academy</w:t>
            </w:r>
          </w:p>
        </w:tc>
        <w:tc>
          <w:tcPr>
            <w:tcW w:type="dxa" w:w="2340"/>
          </w:tcPr>
          <w:p>
            <w:pPr>
              <w:spacing w:after="40"/>
            </w:pPr>
            <w:r>
              <w:rPr>
                <w:color w:val="171717"/>
                <w:sz w:val="15"/>
              </w:rPr>
              <w:t>Learning-path enrolment/re-enrolment</w:t>
            </w:r>
          </w:p>
        </w:tc>
        <w:tc>
          <w:tcPr>
            <w:tcW w:type="dxa" w:w="2340"/>
          </w:tcPr>
          <w:p>
            <w:pPr>
              <w:spacing w:after="40"/>
            </w:pPr>
            <w:r>
              <w:rPr>
                <w:color w:val="171717"/>
                <w:sz w:val="15"/>
              </w:rPr>
              <w:t>Reconcile conflict; CEO/People approval</w:t>
            </w:r>
          </w:p>
        </w:tc>
      </w:tr>
      <w:tr>
        <w:trPr>
          <w:cantSplit/>
        </w:trPr>
        <w:tc>
          <w:tcPr>
            <w:tcW w:type="dxa" w:w="2340"/>
            <w:shd w:fill="FAF8F6"/>
          </w:tcPr>
          <w:p>
            <w:pPr>
              <w:spacing w:after="40"/>
            </w:pPr>
            <w:r>
              <w:rPr>
                <w:color w:val="171717"/>
                <w:sz w:val="15"/>
              </w:rPr>
              <w:t>Competency requirement</w:t>
            </w:r>
          </w:p>
        </w:tc>
        <w:tc>
          <w:tcPr>
            <w:tcW w:type="dxa" w:w="2340"/>
            <w:shd w:fill="FAF8F6"/>
          </w:tcPr>
          <w:p>
            <w:pPr>
              <w:spacing w:after="40"/>
            </w:pPr>
            <w:r>
              <w:rPr>
                <w:color w:val="171717"/>
                <w:sz w:val="15"/>
              </w:rPr>
              <w:t>Academy governance → OS</w:t>
            </w:r>
          </w:p>
        </w:tc>
        <w:tc>
          <w:tcPr>
            <w:tcW w:type="dxa" w:w="2340"/>
            <w:shd w:fill="FAF8F6"/>
          </w:tcPr>
          <w:p>
            <w:pPr>
              <w:spacing w:after="40"/>
            </w:pPr>
            <w:r>
              <w:rPr>
                <w:color w:val="171717"/>
                <w:sz w:val="15"/>
              </w:rPr>
              <w:t>Role and event gate</w:t>
            </w:r>
          </w:p>
        </w:tc>
        <w:tc>
          <w:tcPr>
            <w:tcW w:type="dxa" w:w="2340"/>
            <w:shd w:fill="FAF8F6"/>
          </w:tcPr>
          <w:p>
            <w:pPr>
              <w:spacing w:after="40"/>
            </w:pPr>
            <w:r>
              <w:rPr>
                <w:color w:val="171717"/>
                <w:sz w:val="15"/>
              </w:rPr>
              <w:t>Old version remains auditable</w:t>
            </w:r>
          </w:p>
        </w:tc>
      </w:tr>
      <w:tr>
        <w:trPr>
          <w:cantSplit/>
        </w:trPr>
        <w:tc>
          <w:tcPr>
            <w:tcW w:type="dxa" w:w="2340"/>
          </w:tcPr>
          <w:p>
            <w:pPr>
              <w:spacing w:after="40"/>
            </w:pPr>
            <w:r>
              <w:rPr>
                <w:color w:val="171717"/>
                <w:sz w:val="15"/>
              </w:rPr>
              <w:t>Certificate status</w:t>
            </w:r>
          </w:p>
        </w:tc>
        <w:tc>
          <w:tcPr>
            <w:tcW w:type="dxa" w:w="2340"/>
          </w:tcPr>
          <w:p>
            <w:pPr>
              <w:spacing w:after="40"/>
            </w:pPr>
            <w:r>
              <w:rPr>
                <w:color w:val="171717"/>
                <w:sz w:val="15"/>
              </w:rPr>
              <w:t>Academy → OS</w:t>
            </w:r>
          </w:p>
        </w:tc>
        <w:tc>
          <w:tcPr>
            <w:tcW w:type="dxa" w:w="2340"/>
          </w:tcPr>
          <w:p>
            <w:pPr>
              <w:spacing w:after="40"/>
            </w:pPr>
            <w:r>
              <w:rPr>
                <w:color w:val="171717"/>
                <w:sz w:val="15"/>
              </w:rPr>
              <w:t>Deployment authorisation</w:t>
            </w:r>
          </w:p>
        </w:tc>
        <w:tc>
          <w:tcPr>
            <w:tcW w:type="dxa" w:w="2340"/>
          </w:tcPr>
          <w:p>
            <w:pPr>
              <w:spacing w:after="40"/>
            </w:pPr>
            <w:r>
              <w:rPr>
                <w:color w:val="171717"/>
                <w:sz w:val="15"/>
              </w:rPr>
              <w:t>Fail closed if absent/expired</w:t>
            </w:r>
          </w:p>
        </w:tc>
      </w:tr>
      <w:tr>
        <w:trPr>
          <w:cantSplit/>
        </w:trPr>
        <w:tc>
          <w:tcPr>
            <w:tcW w:type="dxa" w:w="2340"/>
            <w:shd w:fill="FAF8F6"/>
          </w:tcPr>
          <w:p>
            <w:pPr>
              <w:spacing w:after="40"/>
            </w:pPr>
            <w:r>
              <w:rPr>
                <w:color w:val="171717"/>
                <w:sz w:val="15"/>
              </w:rPr>
              <w:t>Practical authorisation</w:t>
            </w:r>
          </w:p>
        </w:tc>
        <w:tc>
          <w:tcPr>
            <w:tcW w:type="dxa" w:w="2340"/>
            <w:shd w:fill="FAF8F6"/>
          </w:tcPr>
          <w:p>
            <w:pPr>
              <w:spacing w:after="40"/>
            </w:pPr>
            <w:r>
              <w:rPr>
                <w:color w:val="171717"/>
                <w:sz w:val="15"/>
              </w:rPr>
              <w:t>Academy assessor → OS</w:t>
            </w:r>
          </w:p>
        </w:tc>
        <w:tc>
          <w:tcPr>
            <w:tcW w:type="dxa" w:w="2340"/>
            <w:shd w:fill="FAF8F6"/>
          </w:tcPr>
          <w:p>
            <w:pPr>
              <w:spacing w:after="40"/>
            </w:pPr>
            <w:r>
              <w:rPr>
                <w:color w:val="171717"/>
                <w:sz w:val="15"/>
              </w:rPr>
              <w:t>Controlled-role assignment</w:t>
            </w:r>
          </w:p>
        </w:tc>
        <w:tc>
          <w:tcPr>
            <w:tcW w:type="dxa" w:w="2340"/>
            <w:shd w:fill="FAF8F6"/>
          </w:tcPr>
          <w:p>
            <w:pPr>
              <w:spacing w:after="40"/>
            </w:pPr>
            <w:r>
              <w:rPr>
                <w:color w:val="171717"/>
                <w:sz w:val="15"/>
              </w:rPr>
              <w:t>Manual exception requires evidence</w:t>
            </w:r>
          </w:p>
        </w:tc>
      </w:tr>
      <w:tr>
        <w:trPr>
          <w:cantSplit/>
        </w:trPr>
        <w:tc>
          <w:tcPr>
            <w:tcW w:type="dxa" w:w="2340"/>
          </w:tcPr>
          <w:p>
            <w:pPr>
              <w:spacing w:after="40"/>
            </w:pPr>
            <w:r>
              <w:rPr>
                <w:color w:val="171717"/>
                <w:sz w:val="15"/>
              </w:rPr>
              <w:t>Event context pack</w:t>
            </w:r>
          </w:p>
        </w:tc>
        <w:tc>
          <w:tcPr>
            <w:tcW w:type="dxa" w:w="2340"/>
          </w:tcPr>
          <w:p>
            <w:pPr>
              <w:spacing w:after="40"/>
            </w:pPr>
            <w:r>
              <w:rPr>
                <w:color w:val="171717"/>
                <w:sz w:val="15"/>
              </w:rPr>
              <w:t>OS → Academy</w:t>
            </w:r>
          </w:p>
        </w:tc>
        <w:tc>
          <w:tcPr>
            <w:tcW w:type="dxa" w:w="2340"/>
          </w:tcPr>
          <w:p>
            <w:pPr>
              <w:spacing w:after="40"/>
            </w:pPr>
            <w:r>
              <w:rPr>
                <w:color w:val="171717"/>
                <w:sz w:val="15"/>
              </w:rPr>
              <w:t>Event-specific course/briefing</w:t>
            </w:r>
          </w:p>
        </w:tc>
        <w:tc>
          <w:tcPr>
            <w:tcW w:type="dxa" w:w="2340"/>
          </w:tcPr>
          <w:p>
            <w:pPr>
              <w:spacing w:after="40"/>
            </w:pPr>
            <w:r>
              <w:rPr>
                <w:color w:val="171717"/>
                <w:sz w:val="15"/>
              </w:rPr>
              <w:t>Minimise sensitive data</w:t>
            </w:r>
          </w:p>
        </w:tc>
      </w:tr>
      <w:tr>
        <w:trPr>
          <w:cantSplit/>
        </w:trPr>
        <w:tc>
          <w:tcPr>
            <w:tcW w:type="dxa" w:w="2340"/>
            <w:shd w:fill="FAF8F6"/>
          </w:tcPr>
          <w:p>
            <w:pPr>
              <w:spacing w:after="40"/>
            </w:pPr>
            <w:r>
              <w:rPr>
                <w:color w:val="171717"/>
                <w:sz w:val="15"/>
              </w:rPr>
              <w:t>Briefing completion</w:t>
            </w:r>
          </w:p>
        </w:tc>
        <w:tc>
          <w:tcPr>
            <w:tcW w:type="dxa" w:w="2340"/>
            <w:shd w:fill="FAF8F6"/>
          </w:tcPr>
          <w:p>
            <w:pPr>
              <w:spacing w:after="40"/>
            </w:pPr>
            <w:r>
              <w:rPr>
                <w:color w:val="171717"/>
                <w:sz w:val="15"/>
              </w:rPr>
              <w:t>Academy → OS</w:t>
            </w:r>
          </w:p>
        </w:tc>
        <w:tc>
          <w:tcPr>
            <w:tcW w:type="dxa" w:w="2340"/>
            <w:shd w:fill="FAF8F6"/>
          </w:tcPr>
          <w:p>
            <w:pPr>
              <w:spacing w:after="40"/>
            </w:pPr>
            <w:r>
              <w:rPr>
                <w:color w:val="171717"/>
                <w:sz w:val="15"/>
              </w:rPr>
              <w:t>Shift check-in</w:t>
            </w:r>
          </w:p>
        </w:tc>
        <w:tc>
          <w:tcPr>
            <w:tcW w:type="dxa" w:w="2340"/>
            <w:shd w:fill="FAF8F6"/>
          </w:tcPr>
          <w:p>
            <w:pPr>
              <w:spacing w:after="40"/>
            </w:pPr>
            <w:r>
              <w:rPr>
                <w:color w:val="171717"/>
                <w:sz w:val="15"/>
              </w:rPr>
              <w:t>Wrong version is incomplete</w:t>
            </w:r>
          </w:p>
        </w:tc>
      </w:tr>
      <w:tr>
        <w:trPr>
          <w:cantSplit/>
        </w:trPr>
        <w:tc>
          <w:tcPr>
            <w:tcW w:type="dxa" w:w="2340"/>
          </w:tcPr>
          <w:p>
            <w:pPr>
              <w:spacing w:after="40"/>
            </w:pPr>
            <w:r>
              <w:rPr>
                <w:color w:val="171717"/>
                <w:sz w:val="15"/>
              </w:rPr>
              <w:t>Performance evidence</w:t>
            </w:r>
          </w:p>
        </w:tc>
        <w:tc>
          <w:tcPr>
            <w:tcW w:type="dxa" w:w="2340"/>
          </w:tcPr>
          <w:p>
            <w:pPr>
              <w:spacing w:after="40"/>
            </w:pPr>
            <w:r>
              <w:rPr>
                <w:color w:val="171717"/>
                <w:sz w:val="15"/>
              </w:rPr>
              <w:t>OS → Academy</w:t>
            </w:r>
          </w:p>
        </w:tc>
        <w:tc>
          <w:tcPr>
            <w:tcW w:type="dxa" w:w="2340"/>
          </w:tcPr>
          <w:p>
            <w:pPr>
              <w:spacing w:after="40"/>
            </w:pPr>
            <w:r>
              <w:rPr>
                <w:color w:val="171717"/>
                <w:sz w:val="15"/>
              </w:rPr>
              <w:t>Remediation/refresher</w:t>
            </w:r>
          </w:p>
        </w:tc>
        <w:tc>
          <w:tcPr>
            <w:tcW w:type="dxa" w:w="2340"/>
          </w:tcPr>
          <w:p>
            <w:pPr>
              <w:spacing w:after="40"/>
            </w:pPr>
            <w:r>
              <w:rPr>
                <w:color w:val="171717"/>
                <w:sz w:val="15"/>
              </w:rPr>
              <w:t>Human review before adverse action</w:t>
            </w:r>
          </w:p>
        </w:tc>
      </w:tr>
      <w:tr>
        <w:trPr>
          <w:cantSplit/>
        </w:trPr>
        <w:tc>
          <w:tcPr>
            <w:tcW w:type="dxa" w:w="2340"/>
            <w:shd w:fill="FAF8F6"/>
          </w:tcPr>
          <w:p>
            <w:pPr>
              <w:spacing w:after="40"/>
            </w:pPr>
            <w:r>
              <w:rPr>
                <w:color w:val="171717"/>
                <w:sz w:val="15"/>
              </w:rPr>
              <w:t>Doctrine version</w:t>
            </w:r>
          </w:p>
        </w:tc>
        <w:tc>
          <w:tcPr>
            <w:tcW w:type="dxa" w:w="2340"/>
            <w:shd w:fill="FAF8F6"/>
          </w:tcPr>
          <w:p>
            <w:pPr>
              <w:spacing w:after="40"/>
            </w:pPr>
            <w:r>
              <w:rPr>
                <w:color w:val="171717"/>
                <w:sz w:val="15"/>
              </w:rPr>
              <w:t>Knowledge governance → Both</w:t>
            </w:r>
          </w:p>
        </w:tc>
        <w:tc>
          <w:tcPr>
            <w:tcW w:type="dxa" w:w="2340"/>
            <w:shd w:fill="FAF8F6"/>
          </w:tcPr>
          <w:p>
            <w:pPr>
              <w:spacing w:after="40"/>
            </w:pPr>
            <w:r>
              <w:rPr>
                <w:color w:val="171717"/>
                <w:sz w:val="15"/>
              </w:rPr>
              <w:t>Change propagation</w:t>
            </w:r>
          </w:p>
        </w:tc>
        <w:tc>
          <w:tcPr>
            <w:tcW w:type="dxa" w:w="2340"/>
            <w:shd w:fill="FAF8F6"/>
          </w:tcPr>
          <w:p>
            <w:pPr>
              <w:spacing w:after="40"/>
            </w:pPr>
            <w:r>
              <w:rPr>
                <w:color w:val="171717"/>
                <w:sz w:val="15"/>
              </w:rPr>
              <w:t>Publication is atomic</w:t>
            </w:r>
          </w:p>
        </w:tc>
      </w:tr>
      <w:tr>
        <w:trPr>
          <w:cantSplit/>
        </w:trPr>
        <w:tc>
          <w:tcPr>
            <w:tcW w:type="dxa" w:w="2340"/>
          </w:tcPr>
          <w:p>
            <w:pPr>
              <w:spacing w:after="40"/>
            </w:pPr>
            <w:r>
              <w:rPr>
                <w:color w:val="171717"/>
                <w:sz w:val="15"/>
              </w:rPr>
              <w:t>Suspension/restriction</w:t>
            </w:r>
          </w:p>
        </w:tc>
        <w:tc>
          <w:tcPr>
            <w:tcW w:type="dxa" w:w="2340"/>
          </w:tcPr>
          <w:p>
            <w:pPr>
              <w:spacing w:after="40"/>
            </w:pPr>
            <w:r>
              <w:rPr>
                <w:color w:val="171717"/>
                <w:sz w:val="15"/>
              </w:rPr>
              <w:t>Academy/People authority → OS</w:t>
            </w:r>
          </w:p>
        </w:tc>
        <w:tc>
          <w:tcPr>
            <w:tcW w:type="dxa" w:w="2340"/>
          </w:tcPr>
          <w:p>
            <w:pPr>
              <w:spacing w:after="40"/>
            </w:pPr>
            <w:r>
              <w:rPr>
                <w:color w:val="171717"/>
                <w:sz w:val="15"/>
              </w:rPr>
              <w:t>Block deployment</w:t>
            </w:r>
          </w:p>
        </w:tc>
        <w:tc>
          <w:tcPr>
            <w:tcW w:type="dxa" w:w="2340"/>
          </w:tcPr>
          <w:p>
            <w:pPr>
              <w:spacing w:after="40"/>
            </w:pPr>
            <w:r>
              <w:rPr>
                <w:color w:val="171717"/>
                <w:sz w:val="15"/>
              </w:rPr>
              <w:t>Restricted visibility and appeal record</w:t>
            </w:r>
          </w:p>
        </w:tc>
      </w:tr>
    </w:tbl>
    <w:p>
      <w:pPr>
        <w:spacing w:after="20"/>
      </w:pPr>
    </w:p>
    <w:p>
      <w:pPr>
        <w:pStyle w:val="Heading2"/>
        <w:keepNext/>
      </w:pPr>
      <w:r>
        <w:t>Required integration controls</w:t>
      </w:r>
    </w:p>
    <w:p>
      <w:pPr>
        <w:pStyle w:val="ListBullet"/>
      </w:pPr>
      <w:r>
        <w:t>Stable IDs for staff, role, competency, event, doctrine, course version, certificate and authorisation.</w:t>
      </w:r>
    </w:p>
    <w:p>
      <w:pPr>
        <w:pStyle w:val="ListBullet"/>
      </w:pPr>
      <w:r>
        <w:t>Signed service-to-service requests, least-privilege scopes, idempotency, replay protection and correlation IDs.</w:t>
      </w:r>
    </w:p>
    <w:p>
      <w:pPr>
        <w:pStyle w:val="ListBullet"/>
      </w:pPr>
      <w:r>
        <w:t>At-least-once event delivery with idempotent consumers; reconciliation jobs detect missing or divergent state.</w:t>
      </w:r>
    </w:p>
    <w:p>
      <w:pPr>
        <w:pStyle w:val="ListBullet"/>
      </w:pPr>
      <w:r>
        <w:t>Data contracts are versioned and backward-compatible or migrated through an approved cutover.</w:t>
      </w:r>
    </w:p>
    <w:p>
      <w:pPr>
        <w:pStyle w:val="ListBullet"/>
      </w:pPr>
      <w:r>
        <w:t>Failures are visible and fail closed for controlled-role deployment, certification and event-specific briefing.</w:t>
      </w:r>
    </w:p>
    <w:p>
      <w:pPr>
        <w:pStyle w:val="Heading1"/>
        <w:keepNext/>
      </w:pPr>
      <w:r>
        <w:t>Step 7 — Resolve policy and authority gaps</w:t>
      </w:r>
    </w:p>
    <w:p>
      <w:r>
        <w:t>Ratification of the handbook does not convert illustrative or jurisdiction-sensitive knowledge into authoritative external fact. The following registers require named qualified reviewers and expiry controls.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232"/>
            <w:tcMar>
              <w:top w:w="80" w:type="dxa"/>
              <w:start w:w="120" w:type="dxa"/>
              <w:bottom w:w="80" w:type="dxa"/>
              <w:end w:w="120" w:type="dxa"/>
            </w:tcMar>
            <w:vAlign w:val="top"/>
            <w:shd w:fill="B79F85"/>
          </w:tcPr>
          <w:p>
            <w:r>
              <w:rPr>
                <w:b/>
                <w:color w:val="171717"/>
                <w:sz w:val="15"/>
              </w:rPr>
              <w:t>Authority register</w:t>
            </w:r>
          </w:p>
        </w:tc>
        <w:tc>
          <w:tcPr>
            <w:tcW w:type="dxa" w:w="3096"/>
            <w:tcMar>
              <w:top w:w="80" w:type="dxa"/>
              <w:start w:w="120" w:type="dxa"/>
              <w:bottom w:w="80" w:type="dxa"/>
              <w:end w:w="120" w:type="dxa"/>
            </w:tcMar>
            <w:vAlign w:val="top"/>
            <w:shd w:fill="B79F85"/>
          </w:tcPr>
          <w:p>
            <w:r>
              <w:rPr>
                <w:b/>
                <w:color w:val="171717"/>
                <w:sz w:val="15"/>
              </w:rPr>
              <w:t>Decision required</w:t>
            </w:r>
          </w:p>
        </w:tc>
        <w:tc>
          <w:tcPr>
            <w:tcW w:type="dxa" w:w="2880"/>
            <w:tcMar>
              <w:top w:w="80" w:type="dxa"/>
              <w:start w:w="120" w:type="dxa"/>
              <w:bottom w:w="80" w:type="dxa"/>
              <w:end w:w="120" w:type="dxa"/>
            </w:tcMar>
            <w:vAlign w:val="top"/>
            <w:shd w:fill="B79F85"/>
          </w:tcPr>
          <w:p>
            <w:r>
              <w:rPr>
                <w:b/>
                <w:color w:val="171717"/>
                <w:sz w:val="15"/>
              </w:rPr>
              <w:t>Minimum evidence</w:t>
            </w:r>
          </w:p>
        </w:tc>
        <w:tc>
          <w:tcPr>
            <w:tcW w:type="dxa" w:w="1152"/>
            <w:tcMar>
              <w:top w:w="80" w:type="dxa"/>
              <w:start w:w="120" w:type="dxa"/>
              <w:bottom w:w="80" w:type="dxa"/>
              <w:end w:w="120" w:type="dxa"/>
            </w:tcMar>
            <w:vAlign w:val="top"/>
            <w:shd w:fill="B79F85"/>
          </w:tcPr>
          <w:p>
            <w:r>
              <w:rPr>
                <w:b/>
                <w:color w:val="171717"/>
                <w:sz w:val="15"/>
              </w:rPr>
              <w:t>Production rule</w:t>
            </w:r>
          </w:p>
        </w:tc>
      </w:tr>
      <w:tr>
        <w:trPr>
          <w:cantSplit/>
        </w:trPr>
        <w:tc>
          <w:tcPr>
            <w:tcW w:type="dxa" w:w="2340"/>
            <w:shd w:fill="FAF8F6"/>
          </w:tcPr>
          <w:p>
            <w:pPr>
              <w:spacing w:after="40"/>
            </w:pPr>
            <w:r>
              <w:rPr>
                <w:color w:val="171717"/>
                <w:sz w:val="15"/>
              </w:rPr>
              <w:t>Nigerian protocol</w:t>
            </w:r>
          </w:p>
        </w:tc>
        <w:tc>
          <w:tcPr>
            <w:tcW w:type="dxa" w:w="2340"/>
            <w:shd w:fill="FAF8F6"/>
          </w:tcPr>
          <w:p>
            <w:pPr>
              <w:spacing w:after="40"/>
            </w:pPr>
            <w:r>
              <w:rPr>
                <w:color w:val="171717"/>
                <w:sz w:val="15"/>
              </w:rPr>
              <w:t>Titles, precedence, symbols, official interfaces and consultation routes</w:t>
            </w:r>
          </w:p>
        </w:tc>
        <w:tc>
          <w:tcPr>
            <w:tcW w:type="dxa" w:w="2340"/>
            <w:shd w:fill="FAF8F6"/>
          </w:tcPr>
          <w:p>
            <w:pPr>
              <w:spacing w:after="40"/>
            </w:pPr>
            <w:r>
              <w:rPr>
                <w:color w:val="171717"/>
                <w:sz w:val="15"/>
              </w:rPr>
              <w:t>Named protocol authority; sources; scope; review/expiry</w:t>
            </w:r>
          </w:p>
        </w:tc>
        <w:tc>
          <w:tcPr>
            <w:tcW w:type="dxa" w:w="2340"/>
            <w:shd w:fill="FAF8F6"/>
          </w:tcPr>
          <w:p>
            <w:pPr>
              <w:spacing w:after="40"/>
            </w:pPr>
            <w:r>
              <w:rPr>
                <w:color w:val="171717"/>
                <w:sz w:val="15"/>
              </w:rPr>
              <w:t>Verify per event; no unsourced automatic precedence</w:t>
            </w:r>
          </w:p>
        </w:tc>
      </w:tr>
      <w:tr>
        <w:trPr>
          <w:cantSplit/>
        </w:trPr>
        <w:tc>
          <w:tcPr>
            <w:tcW w:type="dxa" w:w="2340"/>
          </w:tcPr>
          <w:p>
            <w:pPr>
              <w:spacing w:after="40"/>
            </w:pPr>
            <w:r>
              <w:rPr>
                <w:color w:val="171717"/>
                <w:sz w:val="15"/>
              </w:rPr>
              <w:t>Cultural and religious context</w:t>
            </w:r>
          </w:p>
        </w:tc>
        <w:tc>
          <w:tcPr>
            <w:tcW w:type="dxa" w:w="2340"/>
          </w:tcPr>
          <w:p>
            <w:pPr>
              <w:spacing w:after="40"/>
            </w:pPr>
            <w:r>
              <w:rPr>
                <w:color w:val="171717"/>
                <w:sz w:val="15"/>
              </w:rPr>
              <w:t>Scoped Yoruba, Igbo, Northern, Islamic, Christian and interfaith practices</w:t>
            </w:r>
          </w:p>
        </w:tc>
        <w:tc>
          <w:tcPr>
            <w:tcW w:type="dxa" w:w="2340"/>
          </w:tcPr>
          <w:p>
            <w:pPr>
              <w:spacing w:after="40"/>
            </w:pPr>
            <w:r>
              <w:rPr>
                <w:color w:val="171717"/>
                <w:sz w:val="15"/>
              </w:rPr>
              <w:t>Community/religious authority; context; exceptions; expiry</w:t>
            </w:r>
          </w:p>
        </w:tc>
        <w:tc>
          <w:tcPr>
            <w:tcW w:type="dxa" w:w="2340"/>
          </w:tcPr>
          <w:p>
            <w:pPr>
              <w:spacing w:after="40"/>
            </w:pPr>
            <w:r>
              <w:rPr>
                <w:color w:val="171717"/>
                <w:sz w:val="15"/>
              </w:rPr>
              <w:t>Meaning over decoration; event confirmation</w:t>
            </w:r>
          </w:p>
        </w:tc>
      </w:tr>
      <w:tr>
        <w:trPr>
          <w:cantSplit/>
        </w:trPr>
        <w:tc>
          <w:tcPr>
            <w:tcW w:type="dxa" w:w="2340"/>
            <w:shd w:fill="FAF8F6"/>
          </w:tcPr>
          <w:p>
            <w:pPr>
              <w:spacing w:after="40"/>
            </w:pPr>
            <w:r>
              <w:rPr>
                <w:color w:val="171717"/>
                <w:sz w:val="15"/>
              </w:rPr>
              <w:t>Privacy and data protection</w:t>
            </w:r>
          </w:p>
        </w:tc>
        <w:tc>
          <w:tcPr>
            <w:tcW w:type="dxa" w:w="2340"/>
            <w:shd w:fill="FAF8F6"/>
          </w:tcPr>
          <w:p>
            <w:pPr>
              <w:spacing w:after="40"/>
            </w:pPr>
            <w:r>
              <w:rPr>
                <w:color w:val="171717"/>
                <w:sz w:val="15"/>
              </w:rPr>
              <w:t>Purpose, lawful basis, consent, access, transfer, retention, deletion and incident response</w:t>
            </w:r>
          </w:p>
        </w:tc>
        <w:tc>
          <w:tcPr>
            <w:tcW w:type="dxa" w:w="2340"/>
            <w:shd w:fill="FAF8F6"/>
          </w:tcPr>
          <w:p>
            <w:pPr>
              <w:spacing w:after="40"/>
            </w:pPr>
            <w:r>
              <w:rPr>
                <w:color w:val="171717"/>
                <w:sz w:val="15"/>
              </w:rPr>
              <w:t>Legal advice, records of processing and DPIA where required</w:t>
            </w:r>
          </w:p>
        </w:tc>
        <w:tc>
          <w:tcPr>
            <w:tcW w:type="dxa" w:w="2340"/>
            <w:shd w:fill="FAF8F6"/>
          </w:tcPr>
          <w:p>
            <w:pPr>
              <w:spacing w:after="40"/>
            </w:pPr>
            <w:r>
              <w:rPr>
                <w:color w:val="171717"/>
                <w:sz w:val="15"/>
              </w:rPr>
              <w:t>Data minimisation and least privilege</w:t>
            </w:r>
          </w:p>
        </w:tc>
      </w:tr>
      <w:tr>
        <w:trPr>
          <w:cantSplit/>
        </w:trPr>
        <w:tc>
          <w:tcPr>
            <w:tcW w:type="dxa" w:w="2340"/>
          </w:tcPr>
          <w:p>
            <w:pPr>
              <w:spacing w:after="40"/>
            </w:pPr>
            <w:r>
              <w:rPr>
                <w:color w:val="171717"/>
                <w:sz w:val="15"/>
              </w:rPr>
              <w:t>Biometrics/facial recognition</w:t>
            </w:r>
          </w:p>
        </w:tc>
        <w:tc>
          <w:tcPr>
            <w:tcW w:type="dxa" w:w="2340"/>
          </w:tcPr>
          <w:p>
            <w:pPr>
              <w:spacing w:after="40"/>
            </w:pPr>
            <w:r>
              <w:rPr>
                <w:color w:val="171717"/>
                <w:sz w:val="15"/>
              </w:rPr>
              <w:t>Necessity, proportionality, lawful basis, alternatives and deletion</w:t>
            </w:r>
          </w:p>
        </w:tc>
        <w:tc>
          <w:tcPr>
            <w:tcW w:type="dxa" w:w="2340"/>
          </w:tcPr>
          <w:p>
            <w:pPr>
              <w:spacing w:after="40"/>
            </w:pPr>
            <w:r>
              <w:rPr>
                <w:color w:val="171717"/>
                <w:sz w:val="15"/>
              </w:rPr>
              <w:t>Specific DPIA/legal decision and technical/security evidence</w:t>
            </w:r>
          </w:p>
        </w:tc>
        <w:tc>
          <w:tcPr>
            <w:tcW w:type="dxa" w:w="2340"/>
          </w:tcPr>
          <w:p>
            <w:pPr>
              <w:spacing w:after="40"/>
            </w:pPr>
            <w:r>
              <w:rPr>
                <w:color w:val="171717"/>
                <w:sz w:val="15"/>
              </w:rPr>
              <w:t>Disabled until expressly approved; non-biometric route mandatory</w:t>
            </w:r>
          </w:p>
        </w:tc>
      </w:tr>
      <w:tr>
        <w:trPr>
          <w:cantSplit/>
        </w:trPr>
        <w:tc>
          <w:tcPr>
            <w:tcW w:type="dxa" w:w="2340"/>
            <w:shd w:fill="FAF8F6"/>
          </w:tcPr>
          <w:p>
            <w:pPr>
              <w:spacing w:after="40"/>
            </w:pPr>
            <w:r>
              <w:rPr>
                <w:color w:val="171717"/>
                <w:sz w:val="15"/>
              </w:rPr>
              <w:t>People and staffing</w:t>
            </w:r>
          </w:p>
        </w:tc>
        <w:tc>
          <w:tcPr>
            <w:tcW w:type="dxa" w:w="2340"/>
            <w:shd w:fill="FAF8F6"/>
          </w:tcPr>
          <w:p>
            <w:pPr>
              <w:spacing w:after="40"/>
            </w:pPr>
            <w:r>
              <w:rPr>
                <w:color w:val="171717"/>
                <w:sz w:val="15"/>
              </w:rPr>
              <w:t>Vetting, safeguarding, temporary staff, discipline, suspension and appeal</w:t>
            </w:r>
          </w:p>
        </w:tc>
        <w:tc>
          <w:tcPr>
            <w:tcW w:type="dxa" w:w="2340"/>
            <w:shd w:fill="FAF8F6"/>
          </w:tcPr>
          <w:p>
            <w:pPr>
              <w:spacing w:after="40"/>
            </w:pPr>
            <w:r>
              <w:rPr>
                <w:color w:val="171717"/>
                <w:sz w:val="15"/>
              </w:rPr>
              <w:t>CEO/People/Legal policy approval</w:t>
            </w:r>
          </w:p>
        </w:tc>
        <w:tc>
          <w:tcPr>
            <w:tcW w:type="dxa" w:w="2340"/>
            <w:shd w:fill="FAF8F6"/>
          </w:tcPr>
          <w:p>
            <w:pPr>
              <w:spacing w:after="40"/>
            </w:pPr>
            <w:r>
              <w:rPr>
                <w:color w:val="171717"/>
                <w:sz w:val="15"/>
              </w:rPr>
              <w:t>Deployment gate uses approved policy only</w:t>
            </w:r>
          </w:p>
        </w:tc>
      </w:tr>
      <w:tr>
        <w:trPr>
          <w:cantSplit/>
        </w:trPr>
        <w:tc>
          <w:tcPr>
            <w:tcW w:type="dxa" w:w="2340"/>
          </w:tcPr>
          <w:p>
            <w:pPr>
              <w:spacing w:after="40"/>
            </w:pPr>
            <w:r>
              <w:rPr>
                <w:color w:val="171717"/>
                <w:sz w:val="15"/>
              </w:rPr>
              <w:t>Safety and security</w:t>
            </w:r>
          </w:p>
        </w:tc>
        <w:tc>
          <w:tcPr>
            <w:tcW w:type="dxa" w:w="2340"/>
          </w:tcPr>
          <w:p>
            <w:pPr>
              <w:spacing w:after="40"/>
            </w:pPr>
            <w:r>
              <w:rPr>
                <w:color w:val="171717"/>
                <w:sz w:val="15"/>
              </w:rPr>
              <w:t>Venue-specific thresholds, emergency roles and specialist response</w:t>
            </w:r>
          </w:p>
        </w:tc>
        <w:tc>
          <w:tcPr>
            <w:tcW w:type="dxa" w:w="2340"/>
          </w:tcPr>
          <w:p>
            <w:pPr>
              <w:spacing w:after="40"/>
            </w:pPr>
            <w:r>
              <w:rPr>
                <w:color w:val="171717"/>
                <w:sz w:val="15"/>
              </w:rPr>
              <w:t>Qualified safety/security plan and drills</w:t>
            </w:r>
          </w:p>
        </w:tc>
        <w:tc>
          <w:tcPr>
            <w:tcW w:type="dxa" w:w="2340"/>
          </w:tcPr>
          <w:p>
            <w:pPr>
              <w:spacing w:after="40"/>
            </w:pPr>
            <w:r>
              <w:rPr>
                <w:color w:val="171717"/>
                <w:sz w:val="15"/>
              </w:rPr>
              <w:t>Specialist authority overrides convenience</w:t>
            </w:r>
          </w:p>
        </w:tc>
      </w:tr>
    </w:tbl>
    <w:p>
      <w:pPr>
        <w:spacing w:after="20"/>
      </w:pPr>
    </w:p>
    <w:p>
      <w:pPr>
        <w:pStyle w:val="Heading1"/>
        <w:keepNext/>
      </w:pPr>
      <w:r>
        <w:t>Step 8 — Implement change propagation</w:t>
      </w:r>
    </w:p>
    <w:p>
      <w:r>
        <w:t>A material doctrine change must behave like a controlled release across both systems. Publication is not complete until affected events, people, rules and assessments are identified and acted on.</w:t>
      </w:r>
    </w:p>
    <w:p>
      <w:pPr>
        <w:pStyle w:val="ListNumber"/>
      </w:pPr>
      <w:r>
        <w:t>Draft change against existing doctrine ID; create a new ID only for genuinely new doctrine.</w:t>
      </w:r>
    </w:p>
    <w:p>
      <w:pPr>
        <w:pStyle w:val="ListNumber"/>
      </w:pPr>
      <w:r>
        <w:t>Classify materiality, urgency, jurisdictions, roles, active events and certification consequences.</w:t>
      </w:r>
    </w:p>
    <w:p>
      <w:pPr>
        <w:pStyle w:val="ListNumber"/>
      </w:pPr>
      <w:r>
        <w:t>Identify affected OS rules, configurations, data fields, workflows, intelligence products, frontend explanations and tests.</w:t>
      </w:r>
    </w:p>
    <w:p>
      <w:pPr>
        <w:pStyle w:val="ListNumber"/>
      </w:pPr>
      <w:r>
        <w:t>Identify affected Academy courses, lessons, scenarios, questions, rubrics, practicals and certificates.</w:t>
      </w:r>
    </w:p>
    <w:p>
      <w:pPr>
        <w:pStyle w:val="ListNumber"/>
      </w:pPr>
      <w:r>
        <w:t>Obtain required CEO, legal, specialist, technical, curriculum and assessment approvals.</w:t>
      </w:r>
    </w:p>
    <w:p>
      <w:pPr>
        <w:pStyle w:val="ListNumber"/>
      </w:pPr>
      <w:r>
        <w:t>Publish atomically with effective date and migration/rollback instructions.</w:t>
      </w:r>
    </w:p>
    <w:p>
      <w:pPr>
        <w:pStyle w:val="ListNumber"/>
      </w:pPr>
      <w:r>
        <w:t>Notify event owners; assign refresher learning or reassessment; recalculate deployment eligibility.</w:t>
      </w:r>
    </w:p>
    <w:p>
      <w:pPr>
        <w:pStyle w:val="ListNumber"/>
      </w:pPr>
      <w:r>
        <w:t>Verify propagation and retain before/after evidence in the audit record.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pPr>
              <w:spacing w:after="0"/>
            </w:pPr>
            <w:r>
              <w:rPr>
                <w:b/>
                <w:color w:val="171717"/>
              </w:rPr>
              <w:t xml:space="preserve">EMERGENCY CHANGE  </w:t>
            </w:r>
            <w:r>
              <w:t>An emergency rule may be activated only under defined authority, scope and expiry. It must enter retrospective review and may not become permanent by neglect.</w:t>
            </w:r>
          </w:p>
        </w:tc>
      </w:tr>
    </w:tbl>
    <w:p>
      <w:pPr>
        <w:spacing w:after="20"/>
      </w:pPr>
    </w:p>
    <w:p>
      <w:pPr>
        <w:pStyle w:val="Heading1"/>
        <w:keepNext/>
      </w:pPr>
      <w:r>
        <w:t>Step 9 — Validate through controlled operational scenarios</w:t>
      </w:r>
    </w:p>
    <w:p>
      <w:r>
        <w:t>Validation progresses from safe reasoning tests to evidence from operations. No live event should be used as an uncontrolled experiment. Each stage has entry criteria, observers, success thresholds, evidence and a stop rule.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008"/>
            <w:tcMar>
              <w:top w:w="80" w:type="dxa"/>
              <w:start w:w="120" w:type="dxa"/>
              <w:bottom w:w="80" w:type="dxa"/>
              <w:end w:w="120" w:type="dxa"/>
            </w:tcMar>
            <w:vAlign w:val="top"/>
            <w:shd w:fill="B79F85"/>
          </w:tcPr>
          <w:p>
            <w:r>
              <w:rPr>
                <w:b/>
                <w:color w:val="171717"/>
                <w:sz w:val="15"/>
              </w:rPr>
              <w:t>ID</w:t>
            </w:r>
          </w:p>
        </w:tc>
        <w:tc>
          <w:tcPr>
            <w:tcW w:type="dxa" w:w="2520"/>
            <w:tcMar>
              <w:top w:w="80" w:type="dxa"/>
              <w:start w:w="120" w:type="dxa"/>
              <w:bottom w:w="80" w:type="dxa"/>
              <w:end w:w="120" w:type="dxa"/>
            </w:tcMar>
            <w:vAlign w:val="top"/>
            <w:shd w:fill="B79F85"/>
          </w:tcPr>
          <w:p>
            <w:r>
              <w:rPr>
                <w:b/>
                <w:color w:val="171717"/>
                <w:sz w:val="15"/>
              </w:rPr>
              <w:t>Scenario</w:t>
            </w:r>
          </w:p>
        </w:tc>
        <w:tc>
          <w:tcPr>
            <w:tcW w:type="dxa" w:w="4680"/>
            <w:tcMar>
              <w:top w:w="80" w:type="dxa"/>
              <w:start w:w="120" w:type="dxa"/>
              <w:bottom w:w="80" w:type="dxa"/>
              <w:end w:w="120" w:type="dxa"/>
            </w:tcMar>
            <w:vAlign w:val="top"/>
            <w:shd w:fill="B79F85"/>
          </w:tcPr>
          <w:p>
            <w:r>
              <w:rPr>
                <w:b/>
                <w:color w:val="171717"/>
                <w:sz w:val="15"/>
              </w:rPr>
              <w:t>Expected behaviour</w:t>
            </w:r>
          </w:p>
        </w:tc>
        <w:tc>
          <w:tcPr>
            <w:tcW w:type="dxa" w:w="1152"/>
            <w:tcMar>
              <w:top w:w="80" w:type="dxa"/>
              <w:start w:w="120" w:type="dxa"/>
              <w:bottom w:w="80" w:type="dxa"/>
              <w:end w:w="120" w:type="dxa"/>
            </w:tcMar>
            <w:vAlign w:val="top"/>
            <w:shd w:fill="B79F85"/>
          </w:tcPr>
          <w:p>
            <w:r>
              <w:rPr>
                <w:b/>
                <w:color w:val="171717"/>
                <w:sz w:val="15"/>
              </w:rPr>
              <w:t>Level</w:t>
            </w:r>
          </w:p>
        </w:tc>
      </w:tr>
      <w:tr>
        <w:trPr>
          <w:cantSplit/>
        </w:trPr>
        <w:tc>
          <w:tcPr>
            <w:tcW w:type="dxa" w:w="2340"/>
            <w:shd w:fill="FAF8F6"/>
          </w:tcPr>
          <w:p>
            <w:pPr>
              <w:spacing w:after="40"/>
            </w:pPr>
            <w:r>
              <w:rPr>
                <w:color w:val="171717"/>
                <w:sz w:val="15"/>
              </w:rPr>
              <w:t>VAL-01</w:t>
            </w:r>
          </w:p>
        </w:tc>
        <w:tc>
          <w:tcPr>
            <w:tcW w:type="dxa" w:w="2340"/>
            <w:shd w:fill="FAF8F6"/>
          </w:tcPr>
          <w:p>
            <w:pPr>
              <w:spacing w:after="40"/>
            </w:pPr>
            <w:r>
              <w:rPr>
                <w:color w:val="171717"/>
                <w:sz w:val="15"/>
              </w:rPr>
              <w:t>VIP arrival changes by 30 minutes</w:t>
            </w:r>
          </w:p>
        </w:tc>
        <w:tc>
          <w:tcPr>
            <w:tcW w:type="dxa" w:w="2340"/>
            <w:shd w:fill="FAF8F6"/>
          </w:tcPr>
          <w:p>
            <w:pPr>
              <w:spacing w:after="40"/>
            </w:pPr>
            <w:r>
              <w:rPr>
                <w:color w:val="171717"/>
                <w:sz w:val="15"/>
              </w:rPr>
              <w:t>System re-evaluates owner, route, reception and dependencies without cross-event leakage.</w:t>
            </w:r>
          </w:p>
        </w:tc>
        <w:tc>
          <w:tcPr>
            <w:tcW w:type="dxa" w:w="2340"/>
            <w:shd w:fill="FAF8F6"/>
          </w:tcPr>
          <w:p>
            <w:pPr>
              <w:spacing w:after="40"/>
            </w:pPr>
            <w:r>
              <w:rPr>
                <w:color w:val="171717"/>
                <w:sz w:val="15"/>
              </w:rPr>
              <w:t>Tabletop</w:t>
            </w:r>
          </w:p>
        </w:tc>
      </w:tr>
      <w:tr>
        <w:trPr>
          <w:cantSplit/>
        </w:trPr>
        <w:tc>
          <w:tcPr>
            <w:tcW w:type="dxa" w:w="2340"/>
          </w:tcPr>
          <w:p>
            <w:pPr>
              <w:spacing w:after="40"/>
            </w:pPr>
            <w:r>
              <w:rPr>
                <w:color w:val="171717"/>
                <w:sz w:val="15"/>
              </w:rPr>
              <w:t>VAL-02</w:t>
            </w:r>
          </w:p>
        </w:tc>
        <w:tc>
          <w:tcPr>
            <w:tcW w:type="dxa" w:w="2340"/>
          </w:tcPr>
          <w:p>
            <w:pPr>
              <w:spacing w:after="40"/>
            </w:pPr>
            <w:r>
              <w:rPr>
                <w:color w:val="171717"/>
                <w:sz w:val="15"/>
              </w:rPr>
              <w:t>Conflicting royal and government precedence</w:t>
            </w:r>
          </w:p>
        </w:tc>
        <w:tc>
          <w:tcPr>
            <w:tcW w:type="dxa" w:w="2340"/>
          </w:tcPr>
          <w:p>
            <w:pPr>
              <w:spacing w:after="40"/>
            </w:pPr>
            <w:r>
              <w:rPr>
                <w:color w:val="171717"/>
                <w:sz w:val="15"/>
              </w:rPr>
              <w:t>No automatic precedence claim; authority escalation and recorded decision occur.</w:t>
            </w:r>
          </w:p>
        </w:tc>
        <w:tc>
          <w:tcPr>
            <w:tcW w:type="dxa" w:w="2340"/>
          </w:tcPr>
          <w:p>
            <w:pPr>
              <w:spacing w:after="40"/>
            </w:pPr>
            <w:r>
              <w:rPr>
                <w:color w:val="171717"/>
                <w:sz w:val="15"/>
              </w:rPr>
              <w:t>Specialist simulation</w:t>
            </w:r>
          </w:p>
        </w:tc>
      </w:tr>
      <w:tr>
        <w:trPr>
          <w:cantSplit/>
        </w:trPr>
        <w:tc>
          <w:tcPr>
            <w:tcW w:type="dxa" w:w="2340"/>
            <w:shd w:fill="FAF8F6"/>
          </w:tcPr>
          <w:p>
            <w:pPr>
              <w:spacing w:after="40"/>
            </w:pPr>
            <w:r>
              <w:rPr>
                <w:color w:val="171717"/>
                <w:sz w:val="15"/>
              </w:rPr>
              <w:t>VAL-03</w:t>
            </w:r>
          </w:p>
        </w:tc>
        <w:tc>
          <w:tcPr>
            <w:tcW w:type="dxa" w:w="2340"/>
            <w:shd w:fill="FAF8F6"/>
          </w:tcPr>
          <w:p>
            <w:pPr>
              <w:spacing w:after="40"/>
            </w:pPr>
            <w:r>
              <w:rPr>
                <w:color w:val="171717"/>
                <w:sz w:val="15"/>
              </w:rPr>
              <w:t>Cultural instruction conflicts with host request</w:t>
            </w:r>
          </w:p>
        </w:tc>
        <w:tc>
          <w:tcPr>
            <w:tcW w:type="dxa" w:w="2340"/>
            <w:shd w:fill="FAF8F6"/>
          </w:tcPr>
          <w:p>
            <w:pPr>
              <w:spacing w:after="40"/>
            </w:pPr>
            <w:r>
              <w:rPr>
                <w:color w:val="171717"/>
                <w:sz w:val="15"/>
              </w:rPr>
              <w:t>System presents risk and authority route; approved exception is auditable.</w:t>
            </w:r>
          </w:p>
        </w:tc>
        <w:tc>
          <w:tcPr>
            <w:tcW w:type="dxa" w:w="2340"/>
            <w:shd w:fill="FAF8F6"/>
          </w:tcPr>
          <w:p>
            <w:pPr>
              <w:spacing w:after="40"/>
            </w:pPr>
            <w:r>
              <w:rPr>
                <w:color w:val="171717"/>
                <w:sz w:val="15"/>
              </w:rPr>
              <w:t>Specialist simulation</w:t>
            </w:r>
          </w:p>
        </w:tc>
      </w:tr>
      <w:tr>
        <w:trPr>
          <w:cantSplit/>
        </w:trPr>
        <w:tc>
          <w:tcPr>
            <w:tcW w:type="dxa" w:w="2340"/>
          </w:tcPr>
          <w:p>
            <w:pPr>
              <w:spacing w:after="40"/>
            </w:pPr>
            <w:r>
              <w:rPr>
                <w:color w:val="171717"/>
                <w:sz w:val="15"/>
              </w:rPr>
              <w:t>VAL-04</w:t>
            </w:r>
          </w:p>
        </w:tc>
        <w:tc>
          <w:tcPr>
            <w:tcW w:type="dxa" w:w="2340"/>
          </w:tcPr>
          <w:p>
            <w:pPr>
              <w:spacing w:after="40"/>
            </w:pPr>
            <w:r>
              <w:rPr>
                <w:color w:val="171717"/>
                <w:sz w:val="15"/>
              </w:rPr>
              <w:t>Supplier misses critical delivery gate</w:t>
            </w:r>
          </w:p>
        </w:tc>
        <w:tc>
          <w:tcPr>
            <w:tcW w:type="dxa" w:w="2340"/>
          </w:tcPr>
          <w:p>
            <w:pPr>
              <w:spacing w:after="40"/>
            </w:pPr>
            <w:r>
              <w:rPr>
                <w:color w:val="171717"/>
                <w:sz w:val="15"/>
              </w:rPr>
              <w:t>Alert, fallback, accountable owner, guest-impact forecast and closeout evidence work.</w:t>
            </w:r>
          </w:p>
        </w:tc>
        <w:tc>
          <w:tcPr>
            <w:tcW w:type="dxa" w:w="2340"/>
          </w:tcPr>
          <w:p>
            <w:pPr>
              <w:spacing w:after="40"/>
            </w:pPr>
            <w:r>
              <w:rPr>
                <w:color w:val="171717"/>
                <w:sz w:val="15"/>
              </w:rPr>
              <w:t>Rehearsal</w:t>
            </w:r>
          </w:p>
        </w:tc>
      </w:tr>
      <w:tr>
        <w:trPr>
          <w:cantSplit/>
        </w:trPr>
        <w:tc>
          <w:tcPr>
            <w:tcW w:type="dxa" w:w="2340"/>
            <w:shd w:fill="FAF8F6"/>
          </w:tcPr>
          <w:p>
            <w:pPr>
              <w:spacing w:after="40"/>
            </w:pPr>
            <w:r>
              <w:rPr>
                <w:color w:val="171717"/>
                <w:sz w:val="15"/>
              </w:rPr>
              <w:t>VAL-05</w:t>
            </w:r>
          </w:p>
        </w:tc>
        <w:tc>
          <w:tcPr>
            <w:tcW w:type="dxa" w:w="2340"/>
            <w:shd w:fill="FAF8F6"/>
          </w:tcPr>
          <w:p>
            <w:pPr>
              <w:spacing w:after="40"/>
            </w:pPr>
            <w:r>
              <w:rPr>
                <w:color w:val="171717"/>
                <w:sz w:val="15"/>
              </w:rPr>
              <w:t>Guest consent withdrawn</w:t>
            </w:r>
          </w:p>
        </w:tc>
        <w:tc>
          <w:tcPr>
            <w:tcW w:type="dxa" w:w="2340"/>
            <w:shd w:fill="FAF8F6"/>
          </w:tcPr>
          <w:p>
            <w:pPr>
              <w:spacing w:after="40"/>
            </w:pPr>
            <w:r>
              <w:rPr>
                <w:color w:val="171717"/>
                <w:sz w:val="15"/>
              </w:rPr>
              <w:t>Future processing stops, retained evidence is lawful, downstream deletion/hold propagates.</w:t>
            </w:r>
          </w:p>
        </w:tc>
        <w:tc>
          <w:tcPr>
            <w:tcW w:type="dxa" w:w="2340"/>
            <w:shd w:fill="FAF8F6"/>
          </w:tcPr>
          <w:p>
            <w:pPr>
              <w:spacing w:after="40"/>
            </w:pPr>
            <w:r>
              <w:rPr>
                <w:color w:val="171717"/>
                <w:sz w:val="15"/>
              </w:rPr>
              <w:t>Security test</w:t>
            </w:r>
          </w:p>
        </w:tc>
      </w:tr>
      <w:tr>
        <w:trPr>
          <w:cantSplit/>
        </w:trPr>
        <w:tc>
          <w:tcPr>
            <w:tcW w:type="dxa" w:w="2340"/>
          </w:tcPr>
          <w:p>
            <w:pPr>
              <w:spacing w:after="40"/>
            </w:pPr>
            <w:r>
              <w:rPr>
                <w:color w:val="171717"/>
                <w:sz w:val="15"/>
              </w:rPr>
              <w:t>VAL-06</w:t>
            </w:r>
          </w:p>
        </w:tc>
        <w:tc>
          <w:tcPr>
            <w:tcW w:type="dxa" w:w="2340"/>
          </w:tcPr>
          <w:p>
            <w:pPr>
              <w:spacing w:after="40"/>
            </w:pPr>
            <w:r>
              <w:rPr>
                <w:color w:val="171717"/>
                <w:sz w:val="15"/>
              </w:rPr>
              <w:t>Facial-recognition service unavailable</w:t>
            </w:r>
          </w:p>
        </w:tc>
        <w:tc>
          <w:tcPr>
            <w:tcW w:type="dxa" w:w="2340"/>
          </w:tcPr>
          <w:p>
            <w:pPr>
              <w:spacing w:after="40"/>
            </w:pPr>
            <w:r>
              <w:rPr>
                <w:color w:val="171717"/>
                <w:sz w:val="15"/>
              </w:rPr>
              <w:t>Approved non-biometric route works; no guest is improperly denied solely by automation.</w:t>
            </w:r>
          </w:p>
        </w:tc>
        <w:tc>
          <w:tcPr>
            <w:tcW w:type="dxa" w:w="2340"/>
          </w:tcPr>
          <w:p>
            <w:pPr>
              <w:spacing w:after="40"/>
            </w:pPr>
            <w:r>
              <w:rPr>
                <w:color w:val="171717"/>
                <w:sz w:val="15"/>
              </w:rPr>
              <w:t>Operational rehearsal</w:t>
            </w:r>
          </w:p>
        </w:tc>
      </w:tr>
      <w:tr>
        <w:trPr>
          <w:cantSplit/>
        </w:trPr>
        <w:tc>
          <w:tcPr>
            <w:tcW w:type="dxa" w:w="2340"/>
            <w:shd w:fill="FAF8F6"/>
          </w:tcPr>
          <w:p>
            <w:pPr>
              <w:spacing w:after="40"/>
            </w:pPr>
            <w:r>
              <w:rPr>
                <w:color w:val="171717"/>
                <w:sz w:val="15"/>
              </w:rPr>
              <w:t>VAL-07</w:t>
            </w:r>
          </w:p>
        </w:tc>
        <w:tc>
          <w:tcPr>
            <w:tcW w:type="dxa" w:w="2340"/>
            <w:shd w:fill="FAF8F6"/>
          </w:tcPr>
          <w:p>
            <w:pPr>
              <w:spacing w:after="40"/>
            </w:pPr>
            <w:r>
              <w:rPr>
                <w:color w:val="171717"/>
                <w:sz w:val="15"/>
              </w:rPr>
              <w:t>Event Director certificate expires before event</w:t>
            </w:r>
          </w:p>
        </w:tc>
        <w:tc>
          <w:tcPr>
            <w:tcW w:type="dxa" w:w="2340"/>
            <w:shd w:fill="FAF8F6"/>
          </w:tcPr>
          <w:p>
            <w:pPr>
              <w:spacing w:after="40"/>
            </w:pPr>
            <w:r>
              <w:rPr>
                <w:color w:val="171717"/>
                <w:sz w:val="15"/>
              </w:rPr>
              <w:t>Assignment is blocked and alternatives/exception route are shown.</w:t>
            </w:r>
          </w:p>
        </w:tc>
        <w:tc>
          <w:tcPr>
            <w:tcW w:type="dxa" w:w="2340"/>
            <w:shd w:fill="FAF8F6"/>
          </w:tcPr>
          <w:p>
            <w:pPr>
              <w:spacing w:after="40"/>
            </w:pPr>
            <w:r>
              <w:rPr>
                <w:color w:val="171717"/>
                <w:sz w:val="15"/>
              </w:rPr>
              <w:t>End-to-end test</w:t>
            </w:r>
          </w:p>
        </w:tc>
      </w:tr>
      <w:tr>
        <w:trPr>
          <w:cantSplit/>
        </w:trPr>
        <w:tc>
          <w:tcPr>
            <w:tcW w:type="dxa" w:w="2340"/>
          </w:tcPr>
          <w:p>
            <w:pPr>
              <w:spacing w:after="40"/>
            </w:pPr>
            <w:r>
              <w:rPr>
                <w:color w:val="171717"/>
                <w:sz w:val="15"/>
              </w:rPr>
              <w:t>VAL-08</w:t>
            </w:r>
          </w:p>
        </w:tc>
        <w:tc>
          <w:tcPr>
            <w:tcW w:type="dxa" w:w="2340"/>
          </w:tcPr>
          <w:p>
            <w:pPr>
              <w:spacing w:after="40"/>
            </w:pPr>
            <w:r>
              <w:rPr>
                <w:color w:val="171717"/>
                <w:sz w:val="15"/>
              </w:rPr>
              <w:t>Staff moves from usher to concierge</w:t>
            </w:r>
          </w:p>
        </w:tc>
        <w:tc>
          <w:tcPr>
            <w:tcW w:type="dxa" w:w="2340"/>
          </w:tcPr>
          <w:p>
            <w:pPr>
              <w:spacing w:after="40"/>
            </w:pPr>
            <w:r>
              <w:rPr>
                <w:color w:val="171717"/>
                <w:sz w:val="15"/>
              </w:rPr>
              <w:t>New mandatory path is assigned; prior valid competencies are credited; restricted content remains gated.</w:t>
            </w:r>
          </w:p>
        </w:tc>
        <w:tc>
          <w:tcPr>
            <w:tcW w:type="dxa" w:w="2340"/>
          </w:tcPr>
          <w:p>
            <w:pPr>
              <w:spacing w:after="40"/>
            </w:pPr>
            <w:r>
              <w:rPr>
                <w:color w:val="171717"/>
                <w:sz w:val="15"/>
              </w:rPr>
              <w:t>End-to-end test</w:t>
            </w:r>
          </w:p>
        </w:tc>
      </w:tr>
      <w:tr>
        <w:trPr>
          <w:cantSplit/>
        </w:trPr>
        <w:tc>
          <w:tcPr>
            <w:tcW w:type="dxa" w:w="2340"/>
            <w:shd w:fill="FAF8F6"/>
          </w:tcPr>
          <w:p>
            <w:pPr>
              <w:spacing w:after="40"/>
            </w:pPr>
            <w:r>
              <w:rPr>
                <w:color w:val="171717"/>
                <w:sz w:val="15"/>
              </w:rPr>
              <w:t>VAL-09</w:t>
            </w:r>
          </w:p>
        </w:tc>
        <w:tc>
          <w:tcPr>
            <w:tcW w:type="dxa" w:w="2340"/>
            <w:shd w:fill="FAF8F6"/>
          </w:tcPr>
          <w:p>
            <w:pPr>
              <w:spacing w:after="40"/>
            </w:pPr>
            <w:r>
              <w:rPr>
                <w:color w:val="171717"/>
                <w:sz w:val="15"/>
              </w:rPr>
              <w:t>Material doctrine change seven days pre-event</w:t>
            </w:r>
          </w:p>
        </w:tc>
        <w:tc>
          <w:tcPr>
            <w:tcW w:type="dxa" w:w="2340"/>
            <w:shd w:fill="FAF8F6"/>
          </w:tcPr>
          <w:p>
            <w:pPr>
              <w:spacing w:after="40"/>
            </w:pPr>
            <w:r>
              <w:rPr>
                <w:color w:val="171717"/>
                <w:sz w:val="15"/>
              </w:rPr>
              <w:t>Affected rules, lessons, questions, certificates and active event owners are identified.</w:t>
            </w:r>
          </w:p>
        </w:tc>
        <w:tc>
          <w:tcPr>
            <w:tcW w:type="dxa" w:w="2340"/>
            <w:shd w:fill="FAF8F6"/>
          </w:tcPr>
          <w:p>
            <w:pPr>
              <w:spacing w:after="40"/>
            </w:pPr>
            <w:r>
              <w:rPr>
                <w:color w:val="171717"/>
                <w:sz w:val="15"/>
              </w:rPr>
              <w:t>Impact simulation</w:t>
            </w:r>
          </w:p>
        </w:tc>
      </w:tr>
      <w:tr>
        <w:trPr>
          <w:cantSplit/>
        </w:trPr>
        <w:tc>
          <w:tcPr>
            <w:tcW w:type="dxa" w:w="2340"/>
          </w:tcPr>
          <w:p>
            <w:pPr>
              <w:spacing w:after="40"/>
            </w:pPr>
            <w:r>
              <w:rPr>
                <w:color w:val="171717"/>
                <w:sz w:val="15"/>
              </w:rPr>
              <w:t>VAL-10</w:t>
            </w:r>
          </w:p>
        </w:tc>
        <w:tc>
          <w:tcPr>
            <w:tcW w:type="dxa" w:w="2340"/>
          </w:tcPr>
          <w:p>
            <w:pPr>
              <w:spacing w:after="40"/>
            </w:pPr>
            <w:r>
              <w:rPr>
                <w:color w:val="171717"/>
                <w:sz w:val="15"/>
              </w:rPr>
              <w:t>AI recommendation conflicts with Event Director</w:t>
            </w:r>
          </w:p>
        </w:tc>
        <w:tc>
          <w:tcPr>
            <w:tcW w:type="dxa" w:w="2340"/>
          </w:tcPr>
          <w:p>
            <w:pPr>
              <w:spacing w:after="40"/>
            </w:pPr>
            <w:r>
              <w:rPr>
                <w:color w:val="171717"/>
                <w:sz w:val="15"/>
              </w:rPr>
              <w:t>Human authority prevails; override rationale and later divergence review are recorded.</w:t>
            </w:r>
          </w:p>
        </w:tc>
        <w:tc>
          <w:tcPr>
            <w:tcW w:type="dxa" w:w="2340"/>
          </w:tcPr>
          <w:p>
            <w:pPr>
              <w:spacing w:after="40"/>
            </w:pPr>
            <w:r>
              <w:rPr>
                <w:color w:val="171717"/>
                <w:sz w:val="15"/>
              </w:rPr>
              <w:t>Shadow-mode test</w:t>
            </w:r>
          </w:p>
        </w:tc>
      </w:tr>
      <w:tr>
        <w:trPr>
          <w:cantSplit/>
        </w:trPr>
        <w:tc>
          <w:tcPr>
            <w:tcW w:type="dxa" w:w="2340"/>
            <w:shd w:fill="FAF8F6"/>
          </w:tcPr>
          <w:p>
            <w:pPr>
              <w:spacing w:after="40"/>
            </w:pPr>
            <w:r>
              <w:rPr>
                <w:color w:val="171717"/>
                <w:sz w:val="15"/>
              </w:rPr>
              <w:t>VAL-11</w:t>
            </w:r>
          </w:p>
        </w:tc>
        <w:tc>
          <w:tcPr>
            <w:tcW w:type="dxa" w:w="2340"/>
            <w:shd w:fill="FAF8F6"/>
          </w:tcPr>
          <w:p>
            <w:pPr>
              <w:spacing w:after="40"/>
            </w:pPr>
            <w:r>
              <w:rPr>
                <w:color w:val="171717"/>
                <w:sz w:val="15"/>
              </w:rPr>
              <w:t>Network failure during check-in</w:t>
            </w:r>
          </w:p>
        </w:tc>
        <w:tc>
          <w:tcPr>
            <w:tcW w:type="dxa" w:w="2340"/>
            <w:shd w:fill="FAF8F6"/>
          </w:tcPr>
          <w:p>
            <w:pPr>
              <w:spacing w:after="40"/>
            </w:pPr>
            <w:r>
              <w:rPr>
                <w:color w:val="171717"/>
                <w:sz w:val="15"/>
              </w:rPr>
              <w:t>Offline-authorised data supports service and reconciles without duplicates or access escalation.</w:t>
            </w:r>
          </w:p>
        </w:tc>
        <w:tc>
          <w:tcPr>
            <w:tcW w:type="dxa" w:w="2340"/>
            <w:shd w:fill="FAF8F6"/>
          </w:tcPr>
          <w:p>
            <w:pPr>
              <w:spacing w:after="40"/>
            </w:pPr>
            <w:r>
              <w:rPr>
                <w:color w:val="171717"/>
                <w:sz w:val="15"/>
              </w:rPr>
              <w:t>Venue rehearsal</w:t>
            </w:r>
          </w:p>
        </w:tc>
      </w:tr>
      <w:tr>
        <w:trPr>
          <w:cantSplit/>
        </w:trPr>
        <w:tc>
          <w:tcPr>
            <w:tcW w:type="dxa" w:w="2340"/>
          </w:tcPr>
          <w:p>
            <w:pPr>
              <w:spacing w:after="40"/>
            </w:pPr>
            <w:r>
              <w:rPr>
                <w:color w:val="171717"/>
                <w:sz w:val="15"/>
              </w:rPr>
              <w:t>VAL-12</w:t>
            </w:r>
          </w:p>
        </w:tc>
        <w:tc>
          <w:tcPr>
            <w:tcW w:type="dxa" w:w="2340"/>
          </w:tcPr>
          <w:p>
            <w:pPr>
              <w:spacing w:after="40"/>
            </w:pPr>
            <w:r>
              <w:rPr>
                <w:color w:val="171717"/>
                <w:sz w:val="15"/>
              </w:rPr>
              <w:t>Serious guest complaint during programme</w:t>
            </w:r>
          </w:p>
        </w:tc>
        <w:tc>
          <w:tcPr>
            <w:tcW w:type="dxa" w:w="2340"/>
          </w:tcPr>
          <w:p>
            <w:pPr>
              <w:spacing w:after="40"/>
            </w:pPr>
            <w:r>
              <w:rPr>
                <w:color w:val="171717"/>
                <w:sz w:val="15"/>
              </w:rPr>
              <w:t>Proportional recovery, escalation, privacy and follow-up are executed and assessed.</w:t>
            </w:r>
          </w:p>
        </w:tc>
        <w:tc>
          <w:tcPr>
            <w:tcW w:type="dxa" w:w="2340"/>
          </w:tcPr>
          <w:p>
            <w:pPr>
              <w:spacing w:after="40"/>
            </w:pPr>
            <w:r>
              <w:rPr>
                <w:color w:val="171717"/>
                <w:sz w:val="15"/>
              </w:rPr>
              <w:t>Live simulation</w:t>
            </w:r>
          </w:p>
        </w:tc>
      </w:tr>
    </w:tbl>
    <w:p>
      <w:pPr>
        <w:spacing w:after="20"/>
      </w:pPr>
    </w:p>
    <w:p>
      <w:pPr>
        <w:pStyle w:val="Heading2"/>
        <w:keepNext/>
      </w:pPr>
      <w:r>
        <w:t>Validation sequence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28"/>
            <w:tcMar>
              <w:top w:w="80" w:type="dxa"/>
              <w:start w:w="120" w:type="dxa"/>
              <w:bottom w:w="80" w:type="dxa"/>
              <w:end w:w="120" w:type="dxa"/>
            </w:tcMar>
            <w:vAlign w:val="top"/>
            <w:shd w:fill="B79F85"/>
          </w:tcPr>
          <w:p>
            <w:r>
              <w:rPr>
                <w:b/>
                <w:color w:val="171717"/>
                <w:sz w:val="16"/>
              </w:rPr>
              <w:t>Stage</w:t>
            </w:r>
          </w:p>
        </w:tc>
        <w:tc>
          <w:tcPr>
            <w:tcW w:type="dxa" w:w="3672"/>
            <w:tcMar>
              <w:top w:w="80" w:type="dxa"/>
              <w:start w:w="120" w:type="dxa"/>
              <w:bottom w:w="80" w:type="dxa"/>
              <w:end w:w="120" w:type="dxa"/>
            </w:tcMar>
            <w:vAlign w:val="top"/>
            <w:shd w:fill="B79F85"/>
          </w:tcPr>
          <w:p>
            <w:r>
              <w:rPr>
                <w:b/>
                <w:color w:val="171717"/>
                <w:sz w:val="16"/>
              </w:rPr>
              <w:t>Purpose</w:t>
            </w:r>
          </w:p>
        </w:tc>
        <w:tc>
          <w:tcPr>
            <w:tcW w:type="dxa" w:w="3960"/>
            <w:tcMar>
              <w:top w:w="80" w:type="dxa"/>
              <w:start w:w="120" w:type="dxa"/>
              <w:bottom w:w="80" w:type="dxa"/>
              <w:end w:w="120" w:type="dxa"/>
            </w:tcMar>
            <w:vAlign w:val="top"/>
            <w:shd w:fill="B79F85"/>
          </w:tcPr>
          <w:p>
            <w:r>
              <w:rPr>
                <w:b/>
                <w:color w:val="171717"/>
                <w:sz w:val="16"/>
              </w:rPr>
              <w:t>Exit evidence</w:t>
            </w:r>
          </w:p>
        </w:tc>
      </w:tr>
      <w:tr>
        <w:trPr>
          <w:cantSplit/>
        </w:trPr>
        <w:tc>
          <w:tcPr>
            <w:tcW w:type="dxa" w:w="3120"/>
            <w:shd w:fill="FAF8F6"/>
          </w:tcPr>
          <w:p>
            <w:pPr>
              <w:spacing w:after="40"/>
            </w:pPr>
            <w:r>
              <w:rPr>
                <w:color w:val="171717"/>
                <w:sz w:val="16"/>
              </w:rPr>
              <w:t>Static and automated</w:t>
            </w:r>
          </w:p>
        </w:tc>
        <w:tc>
          <w:tcPr>
            <w:tcW w:type="dxa" w:w="3120"/>
            <w:shd w:fill="FAF8F6"/>
          </w:tcPr>
          <w:p>
            <w:pPr>
              <w:spacing w:after="40"/>
            </w:pPr>
            <w:r>
              <w:rPr>
                <w:color w:val="171717"/>
                <w:sz w:val="16"/>
              </w:rPr>
              <w:t>Prove schemas, scope, permissions, rules, UI states and audit</w:t>
            </w:r>
          </w:p>
        </w:tc>
        <w:tc>
          <w:tcPr>
            <w:tcW w:type="dxa" w:w="3120"/>
            <w:shd w:fill="FAF8F6"/>
          </w:tcPr>
          <w:p>
            <w:pPr>
              <w:spacing w:after="40"/>
            </w:pPr>
            <w:r>
              <w:rPr>
                <w:color w:val="171717"/>
                <w:sz w:val="16"/>
              </w:rPr>
              <w:t>Passing CI and coverage manifest</w:t>
            </w:r>
          </w:p>
        </w:tc>
      </w:tr>
      <w:tr>
        <w:trPr>
          <w:cantSplit/>
        </w:trPr>
        <w:tc>
          <w:tcPr>
            <w:tcW w:type="dxa" w:w="3120"/>
          </w:tcPr>
          <w:p>
            <w:pPr>
              <w:spacing w:after="40"/>
            </w:pPr>
            <w:r>
              <w:rPr>
                <w:color w:val="171717"/>
                <w:sz w:val="16"/>
              </w:rPr>
              <w:t>Tabletop</w:t>
            </w:r>
          </w:p>
        </w:tc>
        <w:tc>
          <w:tcPr>
            <w:tcW w:type="dxa" w:w="3120"/>
          </w:tcPr>
          <w:p>
            <w:pPr>
              <w:spacing w:after="40"/>
            </w:pPr>
            <w:r>
              <w:rPr>
                <w:color w:val="171717"/>
                <w:sz w:val="16"/>
              </w:rPr>
              <w:t>Test decisions, ownership, escalation and contradictions</w:t>
            </w:r>
          </w:p>
        </w:tc>
        <w:tc>
          <w:tcPr>
            <w:tcW w:type="dxa" w:w="3120"/>
          </w:tcPr>
          <w:p>
            <w:pPr>
              <w:spacing w:after="40"/>
            </w:pPr>
            <w:r>
              <w:rPr>
                <w:color w:val="171717"/>
                <w:sz w:val="16"/>
              </w:rPr>
              <w:t>Facilitator report and closed critical defects</w:t>
            </w:r>
          </w:p>
        </w:tc>
      </w:tr>
      <w:tr>
        <w:trPr>
          <w:cantSplit/>
        </w:trPr>
        <w:tc>
          <w:tcPr>
            <w:tcW w:type="dxa" w:w="3120"/>
            <w:shd w:fill="FAF8F6"/>
          </w:tcPr>
          <w:p>
            <w:pPr>
              <w:spacing w:after="40"/>
            </w:pPr>
            <w:r>
              <w:rPr>
                <w:color w:val="171717"/>
                <w:sz w:val="16"/>
              </w:rPr>
              <w:t>Specialist simulation</w:t>
            </w:r>
          </w:p>
        </w:tc>
        <w:tc>
          <w:tcPr>
            <w:tcW w:type="dxa" w:w="3120"/>
            <w:shd w:fill="FAF8F6"/>
          </w:tcPr>
          <w:p>
            <w:pPr>
              <w:spacing w:after="40"/>
            </w:pPr>
            <w:r>
              <w:rPr>
                <w:color w:val="171717"/>
                <w:sz w:val="16"/>
              </w:rPr>
              <w:t>Test protocol, culture, privacy, safety and crisis judgment</w:t>
            </w:r>
          </w:p>
        </w:tc>
        <w:tc>
          <w:tcPr>
            <w:tcW w:type="dxa" w:w="3120"/>
            <w:shd w:fill="FAF8F6"/>
          </w:tcPr>
          <w:p>
            <w:pPr>
              <w:spacing w:after="40"/>
            </w:pPr>
            <w:r>
              <w:rPr>
                <w:color w:val="171717"/>
                <w:sz w:val="16"/>
              </w:rPr>
              <w:t>Authority sign-off and calibrated scenarios</w:t>
            </w:r>
          </w:p>
        </w:tc>
      </w:tr>
      <w:tr>
        <w:trPr>
          <w:cantSplit/>
        </w:trPr>
        <w:tc>
          <w:tcPr>
            <w:tcW w:type="dxa" w:w="3120"/>
          </w:tcPr>
          <w:p>
            <w:pPr>
              <w:spacing w:after="40"/>
            </w:pPr>
            <w:r>
              <w:rPr>
                <w:color w:val="171717"/>
                <w:sz w:val="16"/>
              </w:rPr>
              <w:t>Venue rehearsal</w:t>
            </w:r>
          </w:p>
        </w:tc>
        <w:tc>
          <w:tcPr>
            <w:tcW w:type="dxa" w:w="3120"/>
          </w:tcPr>
          <w:p>
            <w:pPr>
              <w:spacing w:after="40"/>
            </w:pPr>
            <w:r>
              <w:rPr>
                <w:color w:val="171717"/>
                <w:sz w:val="16"/>
              </w:rPr>
              <w:t>Test mobile/offline use, routes, cues, staffing and communication</w:t>
            </w:r>
          </w:p>
        </w:tc>
        <w:tc>
          <w:tcPr>
            <w:tcW w:type="dxa" w:w="3120"/>
          </w:tcPr>
          <w:p>
            <w:pPr>
              <w:spacing w:after="40"/>
            </w:pPr>
            <w:r>
              <w:rPr>
                <w:color w:val="171717"/>
                <w:sz w:val="16"/>
              </w:rPr>
              <w:t>Timed observations and corrective actions</w:t>
            </w:r>
          </w:p>
        </w:tc>
      </w:tr>
      <w:tr>
        <w:trPr>
          <w:cantSplit/>
        </w:trPr>
        <w:tc>
          <w:tcPr>
            <w:tcW w:type="dxa" w:w="3120"/>
            <w:shd w:fill="FAF8F6"/>
          </w:tcPr>
          <w:p>
            <w:pPr>
              <w:spacing w:after="40"/>
            </w:pPr>
            <w:r>
              <w:rPr>
                <w:color w:val="171717"/>
                <w:sz w:val="16"/>
              </w:rPr>
              <w:t>Shadow mode</w:t>
            </w:r>
          </w:p>
        </w:tc>
        <w:tc>
          <w:tcPr>
            <w:tcW w:type="dxa" w:w="3120"/>
            <w:shd w:fill="FAF8F6"/>
          </w:tcPr>
          <w:p>
            <w:pPr>
              <w:spacing w:after="40"/>
            </w:pPr>
            <w:r>
              <w:rPr>
                <w:color w:val="171717"/>
                <w:sz w:val="16"/>
              </w:rPr>
              <w:t>Compare intelligence against accountable human decisions</w:t>
            </w:r>
          </w:p>
        </w:tc>
        <w:tc>
          <w:tcPr>
            <w:tcW w:type="dxa" w:w="3120"/>
            <w:shd w:fill="FAF8F6"/>
          </w:tcPr>
          <w:p>
            <w:pPr>
              <w:spacing w:after="40"/>
            </w:pPr>
            <w:r>
              <w:rPr>
                <w:color w:val="171717"/>
                <w:sz w:val="16"/>
              </w:rPr>
              <w:t>Divergence, false-positive/negative and workload evidence</w:t>
            </w:r>
          </w:p>
        </w:tc>
      </w:tr>
      <w:tr>
        <w:trPr>
          <w:cantSplit/>
        </w:trPr>
        <w:tc>
          <w:tcPr>
            <w:tcW w:type="dxa" w:w="3120"/>
          </w:tcPr>
          <w:p>
            <w:pPr>
              <w:spacing w:after="40"/>
            </w:pPr>
            <w:r>
              <w:rPr>
                <w:color w:val="171717"/>
                <w:sz w:val="16"/>
              </w:rPr>
              <w:t>Supervised live pilot</w:t>
            </w:r>
          </w:p>
        </w:tc>
        <w:tc>
          <w:tcPr>
            <w:tcW w:type="dxa" w:w="3120"/>
          </w:tcPr>
          <w:p>
            <w:pPr>
              <w:spacing w:after="40"/>
            </w:pPr>
            <w:r>
              <w:rPr>
                <w:color w:val="171717"/>
                <w:sz w:val="16"/>
              </w:rPr>
              <w:t>Validate performance without relaxing authority</w:t>
            </w:r>
          </w:p>
        </w:tc>
        <w:tc>
          <w:tcPr>
            <w:tcW w:type="dxa" w:w="3120"/>
          </w:tcPr>
          <w:p>
            <w:pPr>
              <w:spacing w:after="40"/>
            </w:pPr>
            <w:r>
              <w:rPr>
                <w:color w:val="171717"/>
                <w:sz w:val="16"/>
              </w:rPr>
              <w:t>Post-event review, guest-impact evidence and CEO decision</w:t>
            </w:r>
          </w:p>
        </w:tc>
      </w:tr>
    </w:tbl>
    <w:p>
      <w:pPr>
        <w:spacing w:after="20"/>
      </w:pPr>
    </w:p>
    <w:p>
      <w:pPr>
        <w:pStyle w:val="Heading1"/>
        <w:keepNext/>
      </w:pPr>
      <w:r>
        <w:t>Step 10 — Pass the reconciliation and release gates</w:t>
      </w:r>
    </w:p>
    <w:p>
      <w:r>
        <w:t>The release decision is binary for critical controls. High overall percentages cannot conceal an unmapped critical doctrine, unauthorised automation, an unqualified staff assignment, or an unresolved safety/privacy obligation.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008"/>
            <w:tcMar>
              <w:top w:w="80" w:type="dxa"/>
              <w:start w:w="120" w:type="dxa"/>
              <w:bottom w:w="80" w:type="dxa"/>
              <w:end w:w="120" w:type="dxa"/>
            </w:tcMar>
            <w:vAlign w:val="top"/>
            <w:shd w:fill="B79F85"/>
          </w:tcPr>
          <w:p>
            <w:r>
              <w:rPr>
                <w:b/>
                <w:color w:val="171717"/>
                <w:sz w:val="15"/>
              </w:rPr>
              <w:t>Test</w:t>
            </w:r>
          </w:p>
        </w:tc>
        <w:tc>
          <w:tcPr>
            <w:tcW w:type="dxa" w:w="2376"/>
            <w:tcMar>
              <w:top w:w="80" w:type="dxa"/>
              <w:start w:w="120" w:type="dxa"/>
              <w:bottom w:w="80" w:type="dxa"/>
              <w:end w:w="120" w:type="dxa"/>
            </w:tcMar>
            <w:vAlign w:val="top"/>
            <w:shd w:fill="B79F85"/>
          </w:tcPr>
          <w:p>
            <w:r>
              <w:rPr>
                <w:b/>
                <w:color w:val="171717"/>
                <w:sz w:val="15"/>
              </w:rPr>
              <w:t>Area</w:t>
            </w:r>
          </w:p>
        </w:tc>
        <w:tc>
          <w:tcPr>
            <w:tcW w:type="dxa" w:w="4824"/>
            <w:tcMar>
              <w:top w:w="80" w:type="dxa"/>
              <w:start w:w="120" w:type="dxa"/>
              <w:bottom w:w="80" w:type="dxa"/>
              <w:end w:w="120" w:type="dxa"/>
            </w:tcMar>
            <w:vAlign w:val="top"/>
            <w:shd w:fill="B79F85"/>
          </w:tcPr>
          <w:p>
            <w:r>
              <w:rPr>
                <w:b/>
                <w:color w:val="171717"/>
                <w:sz w:val="15"/>
              </w:rPr>
              <w:t>Pass rule</w:t>
            </w:r>
          </w:p>
        </w:tc>
        <w:tc>
          <w:tcPr>
            <w:tcW w:type="dxa" w:w="1152"/>
            <w:tcMar>
              <w:top w:w="80" w:type="dxa"/>
              <w:start w:w="120" w:type="dxa"/>
              <w:bottom w:w="80" w:type="dxa"/>
              <w:end w:w="120" w:type="dxa"/>
            </w:tcMar>
            <w:vAlign w:val="top"/>
            <w:shd w:fill="B79F85"/>
          </w:tcPr>
          <w:p>
            <w:r>
              <w:rPr>
                <w:b/>
                <w:color w:val="171717"/>
                <w:sz w:val="15"/>
              </w:rPr>
              <w:t>Current result</w:t>
            </w:r>
          </w:p>
        </w:tc>
      </w:tr>
      <w:tr>
        <w:trPr>
          <w:cantSplit/>
        </w:trPr>
        <w:tc>
          <w:tcPr>
            <w:tcW w:type="dxa" w:w="2340"/>
            <w:shd w:fill="FAF8F6"/>
          </w:tcPr>
          <w:p>
            <w:pPr>
              <w:spacing w:after="40"/>
            </w:pPr>
            <w:r>
              <w:rPr>
                <w:color w:val="171717"/>
                <w:sz w:val="15"/>
              </w:rPr>
              <w:t>KAT-01</w:t>
            </w:r>
          </w:p>
        </w:tc>
        <w:tc>
          <w:tcPr>
            <w:tcW w:type="dxa" w:w="2340"/>
            <w:shd w:fill="FAF8F6"/>
          </w:tcPr>
          <w:p>
            <w:pPr>
              <w:spacing w:after="40"/>
            </w:pPr>
            <w:r>
              <w:rPr>
                <w:color w:val="171717"/>
                <w:sz w:val="15"/>
              </w:rPr>
              <w:t>Doctrine coverage</w:t>
            </w:r>
          </w:p>
        </w:tc>
        <w:tc>
          <w:tcPr>
            <w:tcW w:type="dxa" w:w="2340"/>
            <w:shd w:fill="FAF8F6"/>
          </w:tcPr>
          <w:p>
            <w:pPr>
              <w:spacing w:after="40"/>
            </w:pPr>
            <w:r>
              <w:rPr>
                <w:color w:val="171717"/>
                <w:sz w:val="15"/>
              </w:rPr>
              <w:t>100% IDs explicitly disposed; no orphan or silent exclusion.</w:t>
            </w:r>
          </w:p>
        </w:tc>
        <w:tc>
          <w:tcPr>
            <w:tcW w:type="dxa" w:w="2340"/>
            <w:shd w:fill="FAF8F6"/>
          </w:tcPr>
          <w:p>
            <w:pPr>
              <w:spacing w:after="40"/>
            </w:pPr>
            <w:r>
              <w:rPr>
                <w:color w:val="171717"/>
                <w:sz w:val="15"/>
              </w:rPr>
              <w:t>Not run</w:t>
            </w:r>
          </w:p>
        </w:tc>
      </w:tr>
      <w:tr>
        <w:trPr>
          <w:cantSplit/>
        </w:trPr>
        <w:tc>
          <w:tcPr>
            <w:tcW w:type="dxa" w:w="2340"/>
          </w:tcPr>
          <w:p>
            <w:pPr>
              <w:spacing w:after="40"/>
            </w:pPr>
            <w:r>
              <w:rPr>
                <w:color w:val="171717"/>
                <w:sz w:val="15"/>
              </w:rPr>
              <w:t>KAT-02</w:t>
            </w:r>
          </w:p>
        </w:tc>
        <w:tc>
          <w:tcPr>
            <w:tcW w:type="dxa" w:w="2340"/>
          </w:tcPr>
          <w:p>
            <w:pPr>
              <w:spacing w:after="40"/>
            </w:pPr>
            <w:r>
              <w:rPr>
                <w:color w:val="171717"/>
                <w:sz w:val="15"/>
              </w:rPr>
              <w:t>OS executable coverage</w:t>
            </w:r>
          </w:p>
        </w:tc>
        <w:tc>
          <w:tcPr>
            <w:tcW w:type="dxa" w:w="2340"/>
          </w:tcPr>
          <w:p>
            <w:pPr>
              <w:spacing w:after="40"/>
            </w:pPr>
            <w:r>
              <w:rPr>
                <w:color w:val="171717"/>
                <w:sz w:val="15"/>
              </w:rPr>
              <w:t>100% critical and ≥98% total mapped and implemented; remainder approved.</w:t>
            </w:r>
          </w:p>
        </w:tc>
        <w:tc>
          <w:tcPr>
            <w:tcW w:type="dxa" w:w="2340"/>
          </w:tcPr>
          <w:p>
            <w:pPr>
              <w:spacing w:after="40"/>
            </w:pPr>
            <w:r>
              <w:rPr>
                <w:color w:val="171717"/>
                <w:sz w:val="15"/>
              </w:rPr>
              <w:t>Not run</w:t>
            </w:r>
          </w:p>
        </w:tc>
      </w:tr>
      <w:tr>
        <w:trPr>
          <w:cantSplit/>
        </w:trPr>
        <w:tc>
          <w:tcPr>
            <w:tcW w:type="dxa" w:w="2340"/>
            <w:shd w:fill="FAF8F6"/>
          </w:tcPr>
          <w:p>
            <w:pPr>
              <w:spacing w:after="40"/>
            </w:pPr>
            <w:r>
              <w:rPr>
                <w:color w:val="171717"/>
                <w:sz w:val="15"/>
              </w:rPr>
              <w:t>KAT-03</w:t>
            </w:r>
          </w:p>
        </w:tc>
        <w:tc>
          <w:tcPr>
            <w:tcW w:type="dxa" w:w="2340"/>
            <w:shd w:fill="FAF8F6"/>
          </w:tcPr>
          <w:p>
            <w:pPr>
              <w:spacing w:after="40"/>
            </w:pPr>
            <w:r>
              <w:rPr>
                <w:color w:val="171717"/>
                <w:sz w:val="15"/>
              </w:rPr>
              <w:t>Human judgment boundary</w:t>
            </w:r>
          </w:p>
        </w:tc>
        <w:tc>
          <w:tcPr>
            <w:tcW w:type="dxa" w:w="2340"/>
            <w:shd w:fill="FAF8F6"/>
          </w:tcPr>
          <w:p>
            <w:pPr>
              <w:spacing w:after="40"/>
            </w:pPr>
            <w:r>
              <w:rPr>
                <w:color w:val="171717"/>
                <w:sz w:val="15"/>
              </w:rPr>
              <w:t>No unauthorised deterministic conversion.</w:t>
            </w:r>
          </w:p>
        </w:tc>
        <w:tc>
          <w:tcPr>
            <w:tcW w:type="dxa" w:w="2340"/>
            <w:shd w:fill="FAF8F6"/>
          </w:tcPr>
          <w:p>
            <w:pPr>
              <w:spacing w:after="40"/>
            </w:pPr>
            <w:r>
              <w:rPr>
                <w:color w:val="171717"/>
                <w:sz w:val="15"/>
              </w:rPr>
              <w:t>Not run</w:t>
            </w:r>
          </w:p>
        </w:tc>
      </w:tr>
      <w:tr>
        <w:trPr>
          <w:cantSplit/>
        </w:trPr>
        <w:tc>
          <w:tcPr>
            <w:tcW w:type="dxa" w:w="2340"/>
          </w:tcPr>
          <w:p>
            <w:pPr>
              <w:spacing w:after="40"/>
            </w:pPr>
            <w:r>
              <w:rPr>
                <w:color w:val="171717"/>
                <w:sz w:val="15"/>
              </w:rPr>
              <w:t>KAT-04</w:t>
            </w:r>
          </w:p>
        </w:tc>
        <w:tc>
          <w:tcPr>
            <w:tcW w:type="dxa" w:w="2340"/>
          </w:tcPr>
          <w:p>
            <w:pPr>
              <w:spacing w:after="40"/>
            </w:pPr>
            <w:r>
              <w:rPr>
                <w:color w:val="171717"/>
                <w:sz w:val="15"/>
              </w:rPr>
              <w:t>Academy competence coverage</w:t>
            </w:r>
          </w:p>
        </w:tc>
        <w:tc>
          <w:tcPr>
            <w:tcW w:type="dxa" w:w="2340"/>
          </w:tcPr>
          <w:p>
            <w:pPr>
              <w:spacing w:after="40"/>
            </w:pPr>
            <w:r>
              <w:rPr>
                <w:color w:val="171717"/>
                <w:sz w:val="15"/>
              </w:rPr>
              <w:t>100% mandatory competencies have teaching, practice and assessment.</w:t>
            </w:r>
          </w:p>
        </w:tc>
        <w:tc>
          <w:tcPr>
            <w:tcW w:type="dxa" w:w="2340"/>
          </w:tcPr>
          <w:p>
            <w:pPr>
              <w:spacing w:after="40"/>
            </w:pPr>
            <w:r>
              <w:rPr>
                <w:color w:val="171717"/>
                <w:sz w:val="15"/>
              </w:rPr>
              <w:t>Not run</w:t>
            </w:r>
          </w:p>
        </w:tc>
      </w:tr>
      <w:tr>
        <w:trPr>
          <w:cantSplit/>
        </w:trPr>
        <w:tc>
          <w:tcPr>
            <w:tcW w:type="dxa" w:w="2340"/>
            <w:shd w:fill="FAF8F6"/>
          </w:tcPr>
          <w:p>
            <w:pPr>
              <w:spacing w:after="40"/>
            </w:pPr>
            <w:r>
              <w:rPr>
                <w:color w:val="171717"/>
                <w:sz w:val="15"/>
              </w:rPr>
              <w:t>KAT-05</w:t>
            </w:r>
          </w:p>
        </w:tc>
        <w:tc>
          <w:tcPr>
            <w:tcW w:type="dxa" w:w="2340"/>
            <w:shd w:fill="FAF8F6"/>
          </w:tcPr>
          <w:p>
            <w:pPr>
              <w:spacing w:after="40"/>
            </w:pPr>
            <w:r>
              <w:rPr>
                <w:color w:val="171717"/>
                <w:sz w:val="15"/>
              </w:rPr>
              <w:t>Lesson depth</w:t>
            </w:r>
          </w:p>
        </w:tc>
        <w:tc>
          <w:tcPr>
            <w:tcW w:type="dxa" w:w="2340"/>
            <w:shd w:fill="FAF8F6"/>
          </w:tcPr>
          <w:p>
            <w:pPr>
              <w:spacing w:after="40"/>
            </w:pPr>
            <w:r>
              <w:rPr>
                <w:color w:val="171717"/>
                <w:sz w:val="15"/>
              </w:rPr>
              <w:t>Independent learner can understand and apply without original modules.</w:t>
            </w:r>
          </w:p>
        </w:tc>
        <w:tc>
          <w:tcPr>
            <w:tcW w:type="dxa" w:w="2340"/>
            <w:shd w:fill="FAF8F6"/>
          </w:tcPr>
          <w:p>
            <w:pPr>
              <w:spacing w:after="40"/>
            </w:pPr>
            <w:r>
              <w:rPr>
                <w:color w:val="171717"/>
                <w:sz w:val="15"/>
              </w:rPr>
              <w:t>Not run</w:t>
            </w:r>
          </w:p>
        </w:tc>
      </w:tr>
      <w:tr>
        <w:trPr>
          <w:cantSplit/>
        </w:trPr>
        <w:tc>
          <w:tcPr>
            <w:tcW w:type="dxa" w:w="2340"/>
          </w:tcPr>
          <w:p>
            <w:pPr>
              <w:spacing w:after="40"/>
            </w:pPr>
            <w:r>
              <w:rPr>
                <w:color w:val="171717"/>
                <w:sz w:val="15"/>
              </w:rPr>
              <w:t>KAT-06</w:t>
            </w:r>
          </w:p>
        </w:tc>
        <w:tc>
          <w:tcPr>
            <w:tcW w:type="dxa" w:w="2340"/>
          </w:tcPr>
          <w:p>
            <w:pPr>
              <w:spacing w:after="40"/>
            </w:pPr>
            <w:r>
              <w:rPr>
                <w:color w:val="171717"/>
                <w:sz w:val="15"/>
              </w:rPr>
              <w:t>Question-bank coverage</w:t>
            </w:r>
          </w:p>
        </w:tc>
        <w:tc>
          <w:tcPr>
            <w:tcW w:type="dxa" w:w="2340"/>
          </w:tcPr>
          <w:p>
            <w:pPr>
              <w:spacing w:after="40"/>
            </w:pPr>
            <w:r>
              <w:rPr>
                <w:color w:val="171717"/>
                <w:sz w:val="15"/>
              </w:rPr>
              <w:t>Volumes, weights, difficulty, randomisation and critical rules pass.</w:t>
            </w:r>
          </w:p>
        </w:tc>
        <w:tc>
          <w:tcPr>
            <w:tcW w:type="dxa" w:w="2340"/>
          </w:tcPr>
          <w:p>
            <w:pPr>
              <w:spacing w:after="40"/>
            </w:pPr>
            <w:r>
              <w:rPr>
                <w:color w:val="171717"/>
                <w:sz w:val="15"/>
              </w:rPr>
              <w:t>Not run</w:t>
            </w:r>
          </w:p>
        </w:tc>
      </w:tr>
      <w:tr>
        <w:trPr>
          <w:cantSplit/>
        </w:trPr>
        <w:tc>
          <w:tcPr>
            <w:tcW w:type="dxa" w:w="2340"/>
            <w:shd w:fill="FAF8F6"/>
          </w:tcPr>
          <w:p>
            <w:pPr>
              <w:spacing w:after="40"/>
            </w:pPr>
            <w:r>
              <w:rPr>
                <w:color w:val="171717"/>
                <w:sz w:val="15"/>
              </w:rPr>
              <w:t>KAT-07</w:t>
            </w:r>
          </w:p>
        </w:tc>
        <w:tc>
          <w:tcPr>
            <w:tcW w:type="dxa" w:w="2340"/>
            <w:shd w:fill="FAF8F6"/>
          </w:tcPr>
          <w:p>
            <w:pPr>
              <w:spacing w:after="40"/>
            </w:pPr>
            <w:r>
              <w:rPr>
                <w:color w:val="171717"/>
                <w:sz w:val="15"/>
              </w:rPr>
              <w:t>Protocol/culture currency</w:t>
            </w:r>
          </w:p>
        </w:tc>
        <w:tc>
          <w:tcPr>
            <w:tcW w:type="dxa" w:w="2340"/>
            <w:shd w:fill="FAF8F6"/>
          </w:tcPr>
          <w:p>
            <w:pPr>
              <w:spacing w:after="40"/>
            </w:pPr>
            <w:r>
              <w:rPr>
                <w:color w:val="171717"/>
                <w:sz w:val="15"/>
              </w:rPr>
              <w:t>Every used context record has source, scope, reviewer, date and expiry.</w:t>
            </w:r>
          </w:p>
        </w:tc>
        <w:tc>
          <w:tcPr>
            <w:tcW w:type="dxa" w:w="2340"/>
            <w:shd w:fill="FAF8F6"/>
          </w:tcPr>
          <w:p>
            <w:pPr>
              <w:spacing w:after="40"/>
            </w:pPr>
            <w:r>
              <w:rPr>
                <w:color w:val="171717"/>
                <w:sz w:val="15"/>
              </w:rPr>
              <w:t>Blocked</w:t>
            </w:r>
          </w:p>
        </w:tc>
      </w:tr>
      <w:tr>
        <w:trPr>
          <w:cantSplit/>
        </w:trPr>
        <w:tc>
          <w:tcPr>
            <w:tcW w:type="dxa" w:w="2340"/>
          </w:tcPr>
          <w:p>
            <w:pPr>
              <w:spacing w:after="40"/>
            </w:pPr>
            <w:r>
              <w:rPr>
                <w:color w:val="171717"/>
                <w:sz w:val="15"/>
              </w:rPr>
              <w:t>KAT-08</w:t>
            </w:r>
          </w:p>
        </w:tc>
        <w:tc>
          <w:tcPr>
            <w:tcW w:type="dxa" w:w="2340"/>
          </w:tcPr>
          <w:p>
            <w:pPr>
              <w:spacing w:after="40"/>
            </w:pPr>
            <w:r>
              <w:rPr>
                <w:color w:val="171717"/>
                <w:sz w:val="15"/>
              </w:rPr>
              <w:t>Privacy and sensitive data</w:t>
            </w:r>
          </w:p>
        </w:tc>
        <w:tc>
          <w:tcPr>
            <w:tcW w:type="dxa" w:w="2340"/>
          </w:tcPr>
          <w:p>
            <w:pPr>
              <w:spacing w:after="40"/>
            </w:pPr>
            <w:r>
              <w:rPr>
                <w:color w:val="171717"/>
                <w:sz w:val="15"/>
              </w:rPr>
              <w:t>Approved purposes, least privilege, retention/deletion and incident controls pass.</w:t>
            </w:r>
          </w:p>
        </w:tc>
        <w:tc>
          <w:tcPr>
            <w:tcW w:type="dxa" w:w="2340"/>
          </w:tcPr>
          <w:p>
            <w:pPr>
              <w:spacing w:after="40"/>
            </w:pPr>
            <w:r>
              <w:rPr>
                <w:color w:val="171717"/>
                <w:sz w:val="15"/>
              </w:rPr>
              <w:t>Blocked</w:t>
            </w:r>
          </w:p>
        </w:tc>
      </w:tr>
      <w:tr>
        <w:trPr>
          <w:cantSplit/>
        </w:trPr>
        <w:tc>
          <w:tcPr>
            <w:tcW w:type="dxa" w:w="2340"/>
            <w:shd w:fill="FAF8F6"/>
          </w:tcPr>
          <w:p>
            <w:pPr>
              <w:spacing w:after="40"/>
            </w:pPr>
            <w:r>
              <w:rPr>
                <w:color w:val="171717"/>
                <w:sz w:val="15"/>
              </w:rPr>
              <w:t>KAT-09</w:t>
            </w:r>
          </w:p>
        </w:tc>
        <w:tc>
          <w:tcPr>
            <w:tcW w:type="dxa" w:w="2340"/>
            <w:shd w:fill="FAF8F6"/>
          </w:tcPr>
          <w:p>
            <w:pPr>
              <w:spacing w:after="40"/>
            </w:pPr>
            <w:r>
              <w:rPr>
                <w:color w:val="171717"/>
                <w:sz w:val="15"/>
              </w:rPr>
              <w:t>OS–Academy authorisation</w:t>
            </w:r>
          </w:p>
        </w:tc>
        <w:tc>
          <w:tcPr>
            <w:tcW w:type="dxa" w:w="2340"/>
            <w:shd w:fill="FAF8F6"/>
          </w:tcPr>
          <w:p>
            <w:pPr>
              <w:spacing w:after="40"/>
            </w:pPr>
            <w:r>
              <w:rPr>
                <w:color w:val="171717"/>
                <w:sz w:val="15"/>
              </w:rPr>
              <w:t>Ineligible staff cannot be deployed without recorded exception.</w:t>
            </w:r>
          </w:p>
        </w:tc>
        <w:tc>
          <w:tcPr>
            <w:tcW w:type="dxa" w:w="2340"/>
            <w:shd w:fill="FAF8F6"/>
          </w:tcPr>
          <w:p>
            <w:pPr>
              <w:spacing w:after="40"/>
            </w:pPr>
            <w:r>
              <w:rPr>
                <w:color w:val="171717"/>
                <w:sz w:val="15"/>
              </w:rPr>
              <w:t>Not run</w:t>
            </w:r>
          </w:p>
        </w:tc>
      </w:tr>
      <w:tr>
        <w:trPr>
          <w:cantSplit/>
        </w:trPr>
        <w:tc>
          <w:tcPr>
            <w:tcW w:type="dxa" w:w="2340"/>
          </w:tcPr>
          <w:p>
            <w:pPr>
              <w:spacing w:after="40"/>
            </w:pPr>
            <w:r>
              <w:rPr>
                <w:color w:val="171717"/>
                <w:sz w:val="15"/>
              </w:rPr>
              <w:t>KAT-10</w:t>
            </w:r>
          </w:p>
        </w:tc>
        <w:tc>
          <w:tcPr>
            <w:tcW w:type="dxa" w:w="2340"/>
          </w:tcPr>
          <w:p>
            <w:pPr>
              <w:spacing w:after="40"/>
            </w:pPr>
            <w:r>
              <w:rPr>
                <w:color w:val="171717"/>
                <w:sz w:val="15"/>
              </w:rPr>
              <w:t>Change propagation</w:t>
            </w:r>
          </w:p>
        </w:tc>
        <w:tc>
          <w:tcPr>
            <w:tcW w:type="dxa" w:w="2340"/>
          </w:tcPr>
          <w:p>
            <w:pPr>
              <w:spacing w:after="40"/>
            </w:pPr>
            <w:r>
              <w:rPr>
                <w:color w:val="171717"/>
                <w:sz w:val="15"/>
              </w:rPr>
              <w:t>Material change identifies every affected rule, lesson, question, certificate and event.</w:t>
            </w:r>
          </w:p>
        </w:tc>
        <w:tc>
          <w:tcPr>
            <w:tcW w:type="dxa" w:w="2340"/>
          </w:tcPr>
          <w:p>
            <w:pPr>
              <w:spacing w:after="40"/>
            </w:pPr>
            <w:r>
              <w:rPr>
                <w:color w:val="171717"/>
                <w:sz w:val="15"/>
              </w:rPr>
              <w:t>Not run</w:t>
            </w:r>
          </w:p>
        </w:tc>
      </w:tr>
      <w:tr>
        <w:trPr>
          <w:cantSplit/>
        </w:trPr>
        <w:tc>
          <w:tcPr>
            <w:tcW w:type="dxa" w:w="2340"/>
            <w:shd w:fill="FAF8F6"/>
          </w:tcPr>
          <w:p>
            <w:pPr>
              <w:spacing w:after="40"/>
            </w:pPr>
            <w:r>
              <w:rPr>
                <w:color w:val="171717"/>
                <w:sz w:val="15"/>
              </w:rPr>
              <w:t>KAT-11</w:t>
            </w:r>
          </w:p>
        </w:tc>
        <w:tc>
          <w:tcPr>
            <w:tcW w:type="dxa" w:w="2340"/>
            <w:shd w:fill="FAF8F6"/>
          </w:tcPr>
          <w:p>
            <w:pPr>
              <w:spacing w:after="40"/>
            </w:pPr>
            <w:r>
              <w:rPr>
                <w:color w:val="171717"/>
                <w:sz w:val="15"/>
              </w:rPr>
              <w:t>Live operations validation</w:t>
            </w:r>
          </w:p>
        </w:tc>
        <w:tc>
          <w:tcPr>
            <w:tcW w:type="dxa" w:w="2340"/>
            <w:shd w:fill="FAF8F6"/>
          </w:tcPr>
          <w:p>
            <w:pPr>
              <w:spacing w:after="40"/>
            </w:pPr>
            <w:r>
              <w:rPr>
                <w:color w:val="171717"/>
                <w:sz w:val="15"/>
              </w:rPr>
              <w:t>Thresholds, staffing and alert load meet agreed service levels.</w:t>
            </w:r>
          </w:p>
        </w:tc>
        <w:tc>
          <w:tcPr>
            <w:tcW w:type="dxa" w:w="2340"/>
            <w:shd w:fill="FAF8F6"/>
          </w:tcPr>
          <w:p>
            <w:pPr>
              <w:spacing w:after="40"/>
            </w:pPr>
            <w:r>
              <w:rPr>
                <w:color w:val="171717"/>
                <w:sz w:val="15"/>
              </w:rPr>
              <w:t>Blocked</w:t>
            </w:r>
          </w:p>
        </w:tc>
      </w:tr>
      <w:tr>
        <w:trPr>
          <w:cantSplit/>
        </w:trPr>
        <w:tc>
          <w:tcPr>
            <w:tcW w:type="dxa" w:w="2340"/>
          </w:tcPr>
          <w:p>
            <w:pPr>
              <w:spacing w:after="40"/>
            </w:pPr>
            <w:r>
              <w:rPr>
                <w:color w:val="171717"/>
                <w:sz w:val="15"/>
              </w:rPr>
              <w:t>KAT-12</w:t>
            </w:r>
          </w:p>
        </w:tc>
        <w:tc>
          <w:tcPr>
            <w:tcW w:type="dxa" w:w="2340"/>
          </w:tcPr>
          <w:p>
            <w:pPr>
              <w:spacing w:after="40"/>
            </w:pPr>
            <w:r>
              <w:rPr>
                <w:color w:val="171717"/>
                <w:sz w:val="15"/>
              </w:rPr>
              <w:t>AI production gate</w:t>
            </w:r>
          </w:p>
        </w:tc>
        <w:tc>
          <w:tcPr>
            <w:tcW w:type="dxa" w:w="2340"/>
          </w:tcPr>
          <w:p>
            <w:pPr>
              <w:spacing w:after="40"/>
            </w:pPr>
            <w:r>
              <w:rPr>
                <w:color w:val="171717"/>
                <w:sz w:val="15"/>
              </w:rPr>
              <w:t>Shadow accuracy, divergence, fairness, explainability and override thresholds approved.</w:t>
            </w:r>
          </w:p>
        </w:tc>
        <w:tc>
          <w:tcPr>
            <w:tcW w:type="dxa" w:w="2340"/>
          </w:tcPr>
          <w:p>
            <w:pPr>
              <w:spacing w:after="40"/>
            </w:pPr>
            <w:r>
              <w:rPr>
                <w:color w:val="171717"/>
                <w:sz w:val="15"/>
              </w:rPr>
              <w:t>Blocked</w:t>
            </w:r>
          </w:p>
        </w:tc>
      </w:tr>
    </w:tbl>
    <w:p>
      <w:pPr>
        <w:spacing w:after="20"/>
      </w:pPr>
    </w:p>
    <w:p>
      <w:pPr>
        <w:pStyle w:val="Heading2"/>
        <w:keepNext/>
      </w:pPr>
      <w:r>
        <w:t>Release-gate decision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880"/>
            <w:tcMar>
              <w:top w:w="80" w:type="dxa"/>
              <w:start w:w="120" w:type="dxa"/>
              <w:bottom w:w="80" w:type="dxa"/>
              <w:end w:w="120" w:type="dxa"/>
            </w:tcMar>
            <w:vAlign w:val="top"/>
            <w:shd w:fill="B79F85"/>
          </w:tcPr>
          <w:p>
            <w:r>
              <w:rPr>
                <w:b/>
                <w:color w:val="171717"/>
                <w:sz w:val="16"/>
              </w:rPr>
              <w:t>Gate</w:t>
            </w:r>
          </w:p>
        </w:tc>
        <w:tc>
          <w:tcPr>
            <w:tcW w:type="dxa" w:w="1728"/>
            <w:tcMar>
              <w:top w:w="80" w:type="dxa"/>
              <w:start w:w="120" w:type="dxa"/>
              <w:bottom w:w="80" w:type="dxa"/>
              <w:end w:w="120" w:type="dxa"/>
            </w:tcMar>
            <w:vAlign w:val="top"/>
            <w:shd w:fill="B79F85"/>
          </w:tcPr>
          <w:p>
            <w:r>
              <w:rPr>
                <w:b/>
                <w:color w:val="171717"/>
                <w:sz w:val="16"/>
              </w:rPr>
              <w:t>Current result</w:t>
            </w:r>
          </w:p>
        </w:tc>
        <w:tc>
          <w:tcPr>
            <w:tcW w:type="dxa" w:w="4752"/>
            <w:tcMar>
              <w:top w:w="80" w:type="dxa"/>
              <w:start w:w="120" w:type="dxa"/>
              <w:bottom w:w="80" w:type="dxa"/>
              <w:end w:w="120" w:type="dxa"/>
            </w:tcMar>
            <w:vAlign w:val="top"/>
            <w:shd w:fill="B79F85"/>
          </w:tcPr>
          <w:p>
            <w:r>
              <w:rPr>
                <w:b/>
                <w:color w:val="171717"/>
                <w:sz w:val="16"/>
              </w:rPr>
              <w:t>Why</w:t>
            </w:r>
          </w:p>
        </w:tc>
      </w:tr>
      <w:tr>
        <w:trPr>
          <w:cantSplit/>
        </w:trPr>
        <w:tc>
          <w:tcPr>
            <w:tcW w:type="dxa" w:w="3120"/>
            <w:shd w:fill="FAF8F6"/>
          </w:tcPr>
          <w:p>
            <w:pPr>
              <w:spacing w:after="40"/>
            </w:pPr>
            <w:r>
              <w:rPr>
                <w:color w:val="171717"/>
                <w:sz w:val="16"/>
              </w:rPr>
              <w:t>Canonical control</w:t>
            </w:r>
          </w:p>
        </w:tc>
        <w:tc>
          <w:tcPr>
            <w:tcW w:type="dxa" w:w="3120"/>
            <w:shd w:fill="FAF8F6"/>
          </w:tcPr>
          <w:p>
            <w:pPr>
              <w:spacing w:after="40"/>
            </w:pPr>
            <w:r>
              <w:rPr>
                <w:color w:val="171717"/>
                <w:sz w:val="16"/>
              </w:rPr>
              <w:t>PASS</w:t>
            </w:r>
          </w:p>
        </w:tc>
        <w:tc>
          <w:tcPr>
            <w:tcW w:type="dxa" w:w="3120"/>
            <w:shd w:fill="FAF8F6"/>
          </w:tcPr>
          <w:p>
            <w:pPr>
              <w:spacing w:after="40"/>
            </w:pPr>
            <w:r>
              <w:rPr>
                <w:color w:val="171717"/>
                <w:sz w:val="16"/>
              </w:rPr>
              <w:t>CEO ratification is recorded.</w:t>
            </w:r>
          </w:p>
        </w:tc>
      </w:tr>
      <w:tr>
        <w:trPr>
          <w:cantSplit/>
        </w:trPr>
        <w:tc>
          <w:tcPr>
            <w:tcW w:type="dxa" w:w="3120"/>
          </w:tcPr>
          <w:p>
            <w:pPr>
              <w:spacing w:after="40"/>
            </w:pPr>
            <w:r>
              <w:rPr>
                <w:color w:val="171717"/>
                <w:sz w:val="16"/>
              </w:rPr>
              <w:t>Traceability design</w:t>
            </w:r>
          </w:p>
        </w:tc>
        <w:tc>
          <w:tcPr>
            <w:tcW w:type="dxa" w:w="3120"/>
          </w:tcPr>
          <w:p>
            <w:pPr>
              <w:spacing w:after="40"/>
            </w:pPr>
            <w:r>
              <w:rPr>
                <w:color w:val="171717"/>
                <w:sz w:val="16"/>
              </w:rPr>
              <w:t>PASS</w:t>
            </w:r>
          </w:p>
        </w:tc>
        <w:tc>
          <w:tcPr>
            <w:tcW w:type="dxa" w:w="3120"/>
          </w:tcPr>
          <w:p>
            <w:pPr>
              <w:spacing w:after="40"/>
            </w:pPr>
            <w:r>
              <w:rPr>
                <w:color w:val="171717"/>
                <w:sz w:val="16"/>
              </w:rPr>
              <w:t>1,900 doctrine records have explicit OS and Academy destinations.</w:t>
            </w:r>
          </w:p>
        </w:tc>
      </w:tr>
      <w:tr>
        <w:trPr>
          <w:cantSplit/>
        </w:trPr>
        <w:tc>
          <w:tcPr>
            <w:tcW w:type="dxa" w:w="3120"/>
            <w:shd w:fill="FAF8F6"/>
          </w:tcPr>
          <w:p>
            <w:pPr>
              <w:spacing w:after="40"/>
            </w:pPr>
            <w:r>
              <w:rPr>
                <w:color w:val="171717"/>
                <w:sz w:val="16"/>
              </w:rPr>
              <w:t>Specialist/legal authority</w:t>
            </w:r>
          </w:p>
        </w:tc>
        <w:tc>
          <w:tcPr>
            <w:tcW w:type="dxa" w:w="3120"/>
            <w:shd w:fill="FAF8F6"/>
          </w:tcPr>
          <w:p>
            <w:pPr>
              <w:spacing w:after="40"/>
            </w:pPr>
            <w:r>
              <w:rPr>
                <w:color w:val="171717"/>
                <w:sz w:val="16"/>
              </w:rPr>
              <w:t>BLOCKED</w:t>
            </w:r>
          </w:p>
        </w:tc>
        <w:tc>
          <w:tcPr>
            <w:tcW w:type="dxa" w:w="3120"/>
            <w:shd w:fill="FAF8F6"/>
          </w:tcPr>
          <w:p>
            <w:pPr>
              <w:spacing w:after="40"/>
            </w:pPr>
            <w:r>
              <w:rPr>
                <w:color w:val="171717"/>
                <w:sz w:val="16"/>
              </w:rPr>
              <w:t>Required registers, policies and DPIA decisions are absent.</w:t>
            </w:r>
          </w:p>
        </w:tc>
      </w:tr>
      <w:tr>
        <w:trPr>
          <w:cantSplit/>
        </w:trPr>
        <w:tc>
          <w:tcPr>
            <w:tcW w:type="dxa" w:w="3120"/>
          </w:tcPr>
          <w:p>
            <w:pPr>
              <w:spacing w:after="40"/>
            </w:pPr>
            <w:r>
              <w:rPr>
                <w:color w:val="171717"/>
                <w:sz w:val="16"/>
              </w:rPr>
              <w:t>OS implementation evidence</w:t>
            </w:r>
          </w:p>
        </w:tc>
        <w:tc>
          <w:tcPr>
            <w:tcW w:type="dxa" w:w="3120"/>
          </w:tcPr>
          <w:p>
            <w:pPr>
              <w:spacing w:after="40"/>
            </w:pPr>
            <w:r>
              <w:rPr>
                <w:color w:val="171717"/>
                <w:sz w:val="16"/>
              </w:rPr>
              <w:t>NOT TESTED</w:t>
            </w:r>
          </w:p>
        </w:tc>
        <w:tc>
          <w:tcPr>
            <w:tcW w:type="dxa" w:w="3120"/>
          </w:tcPr>
          <w:p>
            <w:pPr>
              <w:spacing w:after="40"/>
            </w:pPr>
            <w:r>
              <w:rPr>
                <w:color w:val="171717"/>
                <w:sz w:val="16"/>
              </w:rPr>
              <w:t>The clean repo has not yet produced acceptance evidence against this register.</w:t>
            </w:r>
          </w:p>
        </w:tc>
      </w:tr>
      <w:tr>
        <w:trPr>
          <w:cantSplit/>
        </w:trPr>
        <w:tc>
          <w:tcPr>
            <w:tcW w:type="dxa" w:w="3120"/>
            <w:shd w:fill="FAF8F6"/>
          </w:tcPr>
          <w:p>
            <w:pPr>
              <w:spacing w:after="40"/>
            </w:pPr>
            <w:r>
              <w:rPr>
                <w:color w:val="171717"/>
                <w:sz w:val="16"/>
              </w:rPr>
              <w:t>Academy content completeness</w:t>
            </w:r>
          </w:p>
        </w:tc>
        <w:tc>
          <w:tcPr>
            <w:tcW w:type="dxa" w:w="3120"/>
            <w:shd w:fill="FAF8F6"/>
          </w:tcPr>
          <w:p>
            <w:pPr>
              <w:spacing w:after="40"/>
            </w:pPr>
            <w:r>
              <w:rPr>
                <w:color w:val="171717"/>
                <w:sz w:val="16"/>
              </w:rPr>
              <w:t>NOT COMPLETE</w:t>
            </w:r>
          </w:p>
        </w:tc>
        <w:tc>
          <w:tcPr>
            <w:tcW w:type="dxa" w:w="3120"/>
            <w:shd w:fill="FAF8F6"/>
          </w:tcPr>
          <w:p>
            <w:pPr>
              <w:spacing w:after="40"/>
            </w:pPr>
            <w:r>
              <w:rPr>
                <w:color w:val="171717"/>
                <w:sz w:val="16"/>
              </w:rPr>
              <w:t>The courseware and assessment corpus remain to be produced.</w:t>
            </w:r>
          </w:p>
        </w:tc>
      </w:tr>
      <w:tr>
        <w:trPr>
          <w:cantSplit/>
        </w:trPr>
        <w:tc>
          <w:tcPr>
            <w:tcW w:type="dxa" w:w="3120"/>
          </w:tcPr>
          <w:p>
            <w:pPr>
              <w:spacing w:after="40"/>
            </w:pPr>
            <w:r>
              <w:rPr>
                <w:color w:val="171717"/>
                <w:sz w:val="16"/>
              </w:rPr>
              <w:t>Integration acceptance</w:t>
            </w:r>
          </w:p>
        </w:tc>
        <w:tc>
          <w:tcPr>
            <w:tcW w:type="dxa" w:w="3120"/>
          </w:tcPr>
          <w:p>
            <w:pPr>
              <w:spacing w:after="40"/>
            </w:pPr>
            <w:r>
              <w:rPr>
                <w:color w:val="171717"/>
                <w:sz w:val="16"/>
              </w:rPr>
              <w:t>NOT TESTED</w:t>
            </w:r>
          </w:p>
        </w:tc>
        <w:tc>
          <w:tcPr>
            <w:tcW w:type="dxa" w:w="3120"/>
          </w:tcPr>
          <w:p>
            <w:pPr>
              <w:spacing w:after="40"/>
            </w:pPr>
            <w:r>
              <w:rPr>
                <w:color w:val="171717"/>
                <w:sz w:val="16"/>
              </w:rPr>
              <w:t>End-to-end enforcement is not yet built and evidenced.</w:t>
            </w:r>
          </w:p>
        </w:tc>
      </w:tr>
      <w:tr>
        <w:trPr>
          <w:cantSplit/>
        </w:trPr>
        <w:tc>
          <w:tcPr>
            <w:tcW w:type="dxa" w:w="3120"/>
            <w:shd w:fill="FAF8F6"/>
          </w:tcPr>
          <w:p>
            <w:pPr>
              <w:spacing w:after="40"/>
            </w:pPr>
            <w:r>
              <w:rPr>
                <w:color w:val="171717"/>
                <w:sz w:val="16"/>
              </w:rPr>
              <w:t>Operational/live validation</w:t>
            </w:r>
          </w:p>
        </w:tc>
        <w:tc>
          <w:tcPr>
            <w:tcW w:type="dxa" w:w="3120"/>
            <w:shd w:fill="FAF8F6"/>
          </w:tcPr>
          <w:p>
            <w:pPr>
              <w:spacing w:after="40"/>
            </w:pPr>
            <w:r>
              <w:rPr>
                <w:color w:val="171717"/>
                <w:sz w:val="16"/>
              </w:rPr>
              <w:t>BLOCKED</w:t>
            </w:r>
          </w:p>
        </w:tc>
        <w:tc>
          <w:tcPr>
            <w:tcW w:type="dxa" w:w="3120"/>
            <w:shd w:fill="FAF8F6"/>
          </w:tcPr>
          <w:p>
            <w:pPr>
              <w:spacing w:after="40"/>
            </w:pPr>
            <w:r>
              <w:rPr>
                <w:color w:val="171717"/>
                <w:sz w:val="16"/>
              </w:rPr>
              <w:t>No production event has validated thresholds and workload.</w:t>
            </w:r>
          </w:p>
        </w:tc>
      </w:tr>
      <w:tr>
        <w:trPr>
          <w:cantSplit/>
        </w:trPr>
        <w:tc>
          <w:tcPr>
            <w:tcW w:type="dxa" w:w="3120"/>
          </w:tcPr>
          <w:p>
            <w:pPr>
              <w:spacing w:after="40"/>
            </w:pPr>
            <w:r>
              <w:rPr>
                <w:color w:val="171717"/>
                <w:sz w:val="16"/>
              </w:rPr>
              <w:t>Governed AI</w:t>
            </w:r>
          </w:p>
        </w:tc>
        <w:tc>
          <w:tcPr>
            <w:tcW w:type="dxa" w:w="3120"/>
          </w:tcPr>
          <w:p>
            <w:pPr>
              <w:spacing w:after="40"/>
            </w:pPr>
            <w:r>
              <w:rPr>
                <w:color w:val="171717"/>
                <w:sz w:val="16"/>
              </w:rPr>
              <w:t>BLOCKED</w:t>
            </w:r>
          </w:p>
        </w:tc>
        <w:tc>
          <w:tcPr>
            <w:tcW w:type="dxa" w:w="3120"/>
          </w:tcPr>
          <w:p>
            <w:pPr>
              <w:spacing w:after="40"/>
            </w:pPr>
            <w:r>
              <w:rPr>
                <w:color w:val="171717"/>
                <w:sz w:val="16"/>
              </w:rPr>
              <w:t>Shadow-mode evidence and CEO production authority are absent.</w:t>
            </w:r>
          </w:p>
        </w:tc>
      </w:tr>
      <w:tr>
        <w:trPr>
          <w:cantSplit/>
        </w:trPr>
        <w:tc>
          <w:tcPr>
            <w:tcW w:type="dxa" w:w="3120"/>
            <w:shd w:fill="FAF8F6"/>
          </w:tcPr>
          <w:p>
            <w:pPr>
              <w:spacing w:after="40"/>
            </w:pPr>
            <w:r>
              <w:rPr>
                <w:color w:val="171717"/>
                <w:sz w:val="16"/>
              </w:rPr>
              <w:t>Overall knowledge-complete release</w:t>
            </w:r>
          </w:p>
        </w:tc>
        <w:tc>
          <w:tcPr>
            <w:tcW w:type="dxa" w:w="3120"/>
            <w:shd w:fill="FAF8F6"/>
          </w:tcPr>
          <w:p>
            <w:pPr>
              <w:spacing w:after="40"/>
            </w:pPr>
            <w:r>
              <w:rPr>
                <w:color w:val="171717"/>
                <w:sz w:val="16"/>
              </w:rPr>
              <w:t>NOT ELIGIBLE</w:t>
            </w:r>
          </w:p>
        </w:tc>
        <w:tc>
          <w:tcPr>
            <w:tcW w:type="dxa" w:w="3120"/>
            <w:shd w:fill="FAF8F6"/>
          </w:tcPr>
          <w:p>
            <w:pPr>
              <w:spacing w:after="40"/>
            </w:pPr>
            <w:r>
              <w:rPr>
                <w:color w:val="171717"/>
                <w:sz w:val="16"/>
              </w:rPr>
              <w:t>Blocking gates remain open.</w:t>
            </w:r>
          </w:p>
        </w:tc>
      </w:tr>
    </w:tbl>
    <w:p>
      <w:pPr>
        <w:spacing w:after="20"/>
      </w:pPr>
    </w:p>
    <w:p>
      <w:pPr>
        <w:pStyle w:val="Heading1"/>
        <w:keepNext/>
      </w:pPr>
      <w:r>
        <w:t>Controlled remediation plan</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936"/>
            <w:tcMar>
              <w:top w:w="80" w:type="dxa"/>
              <w:start w:w="120" w:type="dxa"/>
              <w:bottom w:w="80" w:type="dxa"/>
              <w:end w:w="120" w:type="dxa"/>
            </w:tcMar>
            <w:vAlign w:val="top"/>
            <w:shd w:fill="B79F85"/>
          </w:tcPr>
          <w:p>
            <w:r>
              <w:rPr>
                <w:b/>
                <w:color w:val="171717"/>
                <w:sz w:val="14"/>
              </w:rPr>
              <w:t>ID</w:t>
            </w:r>
          </w:p>
        </w:tc>
        <w:tc>
          <w:tcPr>
            <w:tcW w:type="dxa" w:w="2520"/>
            <w:tcMar>
              <w:top w:w="80" w:type="dxa"/>
              <w:start w:w="120" w:type="dxa"/>
              <w:bottom w:w="80" w:type="dxa"/>
              <w:end w:w="120" w:type="dxa"/>
            </w:tcMar>
            <w:vAlign w:val="top"/>
            <w:shd w:fill="B79F85"/>
          </w:tcPr>
          <w:p>
            <w:r>
              <w:rPr>
                <w:b/>
                <w:color w:val="171717"/>
                <w:sz w:val="14"/>
              </w:rPr>
              <w:t>Action</w:t>
            </w:r>
          </w:p>
        </w:tc>
        <w:tc>
          <w:tcPr>
            <w:tcW w:type="dxa" w:w="648"/>
            <w:tcMar>
              <w:top w:w="80" w:type="dxa"/>
              <w:start w:w="120" w:type="dxa"/>
              <w:bottom w:w="80" w:type="dxa"/>
              <w:end w:w="120" w:type="dxa"/>
            </w:tcMar>
            <w:vAlign w:val="top"/>
            <w:shd w:fill="B79F85"/>
          </w:tcPr>
          <w:p>
            <w:r>
              <w:rPr>
                <w:b/>
                <w:color w:val="171717"/>
                <w:sz w:val="14"/>
              </w:rPr>
              <w:t>Priority</w:t>
            </w:r>
          </w:p>
        </w:tc>
        <w:tc>
          <w:tcPr>
            <w:tcW w:type="dxa" w:w="1944"/>
            <w:tcMar>
              <w:top w:w="80" w:type="dxa"/>
              <w:start w:w="120" w:type="dxa"/>
              <w:bottom w:w="80" w:type="dxa"/>
              <w:end w:w="120" w:type="dxa"/>
            </w:tcMar>
            <w:vAlign w:val="top"/>
            <w:shd w:fill="B79F85"/>
          </w:tcPr>
          <w:p>
            <w:r>
              <w:rPr>
                <w:b/>
                <w:color w:val="171717"/>
                <w:sz w:val="14"/>
              </w:rPr>
              <w:t>Owner</w:t>
            </w:r>
          </w:p>
        </w:tc>
        <w:tc>
          <w:tcPr>
            <w:tcW w:type="dxa" w:w="1728"/>
            <w:tcMar>
              <w:top w:w="80" w:type="dxa"/>
              <w:start w:w="120" w:type="dxa"/>
              <w:bottom w:w="80" w:type="dxa"/>
              <w:end w:w="120" w:type="dxa"/>
            </w:tcMar>
            <w:vAlign w:val="top"/>
            <w:shd w:fill="B79F85"/>
          </w:tcPr>
          <w:p>
            <w:r>
              <w:rPr>
                <w:b/>
                <w:color w:val="171717"/>
                <w:sz w:val="14"/>
              </w:rPr>
              <w:t>Current state</w:t>
            </w:r>
          </w:p>
        </w:tc>
        <w:tc>
          <w:tcPr>
            <w:tcW w:type="dxa" w:w="1584"/>
            <w:tcMar>
              <w:top w:w="80" w:type="dxa"/>
              <w:start w:w="120" w:type="dxa"/>
              <w:bottom w:w="80" w:type="dxa"/>
              <w:end w:w="120" w:type="dxa"/>
            </w:tcMar>
            <w:vAlign w:val="top"/>
            <w:shd w:fill="B79F85"/>
          </w:tcPr>
          <w:p>
            <w:r>
              <w:rPr>
                <w:b/>
                <w:color w:val="171717"/>
                <w:sz w:val="14"/>
              </w:rPr>
              <w:t>Acceptance evidence</w:t>
            </w:r>
          </w:p>
        </w:tc>
      </w:tr>
      <w:tr>
        <w:trPr>
          <w:cantSplit/>
        </w:trPr>
        <w:tc>
          <w:tcPr>
            <w:tcW w:type="dxa" w:w="1560"/>
            <w:shd w:fill="FAF8F6"/>
          </w:tcPr>
          <w:p>
            <w:pPr>
              <w:spacing w:after="40"/>
            </w:pPr>
            <w:r>
              <w:rPr>
                <w:color w:val="171717"/>
                <w:sz w:val="14"/>
              </w:rPr>
              <w:t>KIR-001</w:t>
            </w:r>
          </w:p>
        </w:tc>
        <w:tc>
          <w:tcPr>
            <w:tcW w:type="dxa" w:w="1560"/>
            <w:shd w:fill="FAF8F6"/>
          </w:tcPr>
          <w:p>
            <w:pPr>
              <w:spacing w:after="40"/>
            </w:pPr>
            <w:r>
              <w:rPr>
                <w:color w:val="171717"/>
                <w:sz w:val="14"/>
              </w:rPr>
              <w:t>Freeze canonical doctrine identifiers</w:t>
            </w:r>
          </w:p>
        </w:tc>
        <w:tc>
          <w:tcPr>
            <w:tcW w:type="dxa" w:w="1560"/>
            <w:shd w:fill="FAF8F6"/>
          </w:tcPr>
          <w:p>
            <w:pPr>
              <w:spacing w:after="40"/>
            </w:pPr>
            <w:r>
              <w:rPr>
                <w:color w:val="171717"/>
                <w:sz w:val="14"/>
              </w:rPr>
              <w:t>P0</w:t>
            </w:r>
          </w:p>
        </w:tc>
        <w:tc>
          <w:tcPr>
            <w:tcW w:type="dxa" w:w="1560"/>
            <w:shd w:fill="FAF8F6"/>
          </w:tcPr>
          <w:p>
            <w:pPr>
              <w:spacing w:after="40"/>
            </w:pPr>
            <w:r>
              <w:rPr>
                <w:color w:val="171717"/>
                <w:sz w:val="14"/>
              </w:rPr>
              <w:t>CEO + Knowledge Steward</w:t>
            </w:r>
          </w:p>
        </w:tc>
        <w:tc>
          <w:tcPr>
            <w:tcW w:type="dxa" w:w="1560"/>
            <w:shd w:fill="FAF8F6"/>
          </w:tcPr>
          <w:p>
            <w:pPr>
              <w:spacing w:after="40"/>
            </w:pPr>
            <w:r>
              <w:rPr>
                <w:color w:val="171717"/>
                <w:sz w:val="14"/>
              </w:rPr>
              <w:t>Completed in this pack</w:t>
            </w:r>
          </w:p>
        </w:tc>
        <w:tc>
          <w:tcPr>
            <w:tcW w:type="dxa" w:w="1560"/>
            <w:shd w:fill="FAF8F6"/>
          </w:tcPr>
          <w:p>
            <w:pPr>
              <w:spacing w:after="40"/>
            </w:pPr>
            <w:r>
              <w:rPr>
                <w:color w:val="171717"/>
                <w:sz w:val="14"/>
              </w:rPr>
              <w:t>Every substantive handbook H2 section has a permanent MD-Dxx-xxx ID.</w:t>
            </w:r>
          </w:p>
        </w:tc>
      </w:tr>
      <w:tr>
        <w:trPr>
          <w:cantSplit/>
        </w:trPr>
        <w:tc>
          <w:tcPr>
            <w:tcW w:type="dxa" w:w="1560"/>
          </w:tcPr>
          <w:p>
            <w:pPr>
              <w:spacing w:after="40"/>
            </w:pPr>
            <w:r>
              <w:rPr>
                <w:color w:val="171717"/>
                <w:sz w:val="14"/>
              </w:rPr>
              <w:t>KIR-002</w:t>
            </w:r>
          </w:p>
        </w:tc>
        <w:tc>
          <w:tcPr>
            <w:tcW w:type="dxa" w:w="1560"/>
          </w:tcPr>
          <w:p>
            <w:pPr>
              <w:spacing w:after="40"/>
            </w:pPr>
            <w:r>
              <w:rPr>
                <w:color w:val="171717"/>
                <w:sz w:val="14"/>
              </w:rPr>
              <w:t>Build three-way traceability register</w:t>
            </w:r>
          </w:p>
        </w:tc>
        <w:tc>
          <w:tcPr>
            <w:tcW w:type="dxa" w:w="1560"/>
          </w:tcPr>
          <w:p>
            <w:pPr>
              <w:spacing w:after="40"/>
            </w:pPr>
            <w:r>
              <w:rPr>
                <w:color w:val="171717"/>
                <w:sz w:val="14"/>
              </w:rPr>
              <w:t>P0</w:t>
            </w:r>
          </w:p>
        </w:tc>
        <w:tc>
          <w:tcPr>
            <w:tcW w:type="dxa" w:w="1560"/>
          </w:tcPr>
          <w:p>
            <w:pPr>
              <w:spacing w:after="40"/>
            </w:pPr>
            <w:r>
              <w:rPr>
                <w:color w:val="171717"/>
                <w:sz w:val="14"/>
              </w:rPr>
              <w:t>Knowledge Steward</w:t>
            </w:r>
          </w:p>
        </w:tc>
        <w:tc>
          <w:tcPr>
            <w:tcW w:type="dxa" w:w="1560"/>
          </w:tcPr>
          <w:p>
            <w:pPr>
              <w:spacing w:after="40"/>
            </w:pPr>
            <w:r>
              <w:rPr>
                <w:color w:val="171717"/>
                <w:sz w:val="14"/>
              </w:rPr>
              <w:t>Completed in this pack</w:t>
            </w:r>
          </w:p>
        </w:tc>
        <w:tc>
          <w:tcPr>
            <w:tcW w:type="dxa" w:w="1560"/>
          </w:tcPr>
          <w:p>
            <w:pPr>
              <w:spacing w:after="40"/>
            </w:pPr>
            <w:r>
              <w:rPr>
                <w:color w:val="171717"/>
                <w:sz w:val="14"/>
              </w:rPr>
              <w:t>100% of doctrine IDs have OS and Academy dispositions.</w:t>
            </w:r>
          </w:p>
        </w:tc>
      </w:tr>
      <w:tr>
        <w:trPr>
          <w:cantSplit/>
        </w:trPr>
        <w:tc>
          <w:tcPr>
            <w:tcW w:type="dxa" w:w="1560"/>
            <w:shd w:fill="FAF8F6"/>
          </w:tcPr>
          <w:p>
            <w:pPr>
              <w:spacing w:after="40"/>
            </w:pPr>
            <w:r>
              <w:rPr>
                <w:color w:val="171717"/>
                <w:sz w:val="14"/>
              </w:rPr>
              <w:t>KIR-003</w:t>
            </w:r>
          </w:p>
        </w:tc>
        <w:tc>
          <w:tcPr>
            <w:tcW w:type="dxa" w:w="1560"/>
            <w:shd w:fill="FAF8F6"/>
          </w:tcPr>
          <w:p>
            <w:pPr>
              <w:spacing w:after="40"/>
            </w:pPr>
            <w:r>
              <w:rPr>
                <w:color w:val="171717"/>
                <w:sz w:val="14"/>
              </w:rPr>
              <w:t>Resolve protocol and cultural authority</w:t>
            </w:r>
          </w:p>
        </w:tc>
        <w:tc>
          <w:tcPr>
            <w:tcW w:type="dxa" w:w="1560"/>
            <w:shd w:fill="FAF8F6"/>
          </w:tcPr>
          <w:p>
            <w:pPr>
              <w:spacing w:after="40"/>
            </w:pPr>
            <w:r>
              <w:rPr>
                <w:color w:val="171717"/>
                <w:sz w:val="14"/>
              </w:rPr>
              <w:t>P0</w:t>
            </w:r>
          </w:p>
        </w:tc>
        <w:tc>
          <w:tcPr>
            <w:tcW w:type="dxa" w:w="1560"/>
            <w:shd w:fill="FAF8F6"/>
          </w:tcPr>
          <w:p>
            <w:pPr>
              <w:spacing w:after="40"/>
            </w:pPr>
            <w:r>
              <w:rPr>
                <w:color w:val="171717"/>
                <w:sz w:val="14"/>
              </w:rPr>
              <w:t>CEO + appointed authorities</w:t>
            </w:r>
          </w:p>
        </w:tc>
        <w:tc>
          <w:tcPr>
            <w:tcW w:type="dxa" w:w="1560"/>
            <w:shd w:fill="FAF8F6"/>
          </w:tcPr>
          <w:p>
            <w:pPr>
              <w:spacing w:after="40"/>
            </w:pPr>
            <w:r>
              <w:rPr>
                <w:color w:val="171717"/>
                <w:sz w:val="14"/>
              </w:rPr>
              <w:t>Blocked—external authority</w:t>
            </w:r>
          </w:p>
        </w:tc>
        <w:tc>
          <w:tcPr>
            <w:tcW w:type="dxa" w:w="1560"/>
            <w:shd w:fill="FAF8F6"/>
          </w:tcPr>
          <w:p>
            <w:pPr>
              <w:spacing w:after="40"/>
            </w:pPr>
            <w:r>
              <w:rPr>
                <w:color w:val="171717"/>
                <w:sz w:val="14"/>
              </w:rPr>
              <w:t>Approved, sourced, dated, scoped and expiring registers.</w:t>
            </w:r>
          </w:p>
        </w:tc>
      </w:tr>
      <w:tr>
        <w:trPr>
          <w:cantSplit/>
        </w:trPr>
        <w:tc>
          <w:tcPr>
            <w:tcW w:type="dxa" w:w="1560"/>
          </w:tcPr>
          <w:p>
            <w:pPr>
              <w:spacing w:after="40"/>
            </w:pPr>
            <w:r>
              <w:rPr>
                <w:color w:val="171717"/>
                <w:sz w:val="14"/>
              </w:rPr>
              <w:t>KIR-004</w:t>
            </w:r>
          </w:p>
        </w:tc>
        <w:tc>
          <w:tcPr>
            <w:tcW w:type="dxa" w:w="1560"/>
          </w:tcPr>
          <w:p>
            <w:pPr>
              <w:spacing w:after="40"/>
            </w:pPr>
            <w:r>
              <w:rPr>
                <w:color w:val="171717"/>
                <w:sz w:val="14"/>
              </w:rPr>
              <w:t>Resolve privacy, biometrics and retention</w:t>
            </w:r>
          </w:p>
        </w:tc>
        <w:tc>
          <w:tcPr>
            <w:tcW w:type="dxa" w:w="1560"/>
          </w:tcPr>
          <w:p>
            <w:pPr>
              <w:spacing w:after="40"/>
            </w:pPr>
            <w:r>
              <w:rPr>
                <w:color w:val="171717"/>
                <w:sz w:val="14"/>
              </w:rPr>
              <w:t>P0</w:t>
            </w:r>
          </w:p>
        </w:tc>
        <w:tc>
          <w:tcPr>
            <w:tcW w:type="dxa" w:w="1560"/>
          </w:tcPr>
          <w:p>
            <w:pPr>
              <w:spacing w:after="40"/>
            </w:pPr>
            <w:r>
              <w:rPr>
                <w:color w:val="171717"/>
                <w:sz w:val="14"/>
              </w:rPr>
              <w:t>CEO + Legal/Privacy Lead</w:t>
            </w:r>
          </w:p>
        </w:tc>
        <w:tc>
          <w:tcPr>
            <w:tcW w:type="dxa" w:w="1560"/>
          </w:tcPr>
          <w:p>
            <w:pPr>
              <w:spacing w:after="40"/>
            </w:pPr>
            <w:r>
              <w:rPr>
                <w:color w:val="171717"/>
                <w:sz w:val="14"/>
              </w:rPr>
              <w:t>Blocked—legal decision</w:t>
            </w:r>
          </w:p>
        </w:tc>
        <w:tc>
          <w:tcPr>
            <w:tcW w:type="dxa" w:w="1560"/>
          </w:tcPr>
          <w:p>
            <w:pPr>
              <w:spacing w:after="40"/>
            </w:pPr>
            <w:r>
              <w:rPr>
                <w:color w:val="171717"/>
                <w:sz w:val="14"/>
              </w:rPr>
              <w:t>Approved DPIA/policies and enforcement tests.</w:t>
            </w:r>
          </w:p>
        </w:tc>
      </w:tr>
      <w:tr>
        <w:trPr>
          <w:cantSplit/>
        </w:trPr>
        <w:tc>
          <w:tcPr>
            <w:tcW w:type="dxa" w:w="1560"/>
            <w:shd w:fill="FAF8F6"/>
          </w:tcPr>
          <w:p>
            <w:pPr>
              <w:spacing w:after="40"/>
            </w:pPr>
            <w:r>
              <w:rPr>
                <w:color w:val="171717"/>
                <w:sz w:val="14"/>
              </w:rPr>
              <w:t>KIR-005</w:t>
            </w:r>
          </w:p>
        </w:tc>
        <w:tc>
          <w:tcPr>
            <w:tcW w:type="dxa" w:w="1560"/>
            <w:shd w:fill="FAF8F6"/>
          </w:tcPr>
          <w:p>
            <w:pPr>
              <w:spacing w:after="40"/>
            </w:pPr>
            <w:r>
              <w:rPr>
                <w:color w:val="171717"/>
                <w:sz w:val="14"/>
              </w:rPr>
              <w:t>Finish staffing policy controls</w:t>
            </w:r>
          </w:p>
        </w:tc>
        <w:tc>
          <w:tcPr>
            <w:tcW w:type="dxa" w:w="1560"/>
            <w:shd w:fill="FAF8F6"/>
          </w:tcPr>
          <w:p>
            <w:pPr>
              <w:spacing w:after="40"/>
            </w:pPr>
            <w:r>
              <w:rPr>
                <w:color w:val="171717"/>
                <w:sz w:val="14"/>
              </w:rPr>
              <w:t>P0</w:t>
            </w:r>
          </w:p>
        </w:tc>
        <w:tc>
          <w:tcPr>
            <w:tcW w:type="dxa" w:w="1560"/>
            <w:shd w:fill="FAF8F6"/>
          </w:tcPr>
          <w:p>
            <w:pPr>
              <w:spacing w:after="40"/>
            </w:pPr>
            <w:r>
              <w:rPr>
                <w:color w:val="171717"/>
                <w:sz w:val="14"/>
              </w:rPr>
              <w:t>CEO + People/Legal</w:t>
            </w:r>
          </w:p>
        </w:tc>
        <w:tc>
          <w:tcPr>
            <w:tcW w:type="dxa" w:w="1560"/>
            <w:shd w:fill="FAF8F6"/>
          </w:tcPr>
          <w:p>
            <w:pPr>
              <w:spacing w:after="40"/>
            </w:pPr>
            <w:r>
              <w:rPr>
                <w:color w:val="171717"/>
                <w:sz w:val="14"/>
              </w:rPr>
              <w:t>Blocked—policy approval</w:t>
            </w:r>
          </w:p>
        </w:tc>
        <w:tc>
          <w:tcPr>
            <w:tcW w:type="dxa" w:w="1560"/>
            <w:shd w:fill="FAF8F6"/>
          </w:tcPr>
          <w:p>
            <w:pPr>
              <w:spacing w:after="40"/>
            </w:pPr>
            <w:r>
              <w:rPr>
                <w:color w:val="171717"/>
                <w:sz w:val="14"/>
              </w:rPr>
              <w:t>Vetting, discipline, safeguarding and deployment policy.</w:t>
            </w:r>
          </w:p>
        </w:tc>
      </w:tr>
      <w:tr>
        <w:trPr>
          <w:cantSplit/>
        </w:trPr>
        <w:tc>
          <w:tcPr>
            <w:tcW w:type="dxa" w:w="1560"/>
          </w:tcPr>
          <w:p>
            <w:pPr>
              <w:spacing w:after="40"/>
            </w:pPr>
            <w:r>
              <w:rPr>
                <w:color w:val="171717"/>
                <w:sz w:val="14"/>
              </w:rPr>
              <w:t>KIR-006</w:t>
            </w:r>
          </w:p>
        </w:tc>
        <w:tc>
          <w:tcPr>
            <w:tcW w:type="dxa" w:w="1560"/>
          </w:tcPr>
          <w:p>
            <w:pPr>
              <w:spacing w:after="40"/>
            </w:pPr>
            <w:r>
              <w:rPr>
                <w:color w:val="171717"/>
                <w:sz w:val="14"/>
              </w:rPr>
              <w:t>Keep AI production blocked until evidence</w:t>
            </w:r>
          </w:p>
        </w:tc>
        <w:tc>
          <w:tcPr>
            <w:tcW w:type="dxa" w:w="1560"/>
          </w:tcPr>
          <w:p>
            <w:pPr>
              <w:spacing w:after="40"/>
            </w:pPr>
            <w:r>
              <w:rPr>
                <w:color w:val="171717"/>
                <w:sz w:val="14"/>
              </w:rPr>
              <w:t>P0</w:t>
            </w:r>
          </w:p>
        </w:tc>
        <w:tc>
          <w:tcPr>
            <w:tcW w:type="dxa" w:w="1560"/>
          </w:tcPr>
          <w:p>
            <w:pPr>
              <w:spacing w:after="40"/>
            </w:pPr>
            <w:r>
              <w:rPr>
                <w:color w:val="171717"/>
                <w:sz w:val="14"/>
              </w:rPr>
              <w:t>CTO + Intelligence Lead</w:t>
            </w:r>
          </w:p>
        </w:tc>
        <w:tc>
          <w:tcPr>
            <w:tcW w:type="dxa" w:w="1560"/>
          </w:tcPr>
          <w:p>
            <w:pPr>
              <w:spacing w:after="40"/>
            </w:pPr>
            <w:r>
              <w:rPr>
                <w:color w:val="171717"/>
                <w:sz w:val="14"/>
              </w:rPr>
              <w:t>Control specified; build pending</w:t>
            </w:r>
          </w:p>
        </w:tc>
        <w:tc>
          <w:tcPr>
            <w:tcW w:type="dxa" w:w="1560"/>
          </w:tcPr>
          <w:p>
            <w:pPr>
              <w:spacing w:after="40"/>
            </w:pPr>
            <w:r>
              <w:rPr>
                <w:color w:val="171717"/>
                <w:sz w:val="14"/>
              </w:rPr>
              <w:t>Shadow harness, divergence results and CEO gate.</w:t>
            </w:r>
          </w:p>
        </w:tc>
      </w:tr>
      <w:tr>
        <w:trPr>
          <w:cantSplit/>
        </w:trPr>
        <w:tc>
          <w:tcPr>
            <w:tcW w:type="dxa" w:w="1560"/>
            <w:shd w:fill="FAF8F6"/>
          </w:tcPr>
          <w:p>
            <w:pPr>
              <w:spacing w:after="40"/>
            </w:pPr>
            <w:r>
              <w:rPr>
                <w:color w:val="171717"/>
                <w:sz w:val="14"/>
              </w:rPr>
              <w:t>KIR-007</w:t>
            </w:r>
          </w:p>
        </w:tc>
        <w:tc>
          <w:tcPr>
            <w:tcW w:type="dxa" w:w="1560"/>
            <w:shd w:fill="FAF8F6"/>
          </w:tcPr>
          <w:p>
            <w:pPr>
              <w:spacing w:after="40"/>
            </w:pPr>
            <w:r>
              <w:rPr>
                <w:color w:val="171717"/>
                <w:sz w:val="14"/>
              </w:rPr>
              <w:t>Author full Academy lesson corpus</w:t>
            </w:r>
          </w:p>
        </w:tc>
        <w:tc>
          <w:tcPr>
            <w:tcW w:type="dxa" w:w="1560"/>
            <w:shd w:fill="FAF8F6"/>
          </w:tcPr>
          <w:p>
            <w:pPr>
              <w:spacing w:after="40"/>
            </w:pPr>
            <w:r>
              <w:rPr>
                <w:color w:val="171717"/>
                <w:sz w:val="14"/>
              </w:rPr>
              <w:t>P1</w:t>
            </w:r>
          </w:p>
        </w:tc>
        <w:tc>
          <w:tcPr>
            <w:tcW w:type="dxa" w:w="1560"/>
            <w:shd w:fill="FAF8F6"/>
          </w:tcPr>
          <w:p>
            <w:pPr>
              <w:spacing w:after="40"/>
            </w:pPr>
            <w:r>
              <w:rPr>
                <w:color w:val="171717"/>
                <w:sz w:val="14"/>
              </w:rPr>
              <w:t>Curriculum Lead</w:t>
            </w:r>
          </w:p>
        </w:tc>
        <w:tc>
          <w:tcPr>
            <w:tcW w:type="dxa" w:w="1560"/>
            <w:shd w:fill="FAF8F6"/>
          </w:tcPr>
          <w:p>
            <w:pPr>
              <w:spacing w:after="40"/>
            </w:pPr>
            <w:r>
              <w:rPr>
                <w:color w:val="171717"/>
                <w:sz w:val="14"/>
              </w:rPr>
              <w:t>Production pending</w:t>
            </w:r>
          </w:p>
        </w:tc>
        <w:tc>
          <w:tcPr>
            <w:tcW w:type="dxa" w:w="1560"/>
            <w:shd w:fill="FAF8F6"/>
          </w:tcPr>
          <w:p>
            <w:pPr>
              <w:spacing w:after="40"/>
            </w:pPr>
            <w:r>
              <w:rPr>
                <w:color w:val="171717"/>
                <w:sz w:val="14"/>
              </w:rPr>
              <w:t>Every mandatory competency has sufficient standalone teaching.</w:t>
            </w:r>
          </w:p>
        </w:tc>
      </w:tr>
      <w:tr>
        <w:trPr>
          <w:cantSplit/>
        </w:trPr>
        <w:tc>
          <w:tcPr>
            <w:tcW w:type="dxa" w:w="1560"/>
          </w:tcPr>
          <w:p>
            <w:pPr>
              <w:spacing w:after="40"/>
            </w:pPr>
            <w:r>
              <w:rPr>
                <w:color w:val="171717"/>
                <w:sz w:val="14"/>
              </w:rPr>
              <w:t>KIR-008</w:t>
            </w:r>
          </w:p>
        </w:tc>
        <w:tc>
          <w:tcPr>
            <w:tcW w:type="dxa" w:w="1560"/>
          </w:tcPr>
          <w:p>
            <w:pPr>
              <w:spacing w:after="40"/>
            </w:pPr>
            <w:r>
              <w:rPr>
                <w:color w:val="171717"/>
                <w:sz w:val="14"/>
              </w:rPr>
              <w:t>Produce assessment and scenario bank</w:t>
            </w:r>
          </w:p>
        </w:tc>
        <w:tc>
          <w:tcPr>
            <w:tcW w:type="dxa" w:w="1560"/>
          </w:tcPr>
          <w:p>
            <w:pPr>
              <w:spacing w:after="40"/>
            </w:pPr>
            <w:r>
              <w:rPr>
                <w:color w:val="171717"/>
                <w:sz w:val="14"/>
              </w:rPr>
              <w:t>P1</w:t>
            </w:r>
          </w:p>
        </w:tc>
        <w:tc>
          <w:tcPr>
            <w:tcW w:type="dxa" w:w="1560"/>
          </w:tcPr>
          <w:p>
            <w:pPr>
              <w:spacing w:after="40"/>
            </w:pPr>
            <w:r>
              <w:rPr>
                <w:color w:val="171717"/>
                <w:sz w:val="14"/>
              </w:rPr>
              <w:t>Assessment Lead</w:t>
            </w:r>
          </w:p>
        </w:tc>
        <w:tc>
          <w:tcPr>
            <w:tcW w:type="dxa" w:w="1560"/>
          </w:tcPr>
          <w:p>
            <w:pPr>
              <w:spacing w:after="40"/>
            </w:pPr>
            <w:r>
              <w:rPr>
                <w:color w:val="171717"/>
                <w:sz w:val="14"/>
              </w:rPr>
              <w:t>Production pending</w:t>
            </w:r>
          </w:p>
        </w:tc>
        <w:tc>
          <w:tcPr>
            <w:tcW w:type="dxa" w:w="1560"/>
          </w:tcPr>
          <w:p>
            <w:pPr>
              <w:spacing w:after="40"/>
            </w:pPr>
            <w:r>
              <w:rPr>
                <w:color w:val="171717"/>
                <w:sz w:val="14"/>
              </w:rPr>
              <w:t>Blueprint volumes, critical items and difficulty evidence met.</w:t>
            </w:r>
          </w:p>
        </w:tc>
      </w:tr>
      <w:tr>
        <w:trPr>
          <w:cantSplit/>
        </w:trPr>
        <w:tc>
          <w:tcPr>
            <w:tcW w:type="dxa" w:w="1560"/>
            <w:shd w:fill="FAF8F6"/>
          </w:tcPr>
          <w:p>
            <w:pPr>
              <w:spacing w:after="40"/>
            </w:pPr>
            <w:r>
              <w:rPr>
                <w:color w:val="171717"/>
                <w:sz w:val="14"/>
              </w:rPr>
              <w:t>KIR-009</w:t>
            </w:r>
          </w:p>
        </w:tc>
        <w:tc>
          <w:tcPr>
            <w:tcW w:type="dxa" w:w="1560"/>
            <w:shd w:fill="FAF8F6"/>
          </w:tcPr>
          <w:p>
            <w:pPr>
              <w:spacing w:after="40"/>
            </w:pPr>
            <w:r>
              <w:rPr>
                <w:color w:val="171717"/>
                <w:sz w:val="14"/>
              </w:rPr>
              <w:t>Produce role practicals and assessor calibration</w:t>
            </w:r>
          </w:p>
        </w:tc>
        <w:tc>
          <w:tcPr>
            <w:tcW w:type="dxa" w:w="1560"/>
            <w:shd w:fill="FAF8F6"/>
          </w:tcPr>
          <w:p>
            <w:pPr>
              <w:spacing w:after="40"/>
            </w:pPr>
            <w:r>
              <w:rPr>
                <w:color w:val="171717"/>
                <w:sz w:val="14"/>
              </w:rPr>
              <w:t>P1</w:t>
            </w:r>
          </w:p>
        </w:tc>
        <w:tc>
          <w:tcPr>
            <w:tcW w:type="dxa" w:w="1560"/>
            <w:shd w:fill="FAF8F6"/>
          </w:tcPr>
          <w:p>
            <w:pPr>
              <w:spacing w:after="40"/>
            </w:pPr>
            <w:r>
              <w:rPr>
                <w:color w:val="171717"/>
                <w:sz w:val="14"/>
              </w:rPr>
              <w:t>Assessment Lead + Operations</w:t>
            </w:r>
          </w:p>
        </w:tc>
        <w:tc>
          <w:tcPr>
            <w:tcW w:type="dxa" w:w="1560"/>
            <w:shd w:fill="FAF8F6"/>
          </w:tcPr>
          <w:p>
            <w:pPr>
              <w:spacing w:after="40"/>
            </w:pPr>
            <w:r>
              <w:rPr>
                <w:color w:val="171717"/>
                <w:sz w:val="14"/>
              </w:rPr>
              <w:t>Production pending</w:t>
            </w:r>
          </w:p>
        </w:tc>
        <w:tc>
          <w:tcPr>
            <w:tcW w:type="dxa" w:w="1560"/>
            <w:shd w:fill="FAF8F6"/>
          </w:tcPr>
          <w:p>
            <w:pPr>
              <w:spacing w:after="40"/>
            </w:pPr>
            <w:r>
              <w:rPr>
                <w:color w:val="171717"/>
                <w:sz w:val="14"/>
              </w:rPr>
              <w:t>Reliable role demonstrations and inter-rater evidence.</w:t>
            </w:r>
          </w:p>
        </w:tc>
      </w:tr>
      <w:tr>
        <w:trPr>
          <w:cantSplit/>
        </w:trPr>
        <w:tc>
          <w:tcPr>
            <w:tcW w:type="dxa" w:w="1560"/>
          </w:tcPr>
          <w:p>
            <w:pPr>
              <w:spacing w:after="40"/>
            </w:pPr>
            <w:r>
              <w:rPr>
                <w:color w:val="171717"/>
                <w:sz w:val="14"/>
              </w:rPr>
              <w:t>KIR-010</w:t>
            </w:r>
          </w:p>
        </w:tc>
        <w:tc>
          <w:tcPr>
            <w:tcW w:type="dxa" w:w="1560"/>
          </w:tcPr>
          <w:p>
            <w:pPr>
              <w:spacing w:after="40"/>
            </w:pPr>
            <w:r>
              <w:rPr>
                <w:color w:val="171717"/>
                <w:sz w:val="14"/>
              </w:rPr>
              <w:t>Validate OS thresholds and workload</w:t>
            </w:r>
          </w:p>
        </w:tc>
        <w:tc>
          <w:tcPr>
            <w:tcW w:type="dxa" w:w="1560"/>
          </w:tcPr>
          <w:p>
            <w:pPr>
              <w:spacing w:after="40"/>
            </w:pPr>
            <w:r>
              <w:rPr>
                <w:color w:val="171717"/>
                <w:sz w:val="14"/>
              </w:rPr>
              <w:t>P1</w:t>
            </w:r>
          </w:p>
        </w:tc>
        <w:tc>
          <w:tcPr>
            <w:tcW w:type="dxa" w:w="1560"/>
          </w:tcPr>
          <w:p>
            <w:pPr>
              <w:spacing w:after="40"/>
            </w:pPr>
            <w:r>
              <w:rPr>
                <w:color w:val="171717"/>
                <w:sz w:val="14"/>
              </w:rPr>
              <w:t>Event Director + CTO</w:t>
            </w:r>
          </w:p>
        </w:tc>
        <w:tc>
          <w:tcPr>
            <w:tcW w:type="dxa" w:w="1560"/>
          </w:tcPr>
          <w:p>
            <w:pPr>
              <w:spacing w:after="40"/>
            </w:pPr>
            <w:r>
              <w:rPr>
                <w:color w:val="171717"/>
                <w:sz w:val="14"/>
              </w:rPr>
              <w:t>No live-event evidence</w:t>
            </w:r>
          </w:p>
        </w:tc>
        <w:tc>
          <w:tcPr>
            <w:tcW w:type="dxa" w:w="1560"/>
          </w:tcPr>
          <w:p>
            <w:pPr>
              <w:spacing w:after="40"/>
            </w:pPr>
            <w:r>
              <w:rPr>
                <w:color w:val="171717"/>
                <w:sz w:val="14"/>
              </w:rPr>
              <w:t>Tabletop, rehearsal, shadow and live calibration evidence.</w:t>
            </w:r>
          </w:p>
        </w:tc>
      </w:tr>
      <w:tr>
        <w:trPr>
          <w:cantSplit/>
        </w:trPr>
        <w:tc>
          <w:tcPr>
            <w:tcW w:type="dxa" w:w="1560"/>
            <w:shd w:fill="FAF8F6"/>
          </w:tcPr>
          <w:p>
            <w:pPr>
              <w:spacing w:after="40"/>
            </w:pPr>
            <w:r>
              <w:rPr>
                <w:color w:val="171717"/>
                <w:sz w:val="14"/>
              </w:rPr>
              <w:t>KIR-011</w:t>
            </w:r>
          </w:p>
        </w:tc>
        <w:tc>
          <w:tcPr>
            <w:tcW w:type="dxa" w:w="1560"/>
            <w:shd w:fill="FAF8F6"/>
          </w:tcPr>
          <w:p>
            <w:pPr>
              <w:spacing w:after="40"/>
            </w:pPr>
            <w:r>
              <w:rPr>
                <w:color w:val="171717"/>
                <w:sz w:val="14"/>
              </w:rPr>
              <w:t>Implement doctrine change propagation</w:t>
            </w:r>
          </w:p>
        </w:tc>
        <w:tc>
          <w:tcPr>
            <w:tcW w:type="dxa" w:w="1560"/>
            <w:shd w:fill="FAF8F6"/>
          </w:tcPr>
          <w:p>
            <w:pPr>
              <w:spacing w:after="40"/>
            </w:pPr>
            <w:r>
              <w:rPr>
                <w:color w:val="171717"/>
                <w:sz w:val="14"/>
              </w:rPr>
              <w:t>P1</w:t>
            </w:r>
          </w:p>
        </w:tc>
        <w:tc>
          <w:tcPr>
            <w:tcW w:type="dxa" w:w="1560"/>
            <w:shd w:fill="FAF8F6"/>
          </w:tcPr>
          <w:p>
            <w:pPr>
              <w:spacing w:after="40"/>
            </w:pPr>
            <w:r>
              <w:rPr>
                <w:color w:val="171717"/>
                <w:sz w:val="14"/>
              </w:rPr>
              <w:t>Knowledge Steward + CTO + Curriculum Lead</w:t>
            </w:r>
          </w:p>
        </w:tc>
        <w:tc>
          <w:tcPr>
            <w:tcW w:type="dxa" w:w="1560"/>
            <w:shd w:fill="FAF8F6"/>
          </w:tcPr>
          <w:p>
            <w:pPr>
              <w:spacing w:after="40"/>
            </w:pPr>
            <w:r>
              <w:rPr>
                <w:color w:val="171717"/>
                <w:sz w:val="14"/>
              </w:rPr>
              <w:t>Contract defined; build pending</w:t>
            </w:r>
          </w:p>
        </w:tc>
        <w:tc>
          <w:tcPr>
            <w:tcW w:type="dxa" w:w="1560"/>
            <w:shd w:fill="FAF8F6"/>
          </w:tcPr>
          <w:p>
            <w:pPr>
              <w:spacing w:after="40"/>
            </w:pPr>
            <w:r>
              <w:rPr>
                <w:color w:val="171717"/>
                <w:sz w:val="14"/>
              </w:rPr>
              <w:t>Impact, reassignment and active-event notification tests pass.</w:t>
            </w:r>
          </w:p>
        </w:tc>
      </w:tr>
      <w:tr>
        <w:trPr>
          <w:cantSplit/>
        </w:trPr>
        <w:tc>
          <w:tcPr>
            <w:tcW w:type="dxa" w:w="1560"/>
          </w:tcPr>
          <w:p>
            <w:pPr>
              <w:spacing w:after="40"/>
            </w:pPr>
            <w:r>
              <w:rPr>
                <w:color w:val="171717"/>
                <w:sz w:val="14"/>
              </w:rPr>
              <w:t>KIR-012</w:t>
            </w:r>
          </w:p>
        </w:tc>
        <w:tc>
          <w:tcPr>
            <w:tcW w:type="dxa" w:w="1560"/>
          </w:tcPr>
          <w:p>
            <w:pPr>
              <w:spacing w:after="40"/>
            </w:pPr>
            <w:r>
              <w:rPr>
                <w:color w:val="171717"/>
                <w:sz w:val="14"/>
              </w:rPr>
              <w:t>Ratify knowledge-complete releases</w:t>
            </w:r>
          </w:p>
        </w:tc>
        <w:tc>
          <w:tcPr>
            <w:tcW w:type="dxa" w:w="1560"/>
          </w:tcPr>
          <w:p>
            <w:pPr>
              <w:spacing w:after="40"/>
            </w:pPr>
            <w:r>
              <w:rPr>
                <w:color w:val="171717"/>
                <w:sz w:val="14"/>
              </w:rPr>
              <w:t>P0</w:t>
            </w:r>
          </w:p>
        </w:tc>
        <w:tc>
          <w:tcPr>
            <w:tcW w:type="dxa" w:w="1560"/>
          </w:tcPr>
          <w:p>
            <w:pPr>
              <w:spacing w:after="40"/>
            </w:pPr>
            <w:r>
              <w:rPr>
                <w:color w:val="171717"/>
                <w:sz w:val="14"/>
              </w:rPr>
              <w:t>Independent Assessor + CEO</w:t>
            </w:r>
          </w:p>
        </w:tc>
        <w:tc>
          <w:tcPr>
            <w:tcW w:type="dxa" w:w="1560"/>
          </w:tcPr>
          <w:p>
            <w:pPr>
              <w:spacing w:after="40"/>
            </w:pPr>
            <w:r>
              <w:rPr>
                <w:color w:val="171717"/>
                <w:sz w:val="14"/>
              </w:rPr>
              <w:t>Not eligible</w:t>
            </w:r>
          </w:p>
        </w:tc>
        <w:tc>
          <w:tcPr>
            <w:tcW w:type="dxa" w:w="1560"/>
          </w:tcPr>
          <w:p>
            <w:pPr>
              <w:spacing w:after="40"/>
            </w:pPr>
            <w:r>
              <w:rPr>
                <w:color w:val="171717"/>
                <w:sz w:val="14"/>
              </w:rPr>
              <w:t>KAT gates passed and CEO release authorisation recorded.</w:t>
            </w:r>
          </w:p>
        </w:tc>
      </w:tr>
    </w:tbl>
    <w:p>
      <w:pPr>
        <w:spacing w:after="20"/>
      </w:pPr>
    </w:p>
    <w:p>
      <w:pPr>
        <w:pStyle w:val="Heading1"/>
        <w:keepNext/>
      </w:pPr>
      <w:r>
        <w:t>Recommended execution sequence from here</w:t>
      </w:r>
    </w:p>
    <w:p>
      <w:pPr>
        <w:pStyle w:val="ListNumber"/>
      </w:pPr>
      <w:r>
        <w:t>CEO appoints Knowledge Steward, Protocol/Cultural Authorities, Privacy/Legal Lead, People/Legal owner, Curriculum Lead, Assessment Lead and Independent Assessor.</w:t>
      </w:r>
    </w:p>
    <w:p>
      <w:pPr>
        <w:pStyle w:val="ListNumber"/>
      </w:pPr>
      <w:r>
        <w:t>CTO imports the Doctrine Register as a governed seed manifest and links every OS slice acceptance test to doctrine IDs.</w:t>
      </w:r>
    </w:p>
    <w:p>
      <w:pPr>
        <w:pStyle w:val="ListNumber"/>
      </w:pPr>
      <w:r>
        <w:t>Curriculum team converts the Academy column into a controlled production backlog, starting with deployment-critical roles and P0 doctrine.</w:t>
      </w:r>
    </w:p>
    <w:p>
      <w:pPr>
        <w:pStyle w:val="ListNumber"/>
      </w:pPr>
      <w:r>
        <w:t>Authority owners close protocol, cultural, privacy, biometric, staffing and safety registers before related production gates can pass.</w:t>
      </w:r>
    </w:p>
    <w:p>
      <w:pPr>
        <w:pStyle w:val="ListNumber"/>
      </w:pPr>
      <w:r>
        <w:t>OS and Academy teams implement the integration contract, including role-change recalculation, event briefing and fail-closed deployment.</w:t>
      </w:r>
    </w:p>
    <w:p>
      <w:pPr>
        <w:pStyle w:val="ListNumber"/>
      </w:pPr>
      <w:r>
        <w:t>Independent assessor executes KAT-01–10 before pilots, then KAT-11 and KAT-12 through rehearsal, shadow and supervised live evidence.</w:t>
      </w:r>
    </w:p>
    <w:p>
      <w:pPr>
        <w:pStyle w:val="ListNumber"/>
      </w:pPr>
      <w:r>
        <w:t>CEO authorises named releases only after the independent acceptance decision and explicit residual-risk review.</w:t>
      </w:r>
    </w:p>
    <w:p>
      <w:pPr>
        <w:pStyle w:val="Heading1"/>
        <w:keepNext/>
      </w:pPr>
      <w:r>
        <w:t>CEO decision and authorisation record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3EEE9"/>
          </w:tcPr>
          <w:p>
            <w:pPr>
              <w:spacing w:after="0"/>
            </w:pPr>
            <w:r>
              <w:rPr>
                <w:b/>
                <w:color w:val="171717"/>
              </w:rPr>
              <w:t xml:space="preserve">CURRENT RECOMMENDED DECISION  </w:t>
            </w:r>
            <w:r>
              <w:t>Approve this pack and its companion register as the binding knowledge-reconciliation baseline. Do not yet declare the Event OS or Academy knowledge-complete or production-authorised.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384"/>
            <w:tcMar>
              <w:top w:w="80" w:type="dxa"/>
              <w:start w:w="120" w:type="dxa"/>
              <w:bottom w:w="80" w:type="dxa"/>
              <w:end w:w="120" w:type="dxa"/>
            </w:tcMar>
            <w:vAlign w:val="top"/>
            <w:shd w:fill="B79F85"/>
          </w:tcPr>
          <w:p>
            <w:r>
              <w:rPr>
                <w:b/>
                <w:color w:val="171717"/>
                <w:sz w:val="17"/>
              </w:rPr>
              <w:t>Decision field</w:t>
            </w:r>
          </w:p>
        </w:tc>
        <w:tc>
          <w:tcPr>
            <w:tcW w:type="dxa" w:w="5976"/>
            <w:tcMar>
              <w:top w:w="80" w:type="dxa"/>
              <w:start w:w="120" w:type="dxa"/>
              <w:bottom w:w="80" w:type="dxa"/>
              <w:end w:w="120" w:type="dxa"/>
            </w:tcMar>
            <w:vAlign w:val="top"/>
            <w:shd w:fill="B79F85"/>
          </w:tcPr>
          <w:p>
            <w:r>
              <w:rPr>
                <w:b/>
                <w:color w:val="171717"/>
                <w:sz w:val="17"/>
              </w:rPr>
              <w:t>CEO entry</w:t>
            </w:r>
          </w:p>
        </w:tc>
      </w:tr>
      <w:tr>
        <w:trPr>
          <w:cantSplit/>
        </w:trPr>
        <w:tc>
          <w:tcPr>
            <w:tcW w:type="dxa" w:w="4680"/>
            <w:shd w:fill="FAF8F6"/>
          </w:tcPr>
          <w:p>
            <w:pPr>
              <w:spacing w:after="40"/>
            </w:pPr>
            <w:r>
              <w:rPr>
                <w:color w:val="171717"/>
                <w:sz w:val="17"/>
              </w:rPr>
              <w:t>Reconciliation baseline</w:t>
            </w:r>
          </w:p>
        </w:tc>
        <w:tc>
          <w:tcPr>
            <w:tcW w:type="dxa" w:w="4680"/>
            <w:shd w:fill="FAF8F6"/>
          </w:tcPr>
          <w:p>
            <w:pPr>
              <w:spacing w:after="40"/>
            </w:pPr>
            <w:r>
              <w:rPr>
                <w:color w:val="171717"/>
                <w:sz w:val="17"/>
              </w:rPr>
              <w:t>Approved / Approved with conditions / Not approved</w:t>
            </w:r>
          </w:p>
        </w:tc>
      </w:tr>
      <w:tr>
        <w:trPr>
          <w:cantSplit/>
        </w:trPr>
        <w:tc>
          <w:tcPr>
            <w:tcW w:type="dxa" w:w="4680"/>
          </w:tcPr>
          <w:p>
            <w:pPr>
              <w:spacing w:after="40"/>
            </w:pPr>
            <w:r>
              <w:rPr>
                <w:color w:val="171717"/>
                <w:sz w:val="17"/>
              </w:rPr>
              <w:t>Effective date</w:t>
            </w:r>
          </w:p>
        </w:tc>
        <w:tc>
          <w:tcPr>
            <w:tcW w:type="dxa" w:w="4680"/>
          </w:tcPr>
          <w:p>
            <w:pPr>
              <w:spacing w:after="40"/>
            </w:pPr>
            <w:r>
              <w:rPr>
                <w:color w:val="171717"/>
                <w:sz w:val="17"/>
              </w:rPr>
              <w:t>____________________________</w:t>
            </w:r>
          </w:p>
        </w:tc>
      </w:tr>
      <w:tr>
        <w:trPr>
          <w:cantSplit/>
        </w:trPr>
        <w:tc>
          <w:tcPr>
            <w:tcW w:type="dxa" w:w="4680"/>
            <w:shd w:fill="FAF8F6"/>
          </w:tcPr>
          <w:p>
            <w:pPr>
              <w:spacing w:after="40"/>
            </w:pPr>
            <w:r>
              <w:rPr>
                <w:color w:val="171717"/>
                <w:sz w:val="17"/>
              </w:rPr>
              <w:t>Named conditions</w:t>
            </w:r>
          </w:p>
        </w:tc>
        <w:tc>
          <w:tcPr>
            <w:tcW w:type="dxa" w:w="4680"/>
            <w:shd w:fill="FAF8F6"/>
          </w:tcPr>
          <w:p>
            <w:pPr>
              <w:spacing w:after="40"/>
            </w:pPr>
            <w:r>
              <w:rPr>
                <w:color w:val="171717"/>
                <w:sz w:val="17"/>
              </w:rPr>
              <w:t>____________________________________________________________</w:t>
            </w:r>
          </w:p>
        </w:tc>
      </w:tr>
      <w:tr>
        <w:trPr>
          <w:cantSplit/>
        </w:trPr>
        <w:tc>
          <w:tcPr>
            <w:tcW w:type="dxa" w:w="4680"/>
          </w:tcPr>
          <w:p>
            <w:pPr>
              <w:spacing w:after="40"/>
            </w:pPr>
            <w:r>
              <w:rPr>
                <w:color w:val="171717"/>
                <w:sz w:val="17"/>
              </w:rPr>
              <w:t>Knowledge Steward appointed</w:t>
            </w:r>
          </w:p>
        </w:tc>
        <w:tc>
          <w:tcPr>
            <w:tcW w:type="dxa" w:w="4680"/>
          </w:tcPr>
          <w:p>
            <w:pPr>
              <w:spacing w:after="40"/>
            </w:pPr>
            <w:r>
              <w:rPr>
                <w:color w:val="171717"/>
                <w:sz w:val="17"/>
              </w:rPr>
              <w:t>Name: ____________________________</w:t>
            </w:r>
          </w:p>
        </w:tc>
      </w:tr>
      <w:tr>
        <w:trPr>
          <w:cantSplit/>
        </w:trPr>
        <w:tc>
          <w:tcPr>
            <w:tcW w:type="dxa" w:w="4680"/>
            <w:shd w:fill="FAF8F6"/>
          </w:tcPr>
          <w:p>
            <w:pPr>
              <w:spacing w:after="40"/>
            </w:pPr>
            <w:r>
              <w:rPr>
                <w:color w:val="171717"/>
                <w:sz w:val="17"/>
              </w:rPr>
              <w:t>Next review date</w:t>
            </w:r>
          </w:p>
        </w:tc>
        <w:tc>
          <w:tcPr>
            <w:tcW w:type="dxa" w:w="4680"/>
            <w:shd w:fill="FAF8F6"/>
          </w:tcPr>
          <w:p>
            <w:pPr>
              <w:spacing w:after="40"/>
            </w:pPr>
            <w:r>
              <w:rPr>
                <w:color w:val="171717"/>
                <w:sz w:val="17"/>
              </w:rPr>
              <w:t>____________________________</w:t>
            </w:r>
          </w:p>
        </w:tc>
      </w:tr>
      <w:tr>
        <w:trPr>
          <w:cantSplit/>
        </w:trPr>
        <w:tc>
          <w:tcPr>
            <w:tcW w:type="dxa" w:w="4680"/>
          </w:tcPr>
          <w:p>
            <w:pPr>
              <w:spacing w:after="40"/>
            </w:pPr>
            <w:r>
              <w:rPr>
                <w:color w:val="171717"/>
                <w:sz w:val="17"/>
              </w:rPr>
              <w:t>CEO signature</w:t>
            </w:r>
          </w:p>
        </w:tc>
        <w:tc>
          <w:tcPr>
            <w:tcW w:type="dxa" w:w="4680"/>
          </w:tcPr>
          <w:p>
            <w:pPr>
              <w:spacing w:after="40"/>
            </w:pPr>
            <w:r>
              <w:rPr>
                <w:color w:val="171717"/>
                <w:sz w:val="17"/>
              </w:rPr>
              <w:t>____________________________</w:t>
            </w:r>
          </w:p>
        </w:tc>
      </w:tr>
    </w:tbl>
    <w:p>
      <w:pPr>
        <w:spacing w:after="20"/>
      </w:pPr>
    </w:p>
    <w:p>
      <w:pPr>
        <w:pStyle w:val="Heading1"/>
        <w:keepNext/>
      </w:pPr>
      <w:r>
        <w:t>Appendix A — Domain reconciliation summary</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792"/>
            <w:tcMar>
              <w:top w:w="80" w:type="dxa"/>
              <w:start w:w="120" w:type="dxa"/>
              <w:bottom w:w="80" w:type="dxa"/>
              <w:end w:w="120" w:type="dxa"/>
            </w:tcMar>
            <w:vAlign w:val="top"/>
            <w:shd w:fill="B79F85"/>
          </w:tcPr>
          <w:p>
            <w:r>
              <w:rPr>
                <w:b/>
                <w:color w:val="171717"/>
                <w:sz w:val="13"/>
              </w:rPr>
              <w:t>ID</w:t>
            </w:r>
          </w:p>
        </w:tc>
        <w:tc>
          <w:tcPr>
            <w:tcW w:type="dxa" w:w="2448"/>
            <w:tcMar>
              <w:top w:w="80" w:type="dxa"/>
              <w:start w:w="120" w:type="dxa"/>
              <w:bottom w:w="80" w:type="dxa"/>
              <w:end w:w="120" w:type="dxa"/>
            </w:tcMar>
            <w:vAlign w:val="top"/>
            <w:shd w:fill="B79F85"/>
          </w:tcPr>
          <w:p>
            <w:r>
              <w:rPr>
                <w:b/>
                <w:color w:val="171717"/>
                <w:sz w:val="13"/>
              </w:rPr>
              <w:t>Canonical domain</w:t>
            </w:r>
          </w:p>
        </w:tc>
        <w:tc>
          <w:tcPr>
            <w:tcW w:type="dxa" w:w="1008"/>
            <w:tcMar>
              <w:top w:w="80" w:type="dxa"/>
              <w:start w:w="120" w:type="dxa"/>
              <w:bottom w:w="80" w:type="dxa"/>
              <w:end w:w="120" w:type="dxa"/>
            </w:tcMar>
            <w:vAlign w:val="top"/>
            <w:shd w:fill="B79F85"/>
          </w:tcPr>
          <w:p>
            <w:r>
              <w:rPr>
                <w:b/>
                <w:color w:val="171717"/>
                <w:sz w:val="13"/>
              </w:rPr>
              <w:t>Source</w:t>
            </w:r>
          </w:p>
        </w:tc>
        <w:tc>
          <w:tcPr>
            <w:tcW w:type="dxa" w:w="1440"/>
            <w:tcMar>
              <w:top w:w="80" w:type="dxa"/>
              <w:start w:w="120" w:type="dxa"/>
              <w:bottom w:w="80" w:type="dxa"/>
              <w:end w:w="120" w:type="dxa"/>
            </w:tcMar>
            <w:vAlign w:val="top"/>
            <w:shd w:fill="B79F85"/>
          </w:tcPr>
          <w:p>
            <w:r>
              <w:rPr>
                <w:b/>
                <w:color w:val="171717"/>
                <w:sz w:val="13"/>
              </w:rPr>
              <w:t>OS</w:t>
            </w:r>
          </w:p>
        </w:tc>
        <w:tc>
          <w:tcPr>
            <w:tcW w:type="dxa" w:w="1224"/>
            <w:tcMar>
              <w:top w:w="80" w:type="dxa"/>
              <w:start w:w="120" w:type="dxa"/>
              <w:bottom w:w="80" w:type="dxa"/>
              <w:end w:w="120" w:type="dxa"/>
            </w:tcMar>
            <w:vAlign w:val="top"/>
            <w:shd w:fill="B79F85"/>
          </w:tcPr>
          <w:p>
            <w:r>
              <w:rPr>
                <w:b/>
                <w:color w:val="171717"/>
                <w:sz w:val="13"/>
              </w:rPr>
              <w:t>Academy</w:t>
            </w:r>
          </w:p>
        </w:tc>
        <w:tc>
          <w:tcPr>
            <w:tcW w:type="dxa" w:w="2448"/>
            <w:tcMar>
              <w:top w:w="80" w:type="dxa"/>
              <w:start w:w="120" w:type="dxa"/>
              <w:bottom w:w="80" w:type="dxa"/>
              <w:end w:w="120" w:type="dxa"/>
            </w:tcMar>
            <w:vAlign w:val="top"/>
            <w:shd w:fill="B79F85"/>
          </w:tcPr>
          <w:p>
            <w:r>
              <w:rPr>
                <w:b/>
                <w:color w:val="171717"/>
                <w:sz w:val="13"/>
              </w:rPr>
              <w:t>Required correction</w:t>
            </w:r>
          </w:p>
        </w:tc>
      </w:tr>
      <w:tr>
        <w:trPr>
          <w:cantSplit/>
        </w:trPr>
        <w:tc>
          <w:tcPr>
            <w:tcW w:type="dxa" w:w="1560"/>
            <w:shd w:fill="FAF8F6"/>
          </w:tcPr>
          <w:p>
            <w:pPr>
              <w:spacing w:after="40"/>
            </w:pPr>
            <w:r>
              <w:rPr>
                <w:color w:val="171717"/>
                <w:sz w:val="13"/>
              </w:rPr>
              <w:t>KIA-01</w:t>
            </w:r>
          </w:p>
        </w:tc>
        <w:tc>
          <w:tcPr>
            <w:tcW w:type="dxa" w:w="1560"/>
            <w:shd w:fill="FAF8F6"/>
          </w:tcPr>
          <w:p>
            <w:pPr>
              <w:spacing w:after="40"/>
            </w:pPr>
            <w:r>
              <w:rPr>
                <w:color w:val="171717"/>
                <w:sz w:val="13"/>
              </w:rPr>
              <w:t>Meaning of White-Glove Hospitality</w:t>
            </w:r>
          </w:p>
        </w:tc>
        <w:tc>
          <w:tcPr>
            <w:tcW w:type="dxa" w:w="1560"/>
            <w:shd w:fill="FAF8F6"/>
          </w:tcPr>
          <w:p>
            <w:pPr>
              <w:spacing w:after="40"/>
            </w:pPr>
            <w:r>
              <w:rPr>
                <w:color w:val="171717"/>
                <w:sz w:val="13"/>
              </w:rPr>
              <w:t>M01</w:t>
            </w:r>
          </w:p>
        </w:tc>
        <w:tc>
          <w:tcPr>
            <w:tcW w:type="dxa" w:w="1560"/>
            <w:shd w:fill="FAF8F6"/>
          </w:tcPr>
          <w:p>
            <w:pPr>
              <w:spacing w:after="40"/>
            </w:pPr>
            <w:r>
              <w:rPr>
                <w:color w:val="171717"/>
                <w:sz w:val="13"/>
              </w:rPr>
              <w:t>Complete</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Produce role-tiered foundations lessons.</w:t>
            </w:r>
          </w:p>
        </w:tc>
      </w:tr>
      <w:tr>
        <w:trPr>
          <w:cantSplit/>
        </w:trPr>
        <w:tc>
          <w:tcPr>
            <w:tcW w:type="dxa" w:w="1560"/>
          </w:tcPr>
          <w:p>
            <w:pPr>
              <w:spacing w:after="40"/>
            </w:pPr>
            <w:r>
              <w:rPr>
                <w:color w:val="171717"/>
                <w:sz w:val="13"/>
              </w:rPr>
              <w:t>KIA-02</w:t>
            </w:r>
          </w:p>
        </w:tc>
        <w:tc>
          <w:tcPr>
            <w:tcW w:type="dxa" w:w="1560"/>
          </w:tcPr>
          <w:p>
            <w:pPr>
              <w:spacing w:after="40"/>
            </w:pPr>
            <w:r>
              <w:rPr>
                <w:color w:val="171717"/>
                <w:sz w:val="13"/>
              </w:rPr>
              <w:t>Complete Guest Journey</w:t>
            </w:r>
          </w:p>
        </w:tc>
        <w:tc>
          <w:tcPr>
            <w:tcW w:type="dxa" w:w="1560"/>
          </w:tcPr>
          <w:p>
            <w:pPr>
              <w:spacing w:after="40"/>
            </w:pPr>
            <w:r>
              <w:rPr>
                <w:color w:val="171717"/>
                <w:sz w:val="13"/>
              </w:rPr>
              <w:t>M02</w:t>
            </w:r>
          </w:p>
        </w:tc>
        <w:tc>
          <w:tcPr>
            <w:tcW w:type="dxa" w:w="1560"/>
          </w:tcPr>
          <w:p>
            <w:pPr>
              <w:spacing w:after="40"/>
            </w:pPr>
            <w:r>
              <w:rPr>
                <w:color w:val="171717"/>
                <w:sz w:val="13"/>
              </w:rPr>
              <w:t>Complete</w:t>
            </w:r>
          </w:p>
        </w:tc>
        <w:tc>
          <w:tcPr>
            <w:tcW w:type="dxa" w:w="1560"/>
          </w:tcPr>
          <w:p>
            <w:pPr>
              <w:spacing w:after="40"/>
            </w:pPr>
            <w:r>
              <w:rPr>
                <w:color w:val="171717"/>
                <w:sz w:val="13"/>
              </w:rPr>
              <w:t>Partial</w:t>
            </w:r>
          </w:p>
        </w:tc>
        <w:tc>
          <w:tcPr>
            <w:tcW w:type="dxa" w:w="1560"/>
          </w:tcPr>
          <w:p>
            <w:pPr>
              <w:spacing w:after="40"/>
            </w:pPr>
            <w:r>
              <w:rPr>
                <w:color w:val="171717"/>
                <w:sz w:val="13"/>
              </w:rPr>
              <w:t>Produce journey lessons and archetype scenarios.</w:t>
            </w:r>
          </w:p>
        </w:tc>
      </w:tr>
      <w:tr>
        <w:trPr>
          <w:cantSplit/>
        </w:trPr>
        <w:tc>
          <w:tcPr>
            <w:tcW w:type="dxa" w:w="1560"/>
            <w:shd w:fill="FAF8F6"/>
          </w:tcPr>
          <w:p>
            <w:pPr>
              <w:spacing w:after="40"/>
            </w:pPr>
            <w:r>
              <w:rPr>
                <w:color w:val="171717"/>
                <w:sz w:val="13"/>
              </w:rPr>
              <w:t>KIA-03</w:t>
            </w:r>
          </w:p>
        </w:tc>
        <w:tc>
          <w:tcPr>
            <w:tcW w:type="dxa" w:w="1560"/>
            <w:shd w:fill="FAF8F6"/>
          </w:tcPr>
          <w:p>
            <w:pPr>
              <w:spacing w:after="40"/>
            </w:pPr>
            <w:r>
              <w:rPr>
                <w:color w:val="171717"/>
                <w:sz w:val="13"/>
              </w:rPr>
              <w:t>White-Glove Service in Practice</w:t>
            </w:r>
          </w:p>
        </w:tc>
        <w:tc>
          <w:tcPr>
            <w:tcW w:type="dxa" w:w="1560"/>
            <w:shd w:fill="FAF8F6"/>
          </w:tcPr>
          <w:p>
            <w:pPr>
              <w:spacing w:after="40"/>
            </w:pPr>
            <w:r>
              <w:rPr>
                <w:color w:val="171717"/>
                <w:sz w:val="13"/>
              </w:rPr>
              <w:t>M09</w:t>
            </w:r>
          </w:p>
        </w:tc>
        <w:tc>
          <w:tcPr>
            <w:tcW w:type="dxa" w:w="1560"/>
            <w:shd w:fill="FAF8F6"/>
          </w:tcPr>
          <w:p>
            <w:pPr>
              <w:spacing w:after="40"/>
            </w:pPr>
            <w:r>
              <w:rPr>
                <w:color w:val="171717"/>
                <w:sz w:val="13"/>
              </w:rPr>
              <w:t>Complete</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Produce service-language and practical rubrics.</w:t>
            </w:r>
          </w:p>
        </w:tc>
      </w:tr>
      <w:tr>
        <w:trPr>
          <w:cantSplit/>
        </w:trPr>
        <w:tc>
          <w:tcPr>
            <w:tcW w:type="dxa" w:w="1560"/>
          </w:tcPr>
          <w:p>
            <w:pPr>
              <w:spacing w:after="40"/>
            </w:pPr>
            <w:r>
              <w:rPr>
                <w:color w:val="171717"/>
                <w:sz w:val="13"/>
              </w:rPr>
              <w:t>KIA-04</w:t>
            </w:r>
          </w:p>
        </w:tc>
        <w:tc>
          <w:tcPr>
            <w:tcW w:type="dxa" w:w="1560"/>
          </w:tcPr>
          <w:p>
            <w:pPr>
              <w:spacing w:after="40"/>
            </w:pPr>
            <w:r>
              <w:rPr>
                <w:color w:val="171717"/>
                <w:sz w:val="13"/>
              </w:rPr>
              <w:t>Nigerian Protocol, Precedence and Respect</w:t>
            </w:r>
          </w:p>
        </w:tc>
        <w:tc>
          <w:tcPr>
            <w:tcW w:type="dxa" w:w="1560"/>
          </w:tcPr>
          <w:p>
            <w:pPr>
              <w:spacing w:after="40"/>
            </w:pPr>
            <w:r>
              <w:rPr>
                <w:color w:val="171717"/>
                <w:sz w:val="13"/>
              </w:rPr>
              <w:t>M03</w:t>
            </w:r>
          </w:p>
        </w:tc>
        <w:tc>
          <w:tcPr>
            <w:tcW w:type="dxa" w:w="1560"/>
          </w:tcPr>
          <w:p>
            <w:pPr>
              <w:spacing w:after="40"/>
            </w:pPr>
            <w:r>
              <w:rPr>
                <w:color w:val="171717"/>
                <w:sz w:val="13"/>
              </w:rPr>
              <w:t>Partial</w:t>
            </w:r>
          </w:p>
        </w:tc>
        <w:tc>
          <w:tcPr>
            <w:tcW w:type="dxa" w:w="1560"/>
          </w:tcPr>
          <w:p>
            <w:pPr>
              <w:spacing w:after="40"/>
            </w:pPr>
            <w:r>
              <w:rPr>
                <w:color w:val="171717"/>
                <w:sz w:val="13"/>
              </w:rPr>
              <w:t>Partial</w:t>
            </w:r>
          </w:p>
        </w:tc>
        <w:tc>
          <w:tcPr>
            <w:tcW w:type="dxa" w:w="1560"/>
          </w:tcPr>
          <w:p>
            <w:pPr>
              <w:spacing w:after="40"/>
            </w:pPr>
            <w:r>
              <w:rPr>
                <w:color w:val="171717"/>
                <w:sz w:val="13"/>
              </w:rPr>
              <w:t>Approve sourced protocol register and verified learning pack.</w:t>
            </w:r>
          </w:p>
        </w:tc>
      </w:tr>
      <w:tr>
        <w:trPr>
          <w:cantSplit/>
        </w:trPr>
        <w:tc>
          <w:tcPr>
            <w:tcW w:type="dxa" w:w="1560"/>
            <w:shd w:fill="FAF8F6"/>
          </w:tcPr>
          <w:p>
            <w:pPr>
              <w:spacing w:after="40"/>
            </w:pPr>
            <w:r>
              <w:rPr>
                <w:color w:val="171717"/>
                <w:sz w:val="13"/>
              </w:rPr>
              <w:t>KIA-05</w:t>
            </w:r>
          </w:p>
        </w:tc>
        <w:tc>
          <w:tcPr>
            <w:tcW w:type="dxa" w:w="1560"/>
            <w:shd w:fill="FAF8F6"/>
          </w:tcPr>
          <w:p>
            <w:pPr>
              <w:spacing w:after="40"/>
            </w:pPr>
            <w:r>
              <w:rPr>
                <w:color w:val="171717"/>
                <w:sz w:val="13"/>
              </w:rPr>
              <w:t>Cultural and Ceremonial Intelligence</w:t>
            </w:r>
          </w:p>
        </w:tc>
        <w:tc>
          <w:tcPr>
            <w:tcW w:type="dxa" w:w="1560"/>
            <w:shd w:fill="FAF8F6"/>
          </w:tcPr>
          <w:p>
            <w:pPr>
              <w:spacing w:after="40"/>
            </w:pPr>
            <w:r>
              <w:rPr>
                <w:color w:val="171717"/>
                <w:sz w:val="13"/>
              </w:rPr>
              <w:t>M04</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Appoint reviewers and publish scoped context packs.</w:t>
            </w:r>
          </w:p>
        </w:tc>
      </w:tr>
      <w:tr>
        <w:trPr>
          <w:cantSplit/>
        </w:trPr>
        <w:tc>
          <w:tcPr>
            <w:tcW w:type="dxa" w:w="1560"/>
          </w:tcPr>
          <w:p>
            <w:pPr>
              <w:spacing w:after="40"/>
            </w:pPr>
            <w:r>
              <w:rPr>
                <w:color w:val="171717"/>
                <w:sz w:val="13"/>
              </w:rPr>
              <w:t>KIA-06</w:t>
            </w:r>
          </w:p>
        </w:tc>
        <w:tc>
          <w:tcPr>
            <w:tcW w:type="dxa" w:w="1560"/>
          </w:tcPr>
          <w:p>
            <w:pPr>
              <w:spacing w:after="40"/>
            </w:pPr>
            <w:r>
              <w:rPr>
                <w:color w:val="171717"/>
                <w:sz w:val="13"/>
              </w:rPr>
              <w:t>VIP and High-Net-Worth Guest Intelligence</w:t>
            </w:r>
          </w:p>
        </w:tc>
        <w:tc>
          <w:tcPr>
            <w:tcW w:type="dxa" w:w="1560"/>
          </w:tcPr>
          <w:p>
            <w:pPr>
              <w:spacing w:after="40"/>
            </w:pPr>
            <w:r>
              <w:rPr>
                <w:color w:val="171717"/>
                <w:sz w:val="13"/>
              </w:rPr>
              <w:t>M05</w:t>
            </w:r>
          </w:p>
        </w:tc>
        <w:tc>
          <w:tcPr>
            <w:tcW w:type="dxa" w:w="1560"/>
          </w:tcPr>
          <w:p>
            <w:pPr>
              <w:spacing w:after="40"/>
            </w:pPr>
            <w:r>
              <w:rPr>
                <w:color w:val="171717"/>
                <w:sz w:val="13"/>
              </w:rPr>
              <w:t>Complete with controls</w:t>
            </w:r>
          </w:p>
        </w:tc>
        <w:tc>
          <w:tcPr>
            <w:tcW w:type="dxa" w:w="1560"/>
          </w:tcPr>
          <w:p>
            <w:pPr>
              <w:spacing w:after="40"/>
            </w:pPr>
            <w:r>
              <w:rPr>
                <w:color w:val="171717"/>
                <w:sz w:val="13"/>
              </w:rPr>
              <w:t>Partial</w:t>
            </w:r>
          </w:p>
        </w:tc>
        <w:tc>
          <w:tcPr>
            <w:tcW w:type="dxa" w:w="1560"/>
          </w:tcPr>
          <w:p>
            <w:pPr>
              <w:spacing w:after="40"/>
            </w:pPr>
            <w:r>
              <w:rPr>
                <w:color w:val="171717"/>
                <w:sz w:val="13"/>
              </w:rPr>
              <w:t>Complete privacy decisions and applied VIP courseware.</w:t>
            </w:r>
          </w:p>
        </w:tc>
      </w:tr>
      <w:tr>
        <w:trPr>
          <w:cantSplit/>
        </w:trPr>
        <w:tc>
          <w:tcPr>
            <w:tcW w:type="dxa" w:w="1560"/>
            <w:shd w:fill="FAF8F6"/>
          </w:tcPr>
          <w:p>
            <w:pPr>
              <w:spacing w:after="40"/>
            </w:pPr>
            <w:r>
              <w:rPr>
                <w:color w:val="171717"/>
                <w:sz w:val="13"/>
              </w:rPr>
              <w:t>KIA-07</w:t>
            </w:r>
          </w:p>
        </w:tc>
        <w:tc>
          <w:tcPr>
            <w:tcW w:type="dxa" w:w="1560"/>
            <w:shd w:fill="FAF8F6"/>
          </w:tcPr>
          <w:p>
            <w:pPr>
              <w:spacing w:after="40"/>
            </w:pPr>
            <w:r>
              <w:rPr>
                <w:color w:val="171717"/>
                <w:sz w:val="13"/>
              </w:rPr>
              <w:t>Protocol Conflict and Diplomatic Judgment</w:t>
            </w:r>
          </w:p>
        </w:tc>
        <w:tc>
          <w:tcPr>
            <w:tcW w:type="dxa" w:w="1560"/>
            <w:shd w:fill="FAF8F6"/>
          </w:tcPr>
          <w:p>
            <w:pPr>
              <w:spacing w:after="40"/>
            </w:pPr>
            <w:r>
              <w:rPr>
                <w:color w:val="171717"/>
                <w:sz w:val="13"/>
              </w:rPr>
              <w:t>M24</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Specialist-review branching scenarios and escalation evidence.</w:t>
            </w:r>
          </w:p>
        </w:tc>
      </w:tr>
      <w:tr>
        <w:trPr>
          <w:cantSplit/>
        </w:trPr>
        <w:tc>
          <w:tcPr>
            <w:tcW w:type="dxa" w:w="1560"/>
          </w:tcPr>
          <w:p>
            <w:pPr>
              <w:spacing w:after="40"/>
            </w:pPr>
            <w:r>
              <w:rPr>
                <w:color w:val="171717"/>
                <w:sz w:val="13"/>
              </w:rPr>
              <w:t>KIA-08</w:t>
            </w:r>
          </w:p>
        </w:tc>
        <w:tc>
          <w:tcPr>
            <w:tcW w:type="dxa" w:w="1560"/>
          </w:tcPr>
          <w:p>
            <w:pPr>
              <w:spacing w:after="40"/>
            </w:pPr>
            <w:r>
              <w:rPr>
                <w:color w:val="171717"/>
                <w:sz w:val="13"/>
              </w:rPr>
              <w:t>Architecture of a White-Glove Event</w:t>
            </w:r>
          </w:p>
        </w:tc>
        <w:tc>
          <w:tcPr>
            <w:tcW w:type="dxa" w:w="1560"/>
          </w:tcPr>
          <w:p>
            <w:pPr>
              <w:spacing w:after="40"/>
            </w:pPr>
            <w:r>
              <w:rPr>
                <w:color w:val="171717"/>
                <w:sz w:val="13"/>
              </w:rPr>
              <w:t>M27</w:t>
            </w:r>
          </w:p>
        </w:tc>
        <w:tc>
          <w:tcPr>
            <w:tcW w:type="dxa" w:w="1560"/>
          </w:tcPr>
          <w:p>
            <w:pPr>
              <w:spacing w:after="40"/>
            </w:pPr>
            <w:r>
              <w:rPr>
                <w:color w:val="171717"/>
                <w:sz w:val="13"/>
              </w:rPr>
              <w:t>Complete</w:t>
            </w:r>
          </w:p>
        </w:tc>
        <w:tc>
          <w:tcPr>
            <w:tcW w:type="dxa" w:w="1560"/>
          </w:tcPr>
          <w:p>
            <w:pPr>
              <w:spacing w:after="40"/>
            </w:pPr>
            <w:r>
              <w:rPr>
                <w:color w:val="171717"/>
                <w:sz w:val="13"/>
              </w:rPr>
              <w:t>Partial</w:t>
            </w:r>
          </w:p>
        </w:tc>
        <w:tc>
          <w:tcPr>
            <w:tcW w:type="dxa" w:w="1560"/>
          </w:tcPr>
          <w:p>
            <w:pPr>
              <w:spacing w:after="40"/>
            </w:pPr>
            <w:r>
              <w:rPr>
                <w:color w:val="171717"/>
                <w:sz w:val="13"/>
              </w:rPr>
              <w:t>Produce architecture studio and practical rubric.</w:t>
            </w:r>
          </w:p>
        </w:tc>
      </w:tr>
      <w:tr>
        <w:trPr>
          <w:cantSplit/>
        </w:trPr>
        <w:tc>
          <w:tcPr>
            <w:tcW w:type="dxa" w:w="1560"/>
            <w:shd w:fill="FAF8F6"/>
          </w:tcPr>
          <w:p>
            <w:pPr>
              <w:spacing w:after="40"/>
            </w:pPr>
            <w:r>
              <w:rPr>
                <w:color w:val="171717"/>
                <w:sz w:val="13"/>
              </w:rPr>
              <w:t>KIA-09</w:t>
            </w:r>
          </w:p>
        </w:tc>
        <w:tc>
          <w:tcPr>
            <w:tcW w:type="dxa" w:w="1560"/>
            <w:shd w:fill="FAF8F6"/>
          </w:tcPr>
          <w:p>
            <w:pPr>
              <w:spacing w:after="40"/>
            </w:pPr>
            <w:r>
              <w:rPr>
                <w:color w:val="171717"/>
                <w:sz w:val="13"/>
              </w:rPr>
              <w:t>Ceremony, Movement and Run of Show</w:t>
            </w:r>
          </w:p>
        </w:tc>
        <w:tc>
          <w:tcPr>
            <w:tcW w:type="dxa" w:w="1560"/>
            <w:shd w:fill="FAF8F6"/>
          </w:tcPr>
          <w:p>
            <w:pPr>
              <w:spacing w:after="40"/>
            </w:pPr>
            <w:r>
              <w:rPr>
                <w:color w:val="171717"/>
                <w:sz w:val="13"/>
              </w:rPr>
              <w:t>M08</w:t>
            </w:r>
          </w:p>
        </w:tc>
        <w:tc>
          <w:tcPr>
            <w:tcW w:type="dxa" w:w="1560"/>
            <w:shd w:fill="FAF8F6"/>
          </w:tcPr>
          <w:p>
            <w:pPr>
              <w:spacing w:after="40"/>
            </w:pPr>
            <w:r>
              <w:rPr>
                <w:color w:val="171717"/>
                <w:sz w:val="13"/>
              </w:rPr>
              <w:t>Complete</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Produce cue, movement and recovery simulations.</w:t>
            </w:r>
          </w:p>
        </w:tc>
      </w:tr>
      <w:tr>
        <w:trPr>
          <w:cantSplit/>
        </w:trPr>
        <w:tc>
          <w:tcPr>
            <w:tcW w:type="dxa" w:w="1560"/>
          </w:tcPr>
          <w:p>
            <w:pPr>
              <w:spacing w:after="40"/>
            </w:pPr>
            <w:r>
              <w:rPr>
                <w:color w:val="171717"/>
                <w:sz w:val="13"/>
              </w:rPr>
              <w:t>KIA-10</w:t>
            </w:r>
          </w:p>
        </w:tc>
        <w:tc>
          <w:tcPr>
            <w:tcW w:type="dxa" w:w="1560"/>
          </w:tcPr>
          <w:p>
            <w:pPr>
              <w:spacing w:after="40"/>
            </w:pPr>
            <w:r>
              <w:rPr>
                <w:color w:val="171717"/>
                <w:sz w:val="13"/>
              </w:rPr>
              <w:t>Maison Doclar Event Operating System</w:t>
            </w:r>
          </w:p>
        </w:tc>
        <w:tc>
          <w:tcPr>
            <w:tcW w:type="dxa" w:w="1560"/>
          </w:tcPr>
          <w:p>
            <w:pPr>
              <w:spacing w:after="40"/>
            </w:pPr>
            <w:r>
              <w:rPr>
                <w:color w:val="171717"/>
                <w:sz w:val="13"/>
              </w:rPr>
              <w:t>M12</w:t>
            </w:r>
          </w:p>
        </w:tc>
        <w:tc>
          <w:tcPr>
            <w:tcW w:type="dxa" w:w="1560"/>
          </w:tcPr>
          <w:p>
            <w:pPr>
              <w:spacing w:after="40"/>
            </w:pPr>
            <w:r>
              <w:rPr>
                <w:color w:val="171717"/>
                <w:sz w:val="13"/>
              </w:rPr>
              <w:t>Complete by design</w:t>
            </w:r>
          </w:p>
        </w:tc>
        <w:tc>
          <w:tcPr>
            <w:tcW w:type="dxa" w:w="1560"/>
          </w:tcPr>
          <w:p>
            <w:pPr>
              <w:spacing w:after="40"/>
            </w:pPr>
            <w:r>
              <w:rPr>
                <w:color w:val="171717"/>
                <w:sz w:val="13"/>
              </w:rPr>
              <w:t>Partial</w:t>
            </w:r>
          </w:p>
        </w:tc>
        <w:tc>
          <w:tcPr>
            <w:tcW w:type="dxa" w:w="1560"/>
          </w:tcPr>
          <w:p>
            <w:pPr>
              <w:spacing w:after="40"/>
            </w:pPr>
            <w:r>
              <w:rPr>
                <w:color w:val="171717"/>
                <w:sz w:val="13"/>
              </w:rPr>
              <w:t>Produce role-tiered OS literacy course.</w:t>
            </w:r>
          </w:p>
        </w:tc>
      </w:tr>
      <w:tr>
        <w:trPr>
          <w:cantSplit/>
        </w:trPr>
        <w:tc>
          <w:tcPr>
            <w:tcW w:type="dxa" w:w="1560"/>
            <w:shd w:fill="FAF8F6"/>
          </w:tcPr>
          <w:p>
            <w:pPr>
              <w:spacing w:after="40"/>
            </w:pPr>
            <w:r>
              <w:rPr>
                <w:color w:val="171717"/>
                <w:sz w:val="13"/>
              </w:rPr>
              <w:t>KIA-11</w:t>
            </w:r>
          </w:p>
        </w:tc>
        <w:tc>
          <w:tcPr>
            <w:tcW w:type="dxa" w:w="1560"/>
            <w:shd w:fill="FAF8F6"/>
          </w:tcPr>
          <w:p>
            <w:pPr>
              <w:spacing w:after="40"/>
            </w:pPr>
            <w:r>
              <w:rPr>
                <w:color w:val="171717"/>
                <w:sz w:val="13"/>
              </w:rPr>
              <w:t>White-Glove Team and Service Culture</w:t>
            </w:r>
          </w:p>
        </w:tc>
        <w:tc>
          <w:tcPr>
            <w:tcW w:type="dxa" w:w="1560"/>
            <w:shd w:fill="FAF8F6"/>
          </w:tcPr>
          <w:p>
            <w:pPr>
              <w:spacing w:after="40"/>
            </w:pPr>
            <w:r>
              <w:rPr>
                <w:color w:val="171717"/>
                <w:sz w:val="13"/>
              </w:rPr>
              <w:t>M14/M19</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Approve staffing policies and role practicals.</w:t>
            </w:r>
          </w:p>
        </w:tc>
      </w:tr>
      <w:tr>
        <w:trPr>
          <w:cantSplit/>
        </w:trPr>
        <w:tc>
          <w:tcPr>
            <w:tcW w:type="dxa" w:w="1560"/>
          </w:tcPr>
          <w:p>
            <w:pPr>
              <w:spacing w:after="40"/>
            </w:pPr>
            <w:r>
              <w:rPr>
                <w:color w:val="171717"/>
                <w:sz w:val="13"/>
              </w:rPr>
              <w:t>KIA-12</w:t>
            </w:r>
          </w:p>
        </w:tc>
        <w:tc>
          <w:tcPr>
            <w:tcW w:type="dxa" w:w="1560"/>
          </w:tcPr>
          <w:p>
            <w:pPr>
              <w:spacing w:after="40"/>
            </w:pPr>
            <w:r>
              <w:rPr>
                <w:color w:val="171717"/>
                <w:sz w:val="13"/>
              </w:rPr>
              <w:t>Supplier Mastery and Delivery Control</w:t>
            </w:r>
          </w:p>
        </w:tc>
        <w:tc>
          <w:tcPr>
            <w:tcW w:type="dxa" w:w="1560"/>
          </w:tcPr>
          <w:p>
            <w:pPr>
              <w:spacing w:after="40"/>
            </w:pPr>
            <w:r>
              <w:rPr>
                <w:color w:val="171717"/>
                <w:sz w:val="13"/>
              </w:rPr>
              <w:t>M07/M13/M18</w:t>
            </w:r>
          </w:p>
        </w:tc>
        <w:tc>
          <w:tcPr>
            <w:tcW w:type="dxa" w:w="1560"/>
          </w:tcPr>
          <w:p>
            <w:pPr>
              <w:spacing w:after="40"/>
            </w:pPr>
            <w:r>
              <w:rPr>
                <w:color w:val="171717"/>
                <w:sz w:val="13"/>
              </w:rPr>
              <w:t>Complete</w:t>
            </w:r>
          </w:p>
        </w:tc>
        <w:tc>
          <w:tcPr>
            <w:tcW w:type="dxa" w:w="1560"/>
          </w:tcPr>
          <w:p>
            <w:pPr>
              <w:spacing w:after="40"/>
            </w:pPr>
            <w:r>
              <w:rPr>
                <w:color w:val="171717"/>
                <w:sz w:val="13"/>
              </w:rPr>
              <w:t>Partial</w:t>
            </w:r>
          </w:p>
        </w:tc>
        <w:tc>
          <w:tcPr>
            <w:tcW w:type="dxa" w:w="1560"/>
          </w:tcPr>
          <w:p>
            <w:pPr>
              <w:spacing w:after="40"/>
            </w:pPr>
            <w:r>
              <w:rPr>
                <w:color w:val="171717"/>
                <w:sz w:val="13"/>
              </w:rPr>
              <w:t>Produce supplier failure and change-control cases.</w:t>
            </w:r>
          </w:p>
        </w:tc>
      </w:tr>
      <w:tr>
        <w:trPr>
          <w:cantSplit/>
        </w:trPr>
        <w:tc>
          <w:tcPr>
            <w:tcW w:type="dxa" w:w="1560"/>
            <w:shd w:fill="FAF8F6"/>
          </w:tcPr>
          <w:p>
            <w:pPr>
              <w:spacing w:after="40"/>
            </w:pPr>
            <w:r>
              <w:rPr>
                <w:color w:val="171717"/>
                <w:sz w:val="13"/>
              </w:rPr>
              <w:t>KIA-13</w:t>
            </w:r>
          </w:p>
        </w:tc>
        <w:tc>
          <w:tcPr>
            <w:tcW w:type="dxa" w:w="1560"/>
            <w:shd w:fill="FAF8F6"/>
          </w:tcPr>
          <w:p>
            <w:pPr>
              <w:spacing w:after="40"/>
            </w:pPr>
            <w:r>
              <w:rPr>
                <w:color w:val="171717"/>
                <w:sz w:val="13"/>
              </w:rPr>
              <w:t>Communication, Concierge and Personalisation</w:t>
            </w:r>
          </w:p>
        </w:tc>
        <w:tc>
          <w:tcPr>
            <w:tcW w:type="dxa" w:w="1560"/>
            <w:shd w:fill="FAF8F6"/>
          </w:tcPr>
          <w:p>
            <w:pPr>
              <w:spacing w:after="40"/>
            </w:pPr>
            <w:r>
              <w:rPr>
                <w:color w:val="171717"/>
                <w:sz w:val="13"/>
              </w:rPr>
              <w:t>M15</w:t>
            </w:r>
          </w:p>
        </w:tc>
        <w:tc>
          <w:tcPr>
            <w:tcW w:type="dxa" w:w="1560"/>
            <w:shd w:fill="FAF8F6"/>
          </w:tcPr>
          <w:p>
            <w:pPr>
              <w:spacing w:after="40"/>
            </w:pPr>
            <w:r>
              <w:rPr>
                <w:color w:val="171717"/>
                <w:sz w:val="13"/>
              </w:rPr>
              <w:t>Complete with controls</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Complete privacy decisions and writing assessments.</w:t>
            </w:r>
          </w:p>
        </w:tc>
      </w:tr>
      <w:tr>
        <w:trPr>
          <w:cantSplit/>
        </w:trPr>
        <w:tc>
          <w:tcPr>
            <w:tcW w:type="dxa" w:w="1560"/>
          </w:tcPr>
          <w:p>
            <w:pPr>
              <w:spacing w:after="40"/>
            </w:pPr>
            <w:r>
              <w:rPr>
                <w:color w:val="171717"/>
                <w:sz w:val="13"/>
              </w:rPr>
              <w:t>KIA-14</w:t>
            </w:r>
          </w:p>
        </w:tc>
        <w:tc>
          <w:tcPr>
            <w:tcW w:type="dxa" w:w="1560"/>
          </w:tcPr>
          <w:p>
            <w:pPr>
              <w:spacing w:after="40"/>
            </w:pPr>
            <w:r>
              <w:rPr>
                <w:color w:val="171717"/>
                <w:sz w:val="13"/>
              </w:rPr>
              <w:t>Event Command Fundamentals</w:t>
            </w:r>
          </w:p>
        </w:tc>
        <w:tc>
          <w:tcPr>
            <w:tcW w:type="dxa" w:w="1560"/>
          </w:tcPr>
          <w:p>
            <w:pPr>
              <w:spacing w:after="40"/>
            </w:pPr>
            <w:r>
              <w:rPr>
                <w:color w:val="171717"/>
                <w:sz w:val="13"/>
              </w:rPr>
              <w:t>M06</w:t>
            </w:r>
          </w:p>
        </w:tc>
        <w:tc>
          <w:tcPr>
            <w:tcW w:type="dxa" w:w="1560"/>
          </w:tcPr>
          <w:p>
            <w:pPr>
              <w:spacing w:after="40"/>
            </w:pPr>
            <w:r>
              <w:rPr>
                <w:color w:val="171717"/>
                <w:sz w:val="13"/>
              </w:rPr>
              <w:t>Complete</w:t>
            </w:r>
          </w:p>
        </w:tc>
        <w:tc>
          <w:tcPr>
            <w:tcW w:type="dxa" w:w="1560"/>
          </w:tcPr>
          <w:p>
            <w:pPr>
              <w:spacing w:after="40"/>
            </w:pPr>
            <w:r>
              <w:rPr>
                <w:color w:val="171717"/>
                <w:sz w:val="13"/>
              </w:rPr>
              <w:t>Partial</w:t>
            </w:r>
          </w:p>
        </w:tc>
        <w:tc>
          <w:tcPr>
            <w:tcW w:type="dxa" w:w="1560"/>
          </w:tcPr>
          <w:p>
            <w:pPr>
              <w:spacing w:after="40"/>
            </w:pPr>
            <w:r>
              <w:rPr>
                <w:color w:val="171717"/>
                <w:sz w:val="13"/>
              </w:rPr>
              <w:t>Build timed decision and command-board simulations.</w:t>
            </w:r>
          </w:p>
        </w:tc>
      </w:tr>
      <w:tr>
        <w:trPr>
          <w:cantSplit/>
        </w:trPr>
        <w:tc>
          <w:tcPr>
            <w:tcW w:type="dxa" w:w="1560"/>
            <w:shd w:fill="FAF8F6"/>
          </w:tcPr>
          <w:p>
            <w:pPr>
              <w:spacing w:after="40"/>
            </w:pPr>
            <w:r>
              <w:rPr>
                <w:color w:val="171717"/>
                <w:sz w:val="13"/>
              </w:rPr>
              <w:t>KIA-15</w:t>
            </w:r>
          </w:p>
        </w:tc>
        <w:tc>
          <w:tcPr>
            <w:tcW w:type="dxa" w:w="1560"/>
            <w:shd w:fill="FAF8F6"/>
          </w:tcPr>
          <w:p>
            <w:pPr>
              <w:spacing w:after="40"/>
            </w:pPr>
            <w:r>
              <w:rPr>
                <w:color w:val="171717"/>
                <w:sz w:val="13"/>
              </w:rPr>
              <w:t>Live Operations and Operations Room</w:t>
            </w:r>
          </w:p>
        </w:tc>
        <w:tc>
          <w:tcPr>
            <w:tcW w:type="dxa" w:w="1560"/>
            <w:shd w:fill="FAF8F6"/>
          </w:tcPr>
          <w:p>
            <w:pPr>
              <w:spacing w:after="40"/>
            </w:pPr>
            <w:r>
              <w:rPr>
                <w:color w:val="171717"/>
                <w:sz w:val="13"/>
              </w:rPr>
              <w:t>M10/M16</w:t>
            </w:r>
          </w:p>
        </w:tc>
        <w:tc>
          <w:tcPr>
            <w:tcW w:type="dxa" w:w="1560"/>
            <w:shd w:fill="FAF8F6"/>
          </w:tcPr>
          <w:p>
            <w:pPr>
              <w:spacing w:after="40"/>
            </w:pPr>
            <w:r>
              <w:rPr>
                <w:color w:val="171717"/>
                <w:sz w:val="13"/>
              </w:rPr>
              <w:t>Complete, unvalidated</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Tabletop, shadow validation and operations-room simulation.</w:t>
            </w:r>
          </w:p>
        </w:tc>
      </w:tr>
      <w:tr>
        <w:trPr>
          <w:cantSplit/>
        </w:trPr>
        <w:tc>
          <w:tcPr>
            <w:tcW w:type="dxa" w:w="1560"/>
          </w:tcPr>
          <w:p>
            <w:pPr>
              <w:spacing w:after="40"/>
            </w:pPr>
            <w:r>
              <w:rPr>
                <w:color w:val="171717"/>
                <w:sz w:val="13"/>
              </w:rPr>
              <w:t>KIA-16</w:t>
            </w:r>
          </w:p>
        </w:tc>
        <w:tc>
          <w:tcPr>
            <w:tcW w:type="dxa" w:w="1560"/>
          </w:tcPr>
          <w:p>
            <w:pPr>
              <w:spacing w:after="40"/>
            </w:pPr>
            <w:r>
              <w:rPr>
                <w:color w:val="171717"/>
                <w:sz w:val="13"/>
              </w:rPr>
              <w:t>Event Command Centre and Governed AI</w:t>
            </w:r>
          </w:p>
        </w:tc>
        <w:tc>
          <w:tcPr>
            <w:tcW w:type="dxa" w:w="1560"/>
          </w:tcPr>
          <w:p>
            <w:pPr>
              <w:spacing w:after="40"/>
            </w:pPr>
            <w:r>
              <w:rPr>
                <w:color w:val="171717"/>
                <w:sz w:val="13"/>
              </w:rPr>
              <w:t>M20/M28</w:t>
            </w:r>
          </w:p>
        </w:tc>
        <w:tc>
          <w:tcPr>
            <w:tcW w:type="dxa" w:w="1560"/>
          </w:tcPr>
          <w:p>
            <w:pPr>
              <w:spacing w:after="40"/>
            </w:pPr>
            <w:r>
              <w:rPr>
                <w:color w:val="171717"/>
                <w:sz w:val="13"/>
              </w:rPr>
              <w:t>Partial—release blocked</w:t>
            </w:r>
          </w:p>
        </w:tc>
        <w:tc>
          <w:tcPr>
            <w:tcW w:type="dxa" w:w="1560"/>
          </w:tcPr>
          <w:p>
            <w:pPr>
              <w:spacing w:after="40"/>
            </w:pPr>
            <w:r>
              <w:rPr>
                <w:color w:val="171717"/>
                <w:sz w:val="13"/>
              </w:rPr>
              <w:t>Partial</w:t>
            </w:r>
          </w:p>
        </w:tc>
        <w:tc>
          <w:tcPr>
            <w:tcW w:type="dxa" w:w="1560"/>
          </w:tcPr>
          <w:p>
            <w:pPr>
              <w:spacing w:after="40"/>
            </w:pPr>
            <w:r>
              <w:rPr>
                <w:color w:val="171717"/>
                <w:sz w:val="13"/>
              </w:rPr>
              <w:t>Build shadow harness and AI judgment training.</w:t>
            </w:r>
          </w:p>
        </w:tc>
      </w:tr>
      <w:tr>
        <w:trPr>
          <w:cantSplit/>
        </w:trPr>
        <w:tc>
          <w:tcPr>
            <w:tcW w:type="dxa" w:w="1560"/>
            <w:shd w:fill="FAF8F6"/>
          </w:tcPr>
          <w:p>
            <w:pPr>
              <w:spacing w:after="40"/>
            </w:pPr>
            <w:r>
              <w:rPr>
                <w:color w:val="171717"/>
                <w:sz w:val="13"/>
              </w:rPr>
              <w:t>KIA-17</w:t>
            </w:r>
          </w:p>
        </w:tc>
        <w:tc>
          <w:tcPr>
            <w:tcW w:type="dxa" w:w="1560"/>
            <w:shd w:fill="FAF8F6"/>
          </w:tcPr>
          <w:p>
            <w:pPr>
              <w:spacing w:after="40"/>
            </w:pPr>
            <w:r>
              <w:rPr>
                <w:color w:val="171717"/>
                <w:sz w:val="13"/>
              </w:rPr>
              <w:t>Event-Day Execution</w:t>
            </w:r>
          </w:p>
        </w:tc>
        <w:tc>
          <w:tcPr>
            <w:tcW w:type="dxa" w:w="1560"/>
            <w:shd w:fill="FAF8F6"/>
          </w:tcPr>
          <w:p>
            <w:pPr>
              <w:spacing w:after="40"/>
            </w:pPr>
            <w:r>
              <w:rPr>
                <w:color w:val="171717"/>
                <w:sz w:val="13"/>
              </w:rPr>
              <w:t>M21</w:t>
            </w:r>
          </w:p>
        </w:tc>
        <w:tc>
          <w:tcPr>
            <w:tcW w:type="dxa" w:w="1560"/>
            <w:shd w:fill="FAF8F6"/>
          </w:tcPr>
          <w:p>
            <w:pPr>
              <w:spacing w:after="40"/>
            </w:pPr>
            <w:r>
              <w:rPr>
                <w:color w:val="171717"/>
                <w:sz w:val="13"/>
              </w:rPr>
              <w:t>Complete, unvalidated</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Rehearsal/live validation and supervised practicals.</w:t>
            </w:r>
          </w:p>
        </w:tc>
      </w:tr>
      <w:tr>
        <w:trPr>
          <w:cantSplit/>
        </w:trPr>
        <w:tc>
          <w:tcPr>
            <w:tcW w:type="dxa" w:w="1560"/>
          </w:tcPr>
          <w:p>
            <w:pPr>
              <w:spacing w:after="40"/>
            </w:pPr>
            <w:r>
              <w:rPr>
                <w:color w:val="171717"/>
                <w:sz w:val="13"/>
              </w:rPr>
              <w:t>KIA-18</w:t>
            </w:r>
          </w:p>
        </w:tc>
        <w:tc>
          <w:tcPr>
            <w:tcW w:type="dxa" w:w="1560"/>
          </w:tcPr>
          <w:p>
            <w:pPr>
              <w:spacing w:after="40"/>
            </w:pPr>
            <w:r>
              <w:rPr>
                <w:color w:val="171717"/>
                <w:sz w:val="13"/>
              </w:rPr>
              <w:t>Risk, Crisis and Service Recovery</w:t>
            </w:r>
          </w:p>
        </w:tc>
        <w:tc>
          <w:tcPr>
            <w:tcW w:type="dxa" w:w="1560"/>
          </w:tcPr>
          <w:p>
            <w:pPr>
              <w:spacing w:after="40"/>
            </w:pPr>
            <w:r>
              <w:rPr>
                <w:color w:val="171717"/>
                <w:sz w:val="13"/>
              </w:rPr>
              <w:t>M11</w:t>
            </w:r>
          </w:p>
        </w:tc>
        <w:tc>
          <w:tcPr>
            <w:tcW w:type="dxa" w:w="1560"/>
          </w:tcPr>
          <w:p>
            <w:pPr>
              <w:spacing w:after="40"/>
            </w:pPr>
            <w:r>
              <w:rPr>
                <w:color w:val="171717"/>
                <w:sz w:val="13"/>
              </w:rPr>
              <w:t>Complete framework</w:t>
            </w:r>
          </w:p>
        </w:tc>
        <w:tc>
          <w:tcPr>
            <w:tcW w:type="dxa" w:w="1560"/>
          </w:tcPr>
          <w:p>
            <w:pPr>
              <w:spacing w:after="40"/>
            </w:pPr>
            <w:r>
              <w:rPr>
                <w:color w:val="171717"/>
                <w:sz w:val="13"/>
              </w:rPr>
              <w:t>Partial</w:t>
            </w:r>
          </w:p>
        </w:tc>
        <w:tc>
          <w:tcPr>
            <w:tcW w:type="dxa" w:w="1560"/>
          </w:tcPr>
          <w:p>
            <w:pPr>
              <w:spacing w:after="40"/>
            </w:pPr>
            <w:r>
              <w:rPr>
                <w:color w:val="171717"/>
                <w:sz w:val="13"/>
              </w:rPr>
              <w:t>Specialist-approved crisis scenarios and severity calibration.</w:t>
            </w:r>
          </w:p>
        </w:tc>
      </w:tr>
      <w:tr>
        <w:trPr>
          <w:cantSplit/>
        </w:trPr>
        <w:tc>
          <w:tcPr>
            <w:tcW w:type="dxa" w:w="1560"/>
            <w:shd w:fill="FAF8F6"/>
          </w:tcPr>
          <w:p>
            <w:pPr>
              <w:spacing w:after="40"/>
            </w:pPr>
            <w:r>
              <w:rPr>
                <w:color w:val="171717"/>
                <w:sz w:val="13"/>
              </w:rPr>
              <w:t>KIA-19</w:t>
            </w:r>
          </w:p>
        </w:tc>
        <w:tc>
          <w:tcPr>
            <w:tcW w:type="dxa" w:w="1560"/>
            <w:shd w:fill="FAF8F6"/>
          </w:tcPr>
          <w:p>
            <w:pPr>
              <w:spacing w:after="40"/>
            </w:pPr>
            <w:r>
              <w:rPr>
                <w:color w:val="171717"/>
                <w:sz w:val="13"/>
              </w:rPr>
              <w:t>Guest Psychology and Luxury Recovery</w:t>
            </w:r>
          </w:p>
        </w:tc>
        <w:tc>
          <w:tcPr>
            <w:tcW w:type="dxa" w:w="1560"/>
            <w:shd w:fill="FAF8F6"/>
          </w:tcPr>
          <w:p>
            <w:pPr>
              <w:spacing w:after="40"/>
            </w:pPr>
            <w:r>
              <w:rPr>
                <w:color w:val="171717"/>
                <w:sz w:val="13"/>
              </w:rPr>
              <w:t>M22/M25</w:t>
            </w:r>
          </w:p>
        </w:tc>
        <w:tc>
          <w:tcPr>
            <w:tcW w:type="dxa" w:w="1560"/>
            <w:shd w:fill="FAF8F6"/>
          </w:tcPr>
          <w:p>
            <w:pPr>
              <w:spacing w:after="40"/>
            </w:pPr>
            <w:r>
              <w:rPr>
                <w:color w:val="171717"/>
                <w:sz w:val="13"/>
              </w:rPr>
              <w:t>Complete</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Produce ambiguous recovery cases and calibrated rubrics.</w:t>
            </w:r>
          </w:p>
        </w:tc>
      </w:tr>
      <w:tr>
        <w:trPr>
          <w:cantSplit/>
        </w:trPr>
        <w:tc>
          <w:tcPr>
            <w:tcW w:type="dxa" w:w="1560"/>
          </w:tcPr>
          <w:p>
            <w:pPr>
              <w:spacing w:after="40"/>
            </w:pPr>
            <w:r>
              <w:rPr>
                <w:color w:val="171717"/>
                <w:sz w:val="13"/>
              </w:rPr>
              <w:t>KIA-20</w:t>
            </w:r>
          </w:p>
        </w:tc>
        <w:tc>
          <w:tcPr>
            <w:tcW w:type="dxa" w:w="1560"/>
          </w:tcPr>
          <w:p>
            <w:pPr>
              <w:spacing w:after="40"/>
            </w:pPr>
            <w:r>
              <w:rPr>
                <w:color w:val="171717"/>
                <w:sz w:val="13"/>
              </w:rPr>
              <w:t>Safety, Security, Privacy and Information Control</w:t>
            </w:r>
          </w:p>
        </w:tc>
        <w:tc>
          <w:tcPr>
            <w:tcW w:type="dxa" w:w="1560"/>
          </w:tcPr>
          <w:p>
            <w:pPr>
              <w:spacing w:after="40"/>
            </w:pPr>
            <w:r>
              <w:rPr>
                <w:color w:val="171717"/>
                <w:sz w:val="13"/>
              </w:rPr>
              <w:t>M17/M23/M29</w:t>
            </w:r>
          </w:p>
        </w:tc>
        <w:tc>
          <w:tcPr>
            <w:tcW w:type="dxa" w:w="1560"/>
          </w:tcPr>
          <w:p>
            <w:pPr>
              <w:spacing w:after="40"/>
            </w:pPr>
            <w:r>
              <w:rPr>
                <w:color w:val="171717"/>
                <w:sz w:val="13"/>
              </w:rPr>
              <w:t>Partial</w:t>
            </w:r>
          </w:p>
        </w:tc>
        <w:tc>
          <w:tcPr>
            <w:tcW w:type="dxa" w:w="1560"/>
          </w:tcPr>
          <w:p>
            <w:pPr>
              <w:spacing w:after="40"/>
            </w:pPr>
            <w:r>
              <w:rPr>
                <w:color w:val="171717"/>
                <w:sz w:val="13"/>
              </w:rPr>
              <w:t>Partial</w:t>
            </w:r>
          </w:p>
        </w:tc>
        <w:tc>
          <w:tcPr>
            <w:tcW w:type="dxa" w:w="1560"/>
          </w:tcPr>
          <w:p>
            <w:pPr>
              <w:spacing w:after="40"/>
            </w:pPr>
            <w:r>
              <w:rPr>
                <w:color w:val="171717"/>
                <w:sz w:val="13"/>
              </w:rPr>
              <w:t>Legal/DPIA, biometric, retention and breach decisions.</w:t>
            </w:r>
          </w:p>
        </w:tc>
      </w:tr>
      <w:tr>
        <w:trPr>
          <w:cantSplit/>
        </w:trPr>
        <w:tc>
          <w:tcPr>
            <w:tcW w:type="dxa" w:w="1560"/>
            <w:shd w:fill="FAF8F6"/>
          </w:tcPr>
          <w:p>
            <w:pPr>
              <w:spacing w:after="40"/>
            </w:pPr>
            <w:r>
              <w:rPr>
                <w:color w:val="171717"/>
                <w:sz w:val="13"/>
              </w:rPr>
              <w:t>KIA-21</w:t>
            </w:r>
          </w:p>
        </w:tc>
        <w:tc>
          <w:tcPr>
            <w:tcW w:type="dxa" w:w="1560"/>
            <w:shd w:fill="FAF8F6"/>
          </w:tcPr>
          <w:p>
            <w:pPr>
              <w:spacing w:after="40"/>
            </w:pPr>
            <w:r>
              <w:rPr>
                <w:color w:val="171717"/>
                <w:sz w:val="13"/>
              </w:rPr>
              <w:t>Host and Principal Management</w:t>
            </w:r>
          </w:p>
        </w:tc>
        <w:tc>
          <w:tcPr>
            <w:tcW w:type="dxa" w:w="1560"/>
            <w:shd w:fill="FAF8F6"/>
          </w:tcPr>
          <w:p>
            <w:pPr>
              <w:spacing w:after="40"/>
            </w:pPr>
            <w:r>
              <w:rPr>
                <w:color w:val="171717"/>
                <w:sz w:val="13"/>
              </w:rPr>
              <w:t>M26</w:t>
            </w:r>
          </w:p>
        </w:tc>
        <w:tc>
          <w:tcPr>
            <w:tcW w:type="dxa" w:w="1560"/>
            <w:shd w:fill="FAF8F6"/>
          </w:tcPr>
          <w:p>
            <w:pPr>
              <w:spacing w:after="40"/>
            </w:pPr>
            <w:r>
              <w:rPr>
                <w:color w:val="171717"/>
                <w:sz w:val="13"/>
              </w:rPr>
              <w:t>Complete</w:t>
            </w:r>
          </w:p>
        </w:tc>
        <w:tc>
          <w:tcPr>
            <w:tcW w:type="dxa" w:w="1560"/>
            <w:shd w:fill="FAF8F6"/>
          </w:tcPr>
          <w:p>
            <w:pPr>
              <w:spacing w:after="40"/>
            </w:pPr>
            <w:r>
              <w:rPr>
                <w:color w:val="171717"/>
                <w:sz w:val="13"/>
              </w:rPr>
              <w:t>Partial</w:t>
            </w:r>
          </w:p>
        </w:tc>
        <w:tc>
          <w:tcPr>
            <w:tcW w:type="dxa" w:w="1560"/>
            <w:shd w:fill="FAF8F6"/>
          </w:tcPr>
          <w:p>
            <w:pPr>
              <w:spacing w:after="40"/>
            </w:pPr>
            <w:r>
              <w:rPr>
                <w:color w:val="171717"/>
                <w:sz w:val="13"/>
              </w:rPr>
              <w:t>Produce one consolidated host-management course.</w:t>
            </w:r>
          </w:p>
        </w:tc>
      </w:tr>
      <w:tr>
        <w:trPr>
          <w:cantSplit/>
        </w:trPr>
        <w:tc>
          <w:tcPr>
            <w:tcW w:type="dxa" w:w="1560"/>
          </w:tcPr>
          <w:p>
            <w:pPr>
              <w:spacing w:after="40"/>
            </w:pPr>
            <w:r>
              <w:rPr>
                <w:color w:val="171717"/>
                <w:sz w:val="13"/>
              </w:rPr>
              <w:t>KIA-22</w:t>
            </w:r>
          </w:p>
        </w:tc>
        <w:tc>
          <w:tcPr>
            <w:tcW w:type="dxa" w:w="1560"/>
          </w:tcPr>
          <w:p>
            <w:pPr>
              <w:spacing w:after="40"/>
            </w:pPr>
            <w:r>
              <w:rPr>
                <w:color w:val="171717"/>
                <w:sz w:val="13"/>
              </w:rPr>
              <w:t>Maison Doclar Standard and CEO Charter</w:t>
            </w:r>
          </w:p>
        </w:tc>
        <w:tc>
          <w:tcPr>
            <w:tcW w:type="dxa" w:w="1560"/>
          </w:tcPr>
          <w:p>
            <w:pPr>
              <w:spacing w:after="40"/>
            </w:pPr>
            <w:r>
              <w:rPr>
                <w:color w:val="171717"/>
                <w:sz w:val="13"/>
              </w:rPr>
              <w:t>M30</w:t>
            </w:r>
          </w:p>
        </w:tc>
        <w:tc>
          <w:tcPr>
            <w:tcW w:type="dxa" w:w="1560"/>
          </w:tcPr>
          <w:p>
            <w:pPr>
              <w:spacing w:after="40"/>
            </w:pPr>
            <w:r>
              <w:rPr>
                <w:color w:val="171717"/>
                <w:sz w:val="13"/>
              </w:rPr>
              <w:t>Complete</w:t>
            </w:r>
          </w:p>
        </w:tc>
        <w:tc>
          <w:tcPr>
            <w:tcW w:type="dxa" w:w="1560"/>
          </w:tcPr>
          <w:p>
            <w:pPr>
              <w:spacing w:after="40"/>
            </w:pPr>
            <w:r>
              <w:rPr>
                <w:color w:val="171717"/>
                <w:sz w:val="13"/>
              </w:rPr>
              <w:t>Partial</w:t>
            </w:r>
          </w:p>
        </w:tc>
        <w:tc>
          <w:tcPr>
            <w:tcW w:type="dxa" w:w="1560"/>
          </w:tcPr>
          <w:p>
            <w:pPr>
              <w:spacing w:after="40"/>
            </w:pPr>
            <w:r>
              <w:rPr>
                <w:color w:val="171717"/>
                <w:sz w:val="13"/>
              </w:rPr>
              <w:t>Produce capstone board, critical items and evidence pack.</w:t>
            </w:r>
          </w:p>
        </w:tc>
      </w:tr>
    </w:tbl>
    <w:p>
      <w:pPr>
        <w:spacing w:after="20"/>
      </w:pPr>
    </w:p>
    <w:p>
      <w:pPr>
        <w:pStyle w:val="Heading1"/>
        <w:keepNext/>
      </w:pPr>
      <w:r>
        <w:t>Appendix B — Register governance rules</w:t>
      </w:r>
    </w:p>
    <w:p>
      <w:pPr>
        <w:pStyle w:val="ListBullet"/>
      </w:pPr>
      <w:r>
        <w:t>Never delete or recycle a doctrine ID. Retire it with reason and successor link.</w:t>
      </w:r>
    </w:p>
    <w:p>
      <w:pPr>
        <w:pStyle w:val="ListBullet"/>
      </w:pPr>
      <w:r>
        <w:t>Do not edit canonical summary to alter doctrine; amend the handbook through governance first.</w:t>
      </w:r>
    </w:p>
    <w:p>
      <w:pPr>
        <w:pStyle w:val="ListBullet"/>
      </w:pPr>
      <w:r>
        <w:t>Do not mark OS or Academy complete without evidence links and independent result.</w:t>
      </w:r>
    </w:p>
    <w:p>
      <w:pPr>
        <w:pStyle w:val="ListBullet"/>
      </w:pPr>
      <w:r>
        <w:t>Do not approve an exception without owner, rationale, scope, expiry, affected events and compensating control.</w:t>
      </w:r>
    </w:p>
    <w:p>
      <w:pPr>
        <w:pStyle w:val="ListBullet"/>
      </w:pPr>
      <w:r>
        <w:t>Do not use provisional protocol/cultural facts or unresolved biometric processing in production.</w:t>
      </w:r>
    </w:p>
    <w:p>
      <w:pPr>
        <w:pStyle w:val="ListBullet"/>
      </w:pPr>
      <w:r>
        <w:t>Do not enable AI recommendations beyond the approved shadow/production state.</w:t>
      </w:r>
    </w:p>
    <w:p>
      <w:pPr>
        <w:pStyle w:val="ListBullet"/>
      </w:pPr>
      <w:r>
        <w:t>Reconcile the register at every release and after every material doctrine, policy, course or schema change.</w:t>
      </w:r>
    </w:p>
    <w:sectPr w:rsidR="00FC693F" w:rsidRPr="0006063C" w:rsidSect="00034616">
      <w:headerReference w:type="default" r:id="rId9"/>
      <w:footerReference w:type="default" r:id="rId10"/>
      <w:pgSz w:w="12240" w:h="15840"/>
      <w:pgMar w:top="1152"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CONFIDENTIAL  •  v1.0  •  3 SEPTEMBER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6666"/>
        <w:sz w:val="16"/>
      </w:rPr>
      <w:t>MAISON DOCLAR  |  OS–ACADEMY KNOWLEDGE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171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B79F8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spacing w:after="8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OS–Academy Full Knowledge Reconciliation and Release-Control Pack</dc:title>
  <dc:subject>Knowledge reconciliation, remediation, integration, validation and release control</dc:subject>
  <dc:creator>Maison Doclar</dc:creator>
  <cp:keywords>Maison Doclar, Event OS, Academy, knowledge, doctrine, traceability, acceptance</cp:keywords>
  <dc:description>generated by python-docx</dc:description>
  <cp:lastModifiedBy/>
  <cp:revision>1</cp:revision>
  <dcterms:created xsi:type="dcterms:W3CDTF">2013-12-23T23:15:00Z</dcterms:created>
  <dcterms:modified xsi:type="dcterms:W3CDTF">2013-12-23T23:15:00Z</dcterms:modified>
  <cp:category/>
</cp:coreProperties>
</file>