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spacing w:before="2400"/>
        <w:jc w:val="center"/>
      </w:pPr>
      <w:r>
        <w:t>Knowledge Integrity Audit</w:t>
      </w:r>
    </w:p>
    <w:p>
      <w:pPr>
        <w:pStyle w:val="Subtitle"/>
        <w:jc w:val="center"/>
      </w:pPr>
      <w:r>
        <w:t>Canonical CEO Handbook × Event Operating System × Maison Doclar Academy</w:t>
      </w:r>
    </w:p>
    <w:p>
      <w:pPr>
        <w:pStyle w:val="Subtitle"/>
        <w:jc w:val="center"/>
      </w:pPr>
      <w:r>
        <w:rPr>
          <w:color w:val="B79F85"/>
        </w:rPr>
        <w:t>Coverage, gaps, placement, remediation and acceptance</w:t>
      </w:r>
    </w:p>
    <w:p>
      <w:pPr>
        <w:spacing w:before="3200"/>
        <w:jc w:val="center"/>
      </w:pPr>
      <w:r>
        <w:rPr>
          <w:sz w:val="20"/>
        </w:rPr>
        <w:t>Version 1.0  |  3 September 2026</w:t>
        <w:br/>
        <w:t>Owner: CEO, Maison Doclar</w:t>
        <w:br/>
        <w:t>Status: Corrective baseline for ratification</w:t>
      </w:r>
    </w:p>
    <w:p>
      <w:r>
        <w:br w:type="page"/>
      </w:r>
    </w:p>
    <w:p>
      <w:pPr>
        <w:pStyle w:val="Heading1"/>
      </w:pPr>
      <w:r>
        <w:t>Executive conclusion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>
              <w:rPr>
                <w:b/>
                <w:color w:val="1E4B75"/>
              </w:rPr>
              <w:t xml:space="preserve">AUDIT OPINION  </w:t>
            </w:r>
            <w:r>
              <w:t>The Event OS is substantially complete as an operational specification, but it is not yet knowledge-complete for production because several authority registers, policies, thresholds and live-validation gates remain unresolved. The Academy is architecturally complete but content-incomplete: its competency, curriculum, assessment and certification specifications do not yet constitute the finished lesson corpus or question bank.</w:t>
            </w:r>
          </w:p>
        </w:tc>
      </w:tr>
    </w:tbl>
    <w:p>
      <w:pPr>
        <w:pStyle w:val="Heading2"/>
      </w:pPr>
      <w:r>
        <w:t>What this means</w:t>
      </w:r>
    </w:p>
    <w:p>
      <w:pPr>
        <w:pStyle w:val="ListBullet"/>
      </w:pPr>
      <w:r>
        <w:t>The earlier OS and Academy work is not discarded. Their architecture remains valid and provides the correct destinations for the full doctrine.</w:t>
      </w:r>
    </w:p>
    <w:p>
      <w:pPr>
        <w:pStyle w:val="ListBullet"/>
      </w:pPr>
      <w:r>
        <w:t>The OS should not contain the 891-page handbook verbatim. It needs executable rules, data contracts, workflows, controlled context and links to rationale.</w:t>
      </w:r>
    </w:p>
    <w:p>
      <w:pPr>
        <w:pStyle w:val="ListBullet"/>
      </w:pPr>
      <w:r>
        <w:t>The Academy must contain substantially more teaching depth than it currently does: explanations, examples, scenarios, practicals, assessment items and remediation.</w:t>
      </w:r>
    </w:p>
    <w:p>
      <w:pPr>
        <w:pStyle w:val="ListBullet"/>
      </w:pPr>
      <w:r>
        <w:t>Neither system may be declared knowledge-complete until every canonical doctrine unit has an explicit disposition and evidence.</w:t>
      </w:r>
    </w:p>
    <w:p>
      <w:pPr>
        <w:pStyle w:val="Heading2"/>
      </w:pPr>
      <w:r>
        <w:t>Overall rating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fill="10243E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500"/>
            <w:shd w:fill="10243E"/>
          </w:tcPr>
          <w:p>
            <w:r>
              <w:rPr>
                <w:b/>
                <w:color w:val="FFFFFF"/>
                <w:sz w:val="16"/>
              </w:rPr>
              <w:t>Current rating</w:t>
            </w:r>
          </w:p>
        </w:tc>
        <w:tc>
          <w:tcPr>
            <w:tcW w:type="dxa" w:w="3000"/>
            <w:shd w:fill="10243E"/>
          </w:tcPr>
          <w:p>
            <w:r>
              <w:rPr>
                <w:b/>
                <w:color w:val="FFFFFF"/>
                <w:sz w:val="16"/>
              </w:rPr>
              <w:t>What exists</w:t>
            </w:r>
          </w:p>
        </w:tc>
        <w:tc>
          <w:tcPr>
            <w:tcW w:type="dxa" w:w="3260"/>
            <w:shd w:fill="10243E"/>
          </w:tcPr>
          <w:p>
            <w:r>
              <w:rPr>
                <w:b/>
                <w:color w:val="FFFFFF"/>
                <w:sz w:val="16"/>
              </w:rPr>
              <w:t>What prevents completion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doctrine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6"/>
              </w:rPr>
              <w:t>Established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Comprehensive CEO Handbook v2.0; 22 chapters; complete source consolidation.</w:t>
            </w:r>
          </w:p>
        </w:tc>
        <w:tc>
          <w:tcPr>
            <w:tcW w:type="dxa" w:w="3260"/>
            <w:vAlign w:val="top"/>
          </w:tcPr>
          <w:p>
            <w:pPr>
              <w:spacing w:after="40"/>
            </w:pPr>
            <w:r>
              <w:rPr>
                <w:sz w:val="16"/>
              </w:rPr>
              <w:t>CEO ratification and stable doctrine identifiers.</w:t>
            </w:r>
          </w:p>
        </w:tc>
      </w:tr>
      <w:tr>
        <w:tc>
          <w:tcPr>
            <w:tcW w:type="dxa" w:w="16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knowledge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Substantially specified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545k characters; 220 tables; rules, data, application, intelligence, roles and reconciliation across M01–M30.</w:t>
            </w:r>
          </w:p>
        </w:tc>
        <w:tc>
          <w:tcPr>
            <w:tcW w:type="dxa" w:w="3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Protocol/cultural sources; staffing/legal/privacy decisions; AI shadow evidence; first-event calibration.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architecture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6"/>
              </w:rPr>
              <w:t>Specified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Competency map, curriculum, role paths, assessment, certification, security, frontend and integration specifications.</w:t>
            </w:r>
          </w:p>
        </w:tc>
        <w:tc>
          <w:tcPr>
            <w:tcW w:type="dxa" w:w="3260"/>
            <w:vAlign w:val="top"/>
          </w:tcPr>
          <w:p>
            <w:pPr>
              <w:spacing w:after="40"/>
            </w:pPr>
            <w:r>
              <w:rPr>
                <w:sz w:val="16"/>
              </w:rPr>
              <w:t>Full lesson and assessment production is not complete.</w:t>
            </w:r>
          </w:p>
        </w:tc>
      </w:tr>
      <w:tr>
        <w:tc>
          <w:tcPr>
            <w:tcW w:type="dxa" w:w="16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Academy content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Not complete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Initial course-production controls and exemplars.</w:t>
            </w:r>
          </w:p>
        </w:tc>
        <w:tc>
          <w:tcPr>
            <w:tcW w:type="dxa" w:w="3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No complete role-tiered lesson corpus, question bank, practical suite or calibrated assessor evidence.</w:t>
            </w:r>
          </w:p>
        </w:tc>
      </w:tr>
    </w:tbl>
    <w:p>
      <w:pPr>
        <w:pStyle w:val="Heading1"/>
      </w:pPr>
      <w:r>
        <w:t>Audit basis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shd w:fill="10243E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100"/>
            <w:shd w:fill="10243E"/>
          </w:tcPr>
          <w:p>
            <w:r>
              <w:rPr>
                <w:b/>
                <w:color w:val="FFFFFF"/>
                <w:sz w:val="16"/>
              </w:rPr>
              <w:t>Observed scale</w:t>
            </w:r>
          </w:p>
        </w:tc>
        <w:tc>
          <w:tcPr>
            <w:tcW w:type="dxa" w:w="4260"/>
            <w:shd w:fill="10243E"/>
          </w:tcPr>
          <w:p>
            <w:r>
              <w:rPr>
                <w:b/>
                <w:color w:val="FFFFFF"/>
                <w:sz w:val="16"/>
              </w:rPr>
              <w:t>Audit use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CEO Handbook Comprehensive v2.0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6"/>
              </w:rPr>
              <w:t>About 595k characters; 21,551 substantive paragraphs; 66 tables; 22 chapters.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human doctrine and teaching baseline.</w:t>
            </w:r>
          </w:p>
        </w:tc>
      </w:tr>
      <w:tr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Intelligence Specification v1.0 Final Draft</w:t>
            </w:r>
          </w:p>
        </w:tc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About 545k characters; 2,200 substantive paragraphs; 220 tables; 672 headings.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knowledge, data, intelligence, authority and module reconciliation.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30-Module Competency Map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6"/>
              </w:rPr>
              <w:t>About 57k characters; 109 tables.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Competency and module traceability.</w:t>
            </w:r>
          </w:p>
        </w:tc>
      </w:tr>
      <w:tr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Curriculum Specification</w:t>
            </w:r>
          </w:p>
        </w:tc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About 38k characters; 44 tables.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Course, lesson and pathway design.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Assessment and Question-Bank Specification</w:t>
            </w:r>
          </w:p>
        </w:tc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6"/>
              </w:rPr>
              <w:t>About 40k characters; 39 tables.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Assessment rules and item architecture.</w:t>
            </w:r>
          </w:p>
        </w:tc>
      </w:tr>
      <w:tr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Initial Course-Production Pack</w:t>
            </w:r>
          </w:p>
        </w:tc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About 16k characters; 15 tables.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Authoring controls and initial production evidence—not a complete curriculum.</w:t>
            </w:r>
          </w:p>
        </w:tc>
      </w:tr>
    </w:tbl>
    <w:p>
      <w:pPr>
        <w:pStyle w:val="Heading1"/>
      </w:pPr>
      <w:r>
        <w:t>Method and rating rules</w:t>
      </w:r>
    </w:p>
    <w:p>
      <w:pPr>
        <w:pStyle w:val="ListBullet"/>
      </w:pPr>
      <w:r>
        <w:t>Trace the doctrine, not merely titles or keywords.</w:t>
      </w:r>
    </w:p>
    <w:p>
      <w:pPr>
        <w:pStyle w:val="ListBullet"/>
      </w:pPr>
      <w:r>
        <w:t>For the OS, test whether the doctrine has the correct rule, data, trigger, owner, approval and intelligence destination.</w:t>
      </w:r>
    </w:p>
    <w:p>
      <w:pPr>
        <w:pStyle w:val="ListBullet"/>
      </w:pPr>
      <w:r>
        <w:t>For the Academy, test competency mapping, instructional depth, assessment evidence and role/path coverage separately.</w:t>
      </w:r>
    </w:p>
    <w:p>
      <w:pPr>
        <w:pStyle w:val="ListBullet"/>
      </w:pPr>
      <w:r>
        <w:t>Mark event-specific or specialist knowledge partial until sourced, dated, approved and re-verifiable.</w:t>
      </w:r>
    </w:p>
    <w:p>
      <w:pPr>
        <w:pStyle w:val="ListBullet"/>
      </w:pPr>
      <w:r>
        <w:t>Mark production behaviour unvalidated until exercised in tabletop, rehearsal, shadow or live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2100"/>
            <w:shd w:fill="10243E"/>
          </w:tcPr>
          <w:p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7260"/>
            <w:shd w:fill="10243E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sz w:val="17"/>
              </w:rPr>
              <w:t>Canonical requirement is represented at the correct abstraction with usable contracts.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Complete with controls</w:t>
            </w:r>
          </w:p>
        </w:tc>
        <w:tc>
          <w:tcPr>
            <w:tcW w:type="dxa" w:w="726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Coverage exists; production depends on an identified policy or legal control.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Complete, unvalidated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sz w:val="17"/>
              </w:rPr>
              <w:t>Design is present; operating thresholds or workload lack event evidence.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726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Material content, authority, evidence or production work remains.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40"/>
            </w:pPr>
            <w:r>
              <w:rPr>
                <w:sz w:val="17"/>
              </w:rPr>
              <w:t>Missing</w:t>
            </w:r>
          </w:p>
        </w:tc>
        <w:tc>
          <w:tcPr>
            <w:tcW w:type="dxa" w:w="7260"/>
            <w:vAlign w:val="top"/>
          </w:tcPr>
          <w:p>
            <w:pPr>
              <w:spacing w:after="40"/>
            </w:pPr>
            <w:r>
              <w:rPr>
                <w:sz w:val="17"/>
              </w:rPr>
              <w:t>No adequate destination exists.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Misplaced</w:t>
            </w:r>
          </w:p>
        </w:tc>
        <w:tc>
          <w:tcPr>
            <w:tcW w:type="dxa" w:w="726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Content exists but sits in the wrong system or authority layer.</w:t>
            </w:r>
          </w:p>
        </w:tc>
      </w:tr>
    </w:tbl>
    <w:p>
      <w:r>
        <w:br w:type="page"/>
      </w:r>
    </w:p>
    <w:p>
      <w:pPr>
        <w:pStyle w:val="Heading1"/>
      </w:pPr>
      <w:r>
        <w:t>Domain-by-domain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00"/>
            <w:shd w:fill="10243E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900"/>
            <w:shd w:fill="10243E"/>
          </w:tcPr>
          <w:p>
            <w:r>
              <w:rPr>
                <w:b/>
                <w:color w:val="FFFFFF"/>
                <w:sz w:val="15"/>
              </w:rPr>
              <w:t>Canonical domain</w:t>
            </w:r>
          </w:p>
        </w:tc>
        <w:tc>
          <w:tcPr>
            <w:tcW w:type="dxa" w:w="1000"/>
            <w:shd w:fill="10243E"/>
          </w:tcPr>
          <w:p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800"/>
            <w:shd w:fill="10243E"/>
          </w:tcPr>
          <w:p>
            <w:r>
              <w:rPr>
                <w:b/>
                <w:color w:val="FFFFFF"/>
                <w:sz w:val="15"/>
              </w:rPr>
              <w:t>OS</w:t>
            </w:r>
          </w:p>
        </w:tc>
        <w:tc>
          <w:tcPr>
            <w:tcW w:type="dxa" w:w="1860"/>
            <w:shd w:fill="10243E"/>
          </w:tcPr>
          <w:p>
            <w:r>
              <w:rPr>
                <w:b/>
                <w:color w:val="FFFFFF"/>
                <w:sz w:val="15"/>
              </w:rPr>
              <w:t>Academy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KIA-01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Meaning of White-Glove Hospitality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M01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KIA-02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 Guest Journey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M02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KIA-03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White-Glove Service in Practice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M09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KIA-04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Nigerian Protocol, Precedence and Respect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M03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KIA-05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Cultural and Ceremonial Intelligence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M04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KIA-06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VIP and High-Net-Worth Guest Intelligence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M05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 with controls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KIA-07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Protocol Conflict and Diplomatic Judgment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M24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KIA-08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Architecture of a White-Glove Event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M27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KIA-09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Ceremony, Movement and Run of Show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M08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KIA-10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Maison Doclar Event Operating System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M12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 by design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KIA-11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White-Glove Team and Service Culture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M14/M19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KIA-12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Supplier Mastery and Delivery Control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M07/M13/M18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KIA-13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Guest Communication, Concierge and Personalisation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M15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 with controls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KIA-14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Event Command Fundamentals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M06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KIA-15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Live Operations and Operations Room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M10/M16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Complete, unvalidated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KIA-16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Event Command Centre and Governed AI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M20/M28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Partial—release blocked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KIA-17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Event-Day Execution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M21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Complete, unvalidated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KIA-18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Risk, Crisis and Service Recovery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M11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 framework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KIA-19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Guest Psychology and Luxury Recovery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M22/M25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KIA-20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Safety, Security, Privacy and Information Control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M17/M23/M29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40"/>
            </w:pPr>
            <w:r>
              <w:rPr>
                <w:sz w:val="15"/>
              </w:rPr>
              <w:t>KIA-21</w:t>
            </w:r>
          </w:p>
        </w:tc>
        <w:tc>
          <w:tcPr>
            <w:tcW w:type="dxa" w:w="3900"/>
            <w:vAlign w:val="top"/>
          </w:tcPr>
          <w:p>
            <w:pPr>
              <w:spacing w:after="40"/>
            </w:pPr>
            <w:r>
              <w:rPr>
                <w:sz w:val="15"/>
              </w:rPr>
              <w:t>Host and Principal Management</w:t>
            </w:r>
          </w:p>
        </w:tc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M26 plus extension</w:t>
            </w:r>
          </w:p>
        </w:tc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KIA-22</w:t>
            </w:r>
          </w:p>
        </w:tc>
        <w:tc>
          <w:tcPr>
            <w:tcW w:type="dxa" w:w="39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Maison Doclar Standard and CEO Charter</w:t>
            </w:r>
          </w:p>
        </w:tc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M30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Partial</w:t>
            </w:r>
          </w:p>
        </w:tc>
      </w:tr>
    </w:tbl>
    <w:p>
      <w:pPr>
        <w:pStyle w:val="Heading2"/>
      </w:pPr>
      <w:r>
        <w:t>KIA-01 — Meaning of White-Glove Hospitality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M01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has five-layer, anticipation, friction and journey doctrines. Academy maps competence but does not yet provide the complete lessons, examples or finished assessments.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Produce role-tiered lessons from Handbook Ch.1; retain OS rule rationale links without copying the whole chapter.</w:t>
            </w:r>
          </w:p>
        </w:tc>
      </w:tr>
    </w:tbl>
    <w:p>
      <w:pPr>
        <w:pStyle w:val="Heading2"/>
      </w:pPr>
      <w:r>
        <w:t>KIA-02 — Complete Guest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M02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defines stages, transitions, segmentation, friction and journey records. Academy pathway exists; finished teaching and scenario bank do not.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Author journey-design lessons and scenario sets for VIP, royal, government, international, elder and principal-family journeys.</w:t>
            </w:r>
          </w:p>
        </w:tc>
      </w:tr>
    </w:tbl>
    <w:p>
      <w:pPr>
        <w:pStyle w:val="Heading2"/>
      </w:pPr>
      <w:r>
        <w:t>KIA-03 — White-Glove Service in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M09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Service standards, ownership, language, readiness and assurance outputs are specified. Academy has competencies, not full instructional production.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service-language, observation, ownership and guest-recovery practicals with assessor rubrics.</w:t>
            </w:r>
          </w:p>
        </w:tc>
      </w:tr>
    </w:tbl>
    <w:p>
      <w:pPr>
        <w:pStyle w:val="Heading2"/>
      </w:pPr>
      <w:r>
        <w:t>KIA-04 — Nigerian Protocol, Precedence and Respect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M03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Framework is strong, but the Nigerian Protocol Register is deliberately provisional and event verification remains mandatory. Academy teaches the domain structurally but lacks complete verified source packs.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Commission and approve dated protocol sources; build versioned context packs and event verification workflow; author verified lessons and scenarios.</w:t>
            </w:r>
          </w:p>
        </w:tc>
      </w:tr>
    </w:tbl>
    <w:p>
      <w:pPr>
        <w:pStyle w:val="Heading2"/>
      </w:pPr>
      <w:r>
        <w:t>KIA-05 — Cultural and Ceremonial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M04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captures authority, context packs, cultural friction and readiness. Cultural examples are not a complete current authority. Academy lacks fully reviewed cultural learning packs.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Appoint cultural reviewers; publish scoped Yoruba, Igbo, Northern, Islamic, Christian and interfaith packs with expiry and event confirmation.</w:t>
            </w:r>
          </w:p>
        </w:tc>
      </w:tr>
    </w:tbl>
    <w:p>
      <w:pPr>
        <w:pStyle w:val="Heading2"/>
      </w:pPr>
      <w:r>
        <w:t>KIA-06 — VIP and High-Net-Worth Guest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M05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 with controls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defines VIP files, owner, privacy, journey, seating, contingency and control desk. Privacy implementation requires legal validation. Academy content remains unproduced.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Complete privacy/DPIA decisions; write applied VIP judgment lessons and high-difficulty scenarios.</w:t>
            </w:r>
          </w:p>
        </w:tc>
      </w:tr>
    </w:tbl>
    <w:p>
      <w:pPr>
        <w:pStyle w:val="Heading2"/>
      </w:pPr>
      <w:r>
        <w:t>KIA-07 — Protocol Conflict and Diplomatic Judgment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M24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Conflict sequence and authority model exist, but outcomes depend on current specialist advice and event facts. Academy needs branching scenarios and manual assessment.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specialist-reviewed conflict scenarios; define escalation evidence and assessor calibration.</w:t>
            </w:r>
          </w:p>
        </w:tc>
      </w:tr>
    </w:tbl>
    <w:p>
      <w:pPr>
        <w:pStyle w:val="Heading2"/>
      </w:pPr>
      <w:r>
        <w:t>KIA-08 — Architecture of a White-Glove 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M27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already integrates journey, dependencies, critical moments, transitions and readiness. Academy competency and curriculum references exist without full courseware.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Produce architecture studio lessons, worked examples and practical design rubric.</w:t>
            </w:r>
          </w:p>
        </w:tc>
      </w:tr>
    </w:tbl>
    <w:p>
      <w:pPr>
        <w:pStyle w:val="Heading2"/>
      </w:pPr>
      <w:r>
        <w:t>KIA-09 — Ceremony, Movement and Run of Show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M08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Cue, route, run-of-show, rehearsal and ceremonial controls are specified. Academy lacks finished cueing and recovery simulations.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Author cue-calling, movement, delay-cascade and ceremony-recovery simulations.</w:t>
            </w:r>
          </w:p>
        </w:tc>
      </w:tr>
    </w:tbl>
    <w:p>
      <w:pPr>
        <w:pStyle w:val="Heading2"/>
      </w:pPr>
      <w:r>
        <w:t>KIA-10 — Maison Doclar Event Operating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M12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 by design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The Intelligence Specification is the OS knowledge baseline and contains rule, data, application, intelligence and authority contracts. Academy explains the system only at specification level.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Add a concise OS literacy course by role; link each lesson to controlled OS concepts and prohibit teaching UI clicks as doctrine.</w:t>
            </w:r>
          </w:p>
        </w:tc>
      </w:tr>
    </w:tbl>
    <w:p>
      <w:pPr>
        <w:pStyle w:val="Heading2"/>
      </w:pPr>
      <w:r>
        <w:t>KIA-11 — White-Glove Team and Service Culture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M14/M19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Roles, competence and deployment are defined, but staffing policy, vetting and discipline contain provisional items. Academy pathways are designed but full learning content is absent.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Approve staffing policy with counsel; complete role standards; produce role-specific behavioural and practical assessments.</w:t>
            </w:r>
          </w:p>
        </w:tc>
      </w:tr>
    </w:tbl>
    <w:p>
      <w:pPr>
        <w:pStyle w:val="Heading2"/>
      </w:pPr>
      <w:r>
        <w:t>KIA-12 — Supplier Mastery and Delivery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M07/M13/M18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consolidates supplier lifecycle, due diligence, brief, dependencies, scorecards, change and fallback. Academy lacks full supplier case bank.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Author supplier failure, scope change, first-article and no-surprise scenarios; validate commercial authority thresholds.</w:t>
            </w:r>
          </w:p>
        </w:tc>
      </w:tr>
    </w:tbl>
    <w:p>
      <w:pPr>
        <w:pStyle w:val="Heading2"/>
      </w:pPr>
      <w:r>
        <w:t>KIA-13 — Guest Communication, Concierge and Personalisation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M15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 with controls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defines communication and preference-memory contracts. Consent, channel and retention implementation still need legal validation. Academy lacks completed writing and judgment exercises.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Complete privacy decisions; create message-writing, consent and personalisation assessment bank.</w:t>
            </w:r>
          </w:p>
        </w:tc>
      </w:tr>
    </w:tbl>
    <w:p>
      <w:pPr>
        <w:pStyle w:val="Heading2"/>
      </w:pPr>
      <w:r>
        <w:t>KIA-14 — Event Command Fundamentals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M06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Command structure, RAG, priority, ownership, handoffs and escalation are specified. Academy needs live decision simulations.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timed command scenarios and practical board assessment for Event Director and leads.</w:t>
            </w:r>
          </w:p>
        </w:tc>
      </w:tr>
    </w:tbl>
    <w:p>
      <w:pPr>
        <w:pStyle w:val="Heading2"/>
      </w:pPr>
      <w:r>
        <w:t>KIA-15 — Live Operations and Operations Room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M10/M16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Complete, unvalidated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The operating rhythm and command products are defined, but no live event has validated thresholds, staffing or alert burden. Academy has no production simulation suite.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Run tabletop then shadow-event trials; record thresholds and workload; create operations-room simulation.</w:t>
            </w:r>
          </w:p>
        </w:tc>
      </w:tr>
    </w:tbl>
    <w:p>
      <w:pPr>
        <w:pStyle w:val="Heading2"/>
      </w:pPr>
      <w:r>
        <w:t>KIA-16 — Event Command Centre and Governed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M20/M28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Partial—release blocked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AI recommendation contracts and boundaries exist. Shadow-mode harness and production acceptance evidence do not. Academy must teach interpretation and refusal, not automation dependence.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test library and divergence reporting; prohibit production recommendations until gate passes; author AI judgment lessons.</w:t>
            </w:r>
          </w:p>
        </w:tc>
      </w:tr>
    </w:tbl>
    <w:p>
      <w:pPr>
        <w:pStyle w:val="Heading2"/>
      </w:pPr>
      <w:r>
        <w:t>KIA-17 — Event-Day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M21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Complete, unvalidated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T-24 through close controls are specified, but the organisation has no live production evidence. Academy needs event-day simulations and supervised demonstration.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Validate with rehearsals and first live events; produce role-based event-day practicals and deployment evidence.</w:t>
            </w:r>
          </w:p>
        </w:tc>
      </w:tr>
    </w:tbl>
    <w:p>
      <w:pPr>
        <w:pStyle w:val="Heading2"/>
      </w:pPr>
      <w:r>
        <w:t>KIA-18 — Risk, Crisis and Service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M11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 framework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Risk, contingency, escalation, crisis and recovery logic exist. Event thresholds and specialist response details remain event-specific. Academy lacks full crisis simulation bank.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 specialist-approved scenario library; calibrate severity and escalation; test communications and evidence preservation.</w:t>
            </w:r>
          </w:p>
        </w:tc>
      </w:tr>
    </w:tbl>
    <w:p>
      <w:pPr>
        <w:pStyle w:val="Heading2"/>
      </w:pPr>
      <w:r>
        <w:t>KIA-19 — Guest Psychology and Luxury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M22/M25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captures proportional recovery and learning. Academy has no finished difficult scenario bank or calibrated manual marking.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Author high-ambiguity recovery cases, critical questions and assessor rubrics; test inter-rater consistency.</w:t>
            </w:r>
          </w:p>
        </w:tc>
      </w:tr>
    </w:tbl>
    <w:p>
      <w:pPr>
        <w:pStyle w:val="Heading2"/>
      </w:pPr>
      <w:r>
        <w:t>KIA-20 — Safety, Security, Privacy and Information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M17/M23/M29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has classification, access, incident and specialist boundaries. Legal/privacy retention, biometrics/facial recognition and jurisdictional controls require formal decisions. Academy content must be role-filtered.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Complete DPIA/legal review, biometric policy, retention schedule and breach procedures; author least-privilege training.</w:t>
            </w:r>
          </w:p>
        </w:tc>
      </w:tr>
    </w:tbl>
    <w:p>
      <w:pPr>
        <w:pStyle w:val="Heading2"/>
      </w:pPr>
      <w:r>
        <w:t>KIA-21 — Host and Principal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M26 plus extension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OS includes Principal Manager, host intelligence and decision boundaries. Academy mapping exists but duplicate source treatment must be consolidated into one course.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Produce one canonical host-management course with executive scenarios; retire duplicate lesson structures.</w:t>
            </w:r>
          </w:p>
        </w:tc>
      </w:tr>
    </w:tbl>
    <w:p>
      <w:pPr>
        <w:pStyle w:val="Heading2"/>
      </w:pPr>
      <w:r>
        <w:t>KIA-22 — Maison Doclar Standard and CEO Charter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460"/>
            <w:shd w:fill="10243E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Canonical source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M30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status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 status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Evidence-based finding</w:t>
            </w:r>
          </w:p>
        </w:tc>
        <w:tc>
          <w:tcPr>
            <w:tcW w:type="dxa" w:w="74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Ten Rules, readiness declaration, CEO Charter, Creed and capstone are represented. Academy capstone design exists but full assessment board and evidence pack are not produced.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correction</w:t>
            </w:r>
          </w:p>
        </w:tc>
        <w:tc>
          <w:tcPr>
            <w:tcW w:type="dxa" w:w="746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capstone content, oral/practical board, critical items, assessor calibration and certificate linkage.</w:t>
            </w:r>
          </w:p>
        </w:tc>
      </w:tr>
    </w:tbl>
    <w:p>
      <w:r>
        <w:br w:type="page"/>
      </w:r>
    </w:p>
    <w:p>
      <w:pPr>
        <w:pStyle w:val="Heading1"/>
      </w:pPr>
      <w:r>
        <w:t>Cross-system defects and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shd w:fill="10243E"/>
          </w:tcPr>
          <w:p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2700"/>
            <w:shd w:fill="10243E"/>
          </w:tcPr>
          <w:p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300"/>
            <w:shd w:fill="10243E"/>
          </w:tcPr>
          <w:p>
            <w:r>
              <w:rPr>
                <w:b/>
                <w:color w:val="FFFFFF"/>
                <w:sz w:val="15"/>
              </w:rPr>
              <w:t>Consequence</w:t>
            </w:r>
          </w:p>
        </w:tc>
        <w:tc>
          <w:tcPr>
            <w:tcW w:type="dxa" w:w="2660"/>
            <w:shd w:fill="10243E"/>
          </w:tcPr>
          <w:p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False completeness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5"/>
              </w:rPr>
              <w:t>Architecture and specifications can be mistaken for populated knowledge.</w:t>
            </w:r>
          </w:p>
        </w:tc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5"/>
              </w:rPr>
              <w:t>System may launch with empty or shallow lessons and unverified rules.</w:t>
            </w:r>
          </w:p>
        </w:tc>
        <w:tc>
          <w:tcPr>
            <w:tcW w:type="dxa" w:w="2660"/>
            <w:vAlign w:val="top"/>
          </w:tcPr>
          <w:p>
            <w:pPr>
              <w:spacing w:after="40"/>
            </w:pPr>
            <w:r>
              <w:rPr>
                <w:sz w:val="15"/>
              </w:rPr>
              <w:t>Separate design-complete, content-complete, validated and production-authorised statuses.</w:t>
            </w:r>
          </w:p>
        </w:tc>
      </w:tr>
      <w:tr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Source drift</w:t>
            </w:r>
          </w:p>
        </w:tc>
        <w:tc>
          <w:tcPr>
            <w:tcW w:type="dxa" w:w="2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Handbook, OS and Academy may change independently.</w:t>
            </w:r>
          </w:p>
        </w:tc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Staff learn one rule while the system applies another.</w:t>
            </w:r>
          </w:p>
        </w:tc>
        <w:tc>
          <w:tcPr>
            <w:tcW w:type="dxa" w:w="26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Stable doctrine IDs and mandatory impact assessment on every material change.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Over-automation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judgment may be converted into a deterministic rule without authority or context.</w:t>
            </w:r>
          </w:p>
        </w:tc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5"/>
              </w:rPr>
              <w:t>Protocol, culture, privacy or guest dignity can be harmed.</w:t>
            </w:r>
          </w:p>
        </w:tc>
        <w:tc>
          <w:tcPr>
            <w:tcW w:type="dxa" w:w="2660"/>
            <w:vAlign w:val="top"/>
          </w:tcPr>
          <w:p>
            <w:pPr>
              <w:spacing w:after="40"/>
            </w:pPr>
            <w:r>
              <w:rPr>
                <w:sz w:val="15"/>
              </w:rPr>
              <w:t>Human-only and specialist-verified dispositions; explainable recommendations.</w:t>
            </w:r>
          </w:p>
        </w:tc>
      </w:tr>
      <w:tr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Under-specification</w:t>
            </w:r>
          </w:p>
        </w:tc>
        <w:tc>
          <w:tcPr>
            <w:tcW w:type="dxa" w:w="2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Rich explanations may remain only in the handbook.</w:t>
            </w:r>
          </w:p>
        </w:tc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Rules are applied mechanically without rationale; Academy learning becomes shallow.</w:t>
            </w:r>
          </w:p>
        </w:tc>
        <w:tc>
          <w:tcPr>
            <w:tcW w:type="dxa" w:w="26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OS rationale links and Academy lesson production from canonical doctrine.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Unverified context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5"/>
              </w:rPr>
              <w:t>Illustrative Nigerian protocol/cultural content may be treated as current fact.</w:t>
            </w:r>
          </w:p>
        </w:tc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5"/>
              </w:rPr>
              <w:t>Embarrassment, offence, legal or reputational harm.</w:t>
            </w:r>
          </w:p>
        </w:tc>
        <w:tc>
          <w:tcPr>
            <w:tcW w:type="dxa" w:w="2660"/>
            <w:vAlign w:val="top"/>
          </w:tcPr>
          <w:p>
            <w:pPr>
              <w:spacing w:after="40"/>
            </w:pPr>
            <w:r>
              <w:rPr>
                <w:sz w:val="15"/>
              </w:rPr>
              <w:t>Sourced registers with scope, reviewer, effective date, expiry and per-event verification.</w:t>
            </w:r>
          </w:p>
        </w:tc>
      </w:tr>
      <w:tr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Premature AI</w:t>
            </w:r>
          </w:p>
        </w:tc>
        <w:tc>
          <w:tcPr>
            <w:tcW w:type="dxa" w:w="2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Recommendation layer may be enabled before shadow evidence.</w:t>
            </w:r>
          </w:p>
        </w:tc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False confidence, missed risks and discriminatory treatment.</w:t>
            </w:r>
          </w:p>
        </w:tc>
        <w:tc>
          <w:tcPr>
            <w:tcW w:type="dxa" w:w="26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Hard production block and CEO acceptance gate.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No live baseline</w:t>
            </w:r>
          </w:p>
        </w:tc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5"/>
              </w:rPr>
              <w:t>No production event has tested staffing, alerts and response load.</w:t>
            </w:r>
          </w:p>
        </w:tc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5"/>
              </w:rPr>
              <w:t>Dashboard overload or thresholds that fail under pressure.</w:t>
            </w:r>
          </w:p>
        </w:tc>
        <w:tc>
          <w:tcPr>
            <w:tcW w:type="dxa" w:w="2660"/>
            <w:vAlign w:val="top"/>
          </w:tcPr>
          <w:p>
            <w:pPr>
              <w:spacing w:after="40"/>
            </w:pPr>
            <w:r>
              <w:rPr>
                <w:sz w:val="15"/>
              </w:rPr>
              <w:t>Tabletop, rehearsals, supervised first events and measured tuning.</w:t>
            </w:r>
          </w:p>
        </w:tc>
      </w:tr>
    </w:tbl>
    <w:p>
      <w:pPr>
        <w:pStyle w:val="Heading1"/>
      </w:pPr>
      <w:r>
        <w:t>Canonical placement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3120"/>
        <w:gridCol w:w="3120"/>
        <w:gridCol w:w="3120"/>
      </w:tblGrid>
      <w:tr>
        <w:tc>
          <w:tcPr>
            <w:tcW w:type="dxa" w:w="2300"/>
            <w:shd w:fill="10243E"/>
          </w:tcPr>
          <w:p>
            <w:r>
              <w:rPr>
                <w:b/>
                <w:color w:val="FFFFFF"/>
                <w:sz w:val="16"/>
              </w:rPr>
              <w:t>Knowledge type</w:t>
            </w:r>
          </w:p>
        </w:tc>
        <w:tc>
          <w:tcPr>
            <w:tcW w:type="dxa" w:w="2800"/>
            <w:shd w:fill="10243E"/>
          </w:tcPr>
          <w:p>
            <w:r>
              <w:rPr>
                <w:b/>
                <w:color w:val="FFFFFF"/>
                <w:sz w:val="16"/>
              </w:rPr>
              <w:t>Correct home</w:t>
            </w:r>
          </w:p>
        </w:tc>
        <w:tc>
          <w:tcPr>
            <w:tcW w:type="dxa" w:w="4260"/>
            <w:shd w:fill="10243E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6"/>
              </w:rPr>
              <w:t>Doctrine and rationale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sz w:val="16"/>
              </w:rPr>
              <w:t>CEO Handbook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Why friction matters; discretion philosophy; leadership judgment.</w:t>
            </w:r>
          </w:p>
        </w:tc>
      </w:tr>
      <w:tr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Executable operating rule</w:t>
            </w:r>
          </w:p>
        </w:tc>
        <w:tc>
          <w:tcPr>
            <w:tcW w:type="dxa" w:w="28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Event OS knowledge repository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Readiness rule, transition control, escalation trigger.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fact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sz w:val="16"/>
              </w:rPr>
              <w:t>Event-scoped OS data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Guest arrival, approved title, route, supplier status.</w:t>
            </w:r>
          </w:p>
        </w:tc>
      </w:tr>
      <w:tr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Verified external context</w:t>
            </w:r>
          </w:p>
        </w:tc>
        <w:tc>
          <w:tcPr>
            <w:tcW w:type="dxa" w:w="28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Versioned OS register/context pack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Protocol order, cultural authority, legal requirement.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6"/>
              </w:rPr>
              <w:t>Instructional content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sz w:val="16"/>
              </w:rPr>
              <w:t>Academy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Explanation, worked example, role-specific scenario.</w:t>
            </w:r>
          </w:p>
        </w:tc>
      </w:tr>
      <w:tr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Assessment content</w:t>
            </w:r>
          </w:p>
        </w:tc>
        <w:tc>
          <w:tcPr>
            <w:tcW w:type="dxa" w:w="28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Academy restricted bank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Question, critical item, rubric, rationale.</w:t>
            </w:r>
          </w:p>
        </w:tc>
      </w:tr>
      <w:tr>
        <w:tc>
          <w:tcPr>
            <w:tcW w:type="dxa" w:w="2300"/>
            <w:vAlign w:val="top"/>
          </w:tcPr>
          <w:p>
            <w:pPr>
              <w:spacing w:after="40"/>
            </w:pPr>
            <w:r>
              <w:rPr>
                <w:sz w:val="16"/>
              </w:rPr>
              <w:t>Human-only judgment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sz w:val="16"/>
              </w:rPr>
              <w:t>Handbook plus OS decision record</w:t>
            </w:r>
          </w:p>
        </w:tc>
        <w:tc>
          <w:tcPr>
            <w:tcW w:type="dxa" w:w="4260"/>
            <w:vAlign w:val="top"/>
          </w:tcPr>
          <w:p>
            <w:pPr>
              <w:spacing w:after="40"/>
            </w:pPr>
            <w:r>
              <w:rPr>
                <w:sz w:val="16"/>
              </w:rPr>
              <w:t>Diplomatic compromise, proportional recovery, exceptional host promise.</w:t>
            </w:r>
          </w:p>
        </w:tc>
      </w:tr>
      <w:tr>
        <w:tc>
          <w:tcPr>
            <w:tcW w:type="dxa" w:w="23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Cross-event learning</w:t>
            </w:r>
          </w:p>
        </w:tc>
        <w:tc>
          <w:tcPr>
            <w:tcW w:type="dxa" w:w="28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De-identified governed knowledge</w:t>
            </w:r>
          </w:p>
        </w:tc>
        <w:tc>
          <w:tcPr>
            <w:tcW w:type="dxa" w:w="42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Failure pattern, supplier score, threshold evidence.</w:t>
            </w:r>
          </w:p>
        </w:tc>
      </w:tr>
    </w:tbl>
    <w:p>
      <w:r>
        <w:br w:type="page"/>
      </w:r>
    </w:p>
    <w:p>
      <w:pPr>
        <w:pStyle w:val="Heading1"/>
      </w:pPr>
      <w:r>
        <w:t>Corrective remediation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00"/>
            <w:shd w:fill="10243E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900"/>
            <w:shd w:fill="10243E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00"/>
            <w:shd w:fill="10243E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860"/>
            <w:shd w:fill="10243E"/>
          </w:tcPr>
          <w:p>
            <w:r>
              <w:rPr>
                <w:b/>
                <w:color w:val="FFFFFF"/>
                <w:sz w:val="14"/>
              </w:rPr>
              <w:t>Scope</w:t>
            </w:r>
          </w:p>
        </w:tc>
        <w:tc>
          <w:tcPr>
            <w:tcW w:type="dxa" w:w="1500"/>
            <w:shd w:fill="10243E"/>
          </w:tcPr>
          <w:p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500"/>
            <w:shd w:fill="10243E"/>
          </w:tcPr>
          <w:p>
            <w:r>
              <w:rPr>
                <w:b/>
                <w:color w:val="FFFFFF"/>
                <w:sz w:val="14"/>
              </w:rPr>
              <w:t>Acceptance evidence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KIR-001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Freeze canonical doctrine identifiers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Assign stable IDs to handbook principles and link original source, handbook chapter and version.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CEO + Knowledge Steward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Approved doctrine register; no orphan chapter.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KIR-002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Build the three-way traceability register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Map every doctrine ID to OS disposition and Academy disposition, including human-only and event-specific knowledge.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Knowledge Steward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100% doctrine IDs have explicit disposition and owner.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KIR-003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Resolve protocol and cultural authority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Commission qualified review; populate sourced, dated and scoped records.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CEO + Protocol/Cultural Authorities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No production use of unverified placeholder knowledge.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KIR-004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Resolve privacy, biometrics and retention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Complete legal review/DPIA, purpose, consent, access, retention and deletion decisions.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CEO + Privacy/Legal Lead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Approved policies and tested enforcement.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KIR-005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Finish staffing policy controls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Approve vetting, discipline, safeguarding, temporary staff and deployment rules.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CEO + People/Legal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Controlled policy and auditable deployment gates.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P0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KIR-006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Keep AI production blocked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Implement shadow-mode library, divergence reports and acceptance thresholds.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CTO + Event Intelligence Lead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CEO-approved evidence before any live recommendation.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P1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KIR-007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Author the full Academy lesson corpus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Convert handbook doctrine into role-tiered lessons with rationale, examples and application.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Curriculum Lead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Every mandatory competency has published instructional content.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P1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KIR-008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Produce the question and scenario bank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Create difficult, randomisable, critical and practical items with rationales and rubrics.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Assessment Lead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Blueprint coverage, item review, calibration and security evidence.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P1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KIR-009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Build role practicals and assessor calibration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Create observed demonstrations for CEO, Event Director, leads and frontline roles.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Assessment Lead + Operations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Inter-rater reliability and evidence completeness accepted.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P1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KIR-010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Validate OS thresholds and workload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Use tabletop, rehearsal, shadow mode and first controlled live events.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Event Director + CTO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False-positive, missed-risk, workload and response evidence accepted.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40"/>
            </w:pPr>
            <w:r>
              <w:rPr>
                <w:sz w:val="14"/>
              </w:rPr>
              <w:t>P1</w:t>
            </w:r>
          </w:p>
        </w:tc>
        <w:tc>
          <w:tcPr>
            <w:tcW w:type="dxa" w:w="900"/>
            <w:vAlign w:val="top"/>
          </w:tcPr>
          <w:p>
            <w:pPr>
              <w:spacing w:after="40"/>
            </w:pPr>
            <w:r>
              <w:rPr>
                <w:sz w:val="14"/>
              </w:rPr>
              <w:t>KIR-011</w:t>
            </w:r>
          </w:p>
        </w:tc>
        <w:tc>
          <w:tcPr>
            <w:tcW w:type="dxa" w:w="1900"/>
            <w:vAlign w:val="top"/>
          </w:tcPr>
          <w:p>
            <w:pPr>
              <w:spacing w:after="40"/>
            </w:pPr>
            <w:r>
              <w:rPr>
                <w:sz w:val="14"/>
              </w:rPr>
              <w:t>Connect change propagation</w:t>
            </w:r>
          </w:p>
        </w:tc>
        <w:tc>
          <w:tcPr>
            <w:tcW w:type="dxa" w:w="2860"/>
            <w:vAlign w:val="top"/>
          </w:tcPr>
          <w:p>
            <w:pPr>
              <w:spacing w:after="40"/>
            </w:pPr>
            <w:r>
              <w:rPr>
                <w:sz w:val="14"/>
              </w:rPr>
              <w:t>A material doctrine change raises OS and Academy impact assessments and reassignment decisions.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Knowledge Steward + CTO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4"/>
              </w:rPr>
              <w:t>Versioned change event produces complete downstream actions.</w:t>
            </w:r>
          </w:p>
        </w:tc>
      </w:tr>
      <w:tr>
        <w:tc>
          <w:tcPr>
            <w:tcW w:type="dxa" w:w="7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P2</w:t>
            </w:r>
          </w:p>
        </w:tc>
        <w:tc>
          <w:tcPr>
            <w:tcW w:type="dxa" w:w="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KIR-012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Ratify knowledge-complete releases</w:t>
            </w:r>
          </w:p>
        </w:tc>
        <w:tc>
          <w:tcPr>
            <w:tcW w:type="dxa" w:w="286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Independently test traceability, permissions, content, assessment and event readiness.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Independent Reviewer + CEO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40"/>
            </w:pPr>
            <w:r>
              <w:rPr>
                <w:sz w:val="14"/>
              </w:rPr>
              <w:t>Signed acceptance and CEO production authorisation.</w:t>
            </w:r>
          </w:p>
        </w:tc>
      </w:tr>
    </w:tbl>
    <w:p>
      <w:pPr>
        <w:pStyle w:val="Heading1"/>
      </w:pPr>
      <w:r>
        <w:t>Required build order</w:t>
      </w:r>
    </w:p>
    <w:p>
      <w:pPr>
        <w:pStyle w:val="ListNumber"/>
      </w:pPr>
      <w:r>
        <w:t>Freeze and identify canonical doctrine.</w:t>
      </w:r>
    </w:p>
    <w:p>
      <w:pPr>
        <w:pStyle w:val="ListNumber"/>
      </w:pPr>
      <w:r>
        <w:t>Complete the three-way traceability register.</w:t>
      </w:r>
    </w:p>
    <w:p>
      <w:pPr>
        <w:pStyle w:val="ListNumber"/>
      </w:pPr>
      <w:r>
        <w:t>Resolve P0 authority, privacy, staffing and AI blockers.</w:t>
      </w:r>
    </w:p>
    <w:p>
      <w:pPr>
        <w:pStyle w:val="ListNumber"/>
      </w:pPr>
      <w:r>
        <w:t>Update the OS rule/configuration/data repositories.</w:t>
      </w:r>
    </w:p>
    <w:p>
      <w:pPr>
        <w:pStyle w:val="ListNumber"/>
      </w:pPr>
      <w:r>
        <w:t>Produce Academy lessons and assessment items by role path.</w:t>
      </w:r>
    </w:p>
    <w:p>
      <w:pPr>
        <w:pStyle w:val="ListNumber"/>
      </w:pPr>
      <w:r>
        <w:t>Run independent static acceptance.</w:t>
      </w:r>
    </w:p>
    <w:p>
      <w:pPr>
        <w:pStyle w:val="ListNumber"/>
      </w:pPr>
      <w:r>
        <w:t>Run tabletop, simulation and shadow validation.</w:t>
      </w:r>
    </w:p>
    <w:p>
      <w:pPr>
        <w:pStyle w:val="ListNumber"/>
      </w:pPr>
      <w:r>
        <w:t>Use controlled first-event evidence to calibrate thresholds.</w:t>
      </w:r>
    </w:p>
    <w:p>
      <w:pPr>
        <w:pStyle w:val="ListNumber"/>
      </w:pPr>
      <w:r>
        <w:t>Ratify knowledge-complete releases separately for OS and Academy.</w:t>
      </w:r>
    </w:p>
    <w:p>
      <w:pPr>
        <w:pStyle w:val="Heading1"/>
      </w:pPr>
      <w:r>
        <w:t>Acceptance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0"/>
            <w:shd w:fill="10243E"/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1700"/>
            <w:shd w:fill="10243E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4800"/>
            <w:shd w:fill="10243E"/>
          </w:tcPr>
          <w:p>
            <w:r>
              <w:rPr>
                <w:b/>
                <w:color w:val="FFFFFF"/>
                <w:sz w:val="15"/>
              </w:rPr>
              <w:t>Evidence required</w:t>
            </w:r>
          </w:p>
        </w:tc>
        <w:tc>
          <w:tcPr>
            <w:tcW w:type="dxa" w:w="1860"/>
            <w:shd w:fill="10243E"/>
          </w:tcPr>
          <w:p>
            <w:r>
              <w:rPr>
                <w:b/>
                <w:color w:val="FFFFFF"/>
                <w:sz w:val="15"/>
              </w:rPr>
              <w:t>Pass rule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KAT-01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Doctrine coverage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handbook doctrine ID has one or more explicit dispositions; no orphan or silent exclusion.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100% pass.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KAT-02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OS executable coverage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Every OS-relevant doctrine maps to rule/configuration/data/workflow/intelligence with owner and version.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100% critical; ≥98% total before release, remainder approved exceptions.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KAT-03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judgment boundary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non-automatable principle is labelled human-only or specialist-authorised.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No unauthorised deterministic conversion.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KAT-04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Academy competence coverage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Every mandatory competency maps to teaching, practice and assessment evidence.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100% mandatory competency coverage.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KAT-05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Lesson depth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A learner can understand rationale, application, failure modes and escalation without opening the original modules.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Independent reviewer pass for every published course.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KAT-06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Question-bank coverage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Blueprint covers all competency weights, critical rules and role-specific judgment.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Required item volume, difficulty, randomisation and review passed.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KAT-07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Protocol/culture currency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Every production context record has source, scope, reviewer, date and expiry.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No placeholder or expired record used.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KAT-08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Privacy/security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Purpose, least privilege, consent where required, retention, deletion and audit work end to end.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Legal/privacy approval and technical test pass.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KAT-09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AI shadow mode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Recommendations are compared with authorised decisions across controlled cases and supervised events.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Thresholds accepted; unresolved material divergence blocks release.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KAT-10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Change propagation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A doctrine change creates correct OS and Academy impact actions and preserves version history.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No missed dependent artefact.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40"/>
            </w:pPr>
            <w:r>
              <w:rPr>
                <w:sz w:val="15"/>
              </w:rPr>
              <w:t>KAT-11</w:t>
            </w:r>
          </w:p>
        </w:tc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5"/>
              </w:rPr>
              <w:t>Event scoping</w:t>
            </w:r>
          </w:p>
        </w:tc>
        <w:tc>
          <w:tcPr>
            <w:tcW w:type="dxa" w:w="4800"/>
            <w:vAlign w:val="top"/>
          </w:tcPr>
          <w:p>
            <w:pPr>
              <w:spacing w:after="40"/>
            </w:pPr>
            <w:r>
              <w:rPr>
                <w:sz w:val="15"/>
              </w:rPr>
              <w:t>Knowledge and facts remain event-scoped; approved cross-event learning cannot expose client data.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5"/>
              </w:rPr>
              <w:t>Isolation and privacy tests pass.</w:t>
            </w:r>
          </w:p>
        </w:tc>
      </w:tr>
      <w:tr>
        <w:tc>
          <w:tcPr>
            <w:tcW w:type="dxa" w:w="10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KAT-12</w:t>
            </w:r>
          </w:p>
        </w:tc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Operational validation</w:t>
            </w:r>
          </w:p>
        </w:tc>
        <w:tc>
          <w:tcPr>
            <w:tcW w:type="dxa" w:w="480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Alerts, staffing and command workload are safe and usable under simulated and live pressure.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5"/>
              </w:rPr>
              <w:t>Independent acceptance plus CEO authorisation.</w:t>
            </w:r>
          </w:p>
        </w:tc>
      </w:tr>
    </w:tbl>
    <w:p>
      <w:pPr>
        <w:pStyle w:val="Heading1"/>
      </w:pPr>
      <w:r>
        <w:t>Release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shd w:fill="10243E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800"/>
            <w:shd w:fill="10243E"/>
          </w:tcPr>
          <w:p>
            <w:r>
              <w:rPr>
                <w:b/>
                <w:color w:val="FFFFFF"/>
                <w:sz w:val="16"/>
              </w:rPr>
              <w:t>Permitted now</w:t>
            </w:r>
          </w:p>
        </w:tc>
        <w:tc>
          <w:tcPr>
            <w:tcW w:type="dxa" w:w="3000"/>
            <w:shd w:fill="10243E"/>
          </w:tcPr>
          <w:p>
            <w:r>
              <w:rPr>
                <w:b/>
                <w:color w:val="FFFFFF"/>
                <w:sz w:val="16"/>
              </w:rPr>
              <w:t>Not permitted yet</w:t>
            </w:r>
          </w:p>
        </w:tc>
        <w:tc>
          <w:tcPr>
            <w:tcW w:type="dxa" w:w="1860"/>
            <w:shd w:fill="10243E"/>
          </w:tcPr>
          <w:p>
            <w:r>
              <w:rPr>
                <w:b/>
                <w:color w:val="FFFFFF"/>
                <w:sz w:val="16"/>
              </w:rPr>
              <w:t>Release authority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OS</w:t>
            </w:r>
          </w:p>
        </w:tc>
        <w:tc>
          <w:tcPr>
            <w:tcW w:type="dxa" w:w="28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Continue implementation against current blueprint; populate controlled knowledge; run static tests.</w:t>
            </w:r>
          </w:p>
        </w:tc>
        <w:tc>
          <w:tcPr>
            <w:tcW w:type="dxa" w:w="3000"/>
            <w:vAlign w:val="top"/>
          </w:tcPr>
          <w:p>
            <w:pPr>
              <w:spacing w:after="40"/>
            </w:pPr>
            <w:r>
              <w:rPr>
                <w:sz w:val="16"/>
              </w:rPr>
              <w:t>Claim knowledge-complete production readiness; enable live AI; rely on provisional protocol/cultural data.</w:t>
            </w:r>
          </w:p>
        </w:tc>
        <w:tc>
          <w:tcPr>
            <w:tcW w:type="dxa" w:w="1860"/>
            <w:vAlign w:val="top"/>
          </w:tcPr>
          <w:p>
            <w:pPr>
              <w:spacing w:after="40"/>
            </w:pPr>
            <w:r>
              <w:rPr>
                <w:sz w:val="16"/>
              </w:rPr>
              <w:t>Independent acceptance followed by CEO production authorisation.</w:t>
            </w:r>
          </w:p>
        </w:tc>
      </w:tr>
      <w:tr>
        <w:tc>
          <w:tcPr>
            <w:tcW w:type="dxa" w:w="17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Academy</w:t>
            </w:r>
          </w:p>
        </w:tc>
        <w:tc>
          <w:tcPr>
            <w:tcW w:type="dxa" w:w="28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Continue platform build; author and review content; pilot non-certifying learning.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Claim complete curriculum; issue operationally relied-on certificates from unproduced/unvalidated content.</w:t>
            </w:r>
          </w:p>
        </w:tc>
        <w:tc>
          <w:tcPr>
            <w:tcW w:type="dxa" w:w="1860"/>
            <w:vAlign w:val="top"/>
            <w:shd w:fill="F7F9FB"/>
          </w:tcPr>
          <w:p>
            <w:pPr>
              <w:spacing w:after="40"/>
            </w:pPr>
            <w:r>
              <w:rPr>
                <w:sz w:val="16"/>
              </w:rPr>
              <w:t>Curriculum/assessment approval, independent acceptance and CEO authorisation.</w:t>
            </w:r>
          </w:p>
        </w:tc>
      </w:tr>
    </w:tbl>
    <w:p>
      <w:pPr>
        <w:pStyle w:val="Heading1"/>
      </w:pPr>
      <w:r>
        <w:t>CEO decision requested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>
              <w:rPr>
                <w:b/>
                <w:color w:val="1E4B75"/>
              </w:rPr>
              <w:t xml:space="preserve">RECOMMENDED DECISION  </w:t>
            </w:r>
            <w:r>
              <w:t>Ratify this audit as the corrective knowledge baseline. Keep the Event OS and Academy blueprints, but change both programme statuses to Coverage Unverified / Remediation Required until KIR-001 through KIR-012 and KAT-01 through KAT-12 are satisfied.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DE4"/>
          <w:left w:val="single" w:sz="4" w:color="D7DDE4"/>
          <w:bottom w:val="single" w:sz="4" w:color="D7DDE4"/>
          <w:right w:val="single" w:sz="4" w:color="D7DDE4"/>
          <w:insideH w:val="single" w:sz="4" w:color="D7DDE4"/>
          <w:insideV w:val="single" w:sz="4" w:color="D7DDE4"/>
        </w:tblBorders>
      </w:tblPr>
      <w:tblGrid>
        <w:gridCol w:w="4680"/>
        <w:gridCol w:w="4680"/>
      </w:tblGrid>
      <w:tr>
        <w:tc>
          <w:tcPr>
            <w:tcW w:type="dxa" w:w="2200"/>
            <w:shd w:fill="10243E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60"/>
            <w:shd w:fill="10243E"/>
          </w:tcPr>
          <w:p>
            <w:r>
              <w:rPr>
                <w:b/>
                <w:color w:val="FFFFFF"/>
                <w:sz w:val="17"/>
              </w:rPr>
              <w:t>Entry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sz w:val="17"/>
              </w:rPr>
              <w:t>Approved / Approved with conditions / Not approved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Effective date</w:t>
            </w:r>
          </w:p>
        </w:tc>
        <w:tc>
          <w:tcPr>
            <w:tcW w:type="dxa" w:w="716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7"/>
              </w:rPr>
              <w:t>Conditions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CEO signature</w:t>
            </w:r>
          </w:p>
        </w:tc>
        <w:tc>
          <w:tcPr>
            <w:tcW w:type="dxa" w:w="7160"/>
            <w:vAlign w:val="top"/>
            <w:shd w:fill="F7F9FB"/>
          </w:tcPr>
          <w:p>
            <w:pPr>
              <w:spacing w:after="4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sz w:val="17"/>
              </w:rPr>
              <w:t>Review date</w:t>
            </w:r>
          </w:p>
        </w:tc>
        <w:tc>
          <w:tcPr>
            <w:tcW w:type="dxa" w:w="7160"/>
            <w:vAlign w:val="top"/>
          </w:tcPr>
          <w:p>
            <w:pPr>
              <w:spacing w:after="40"/>
            </w:pPr>
            <w:r>
              <w:rPr>
                <w:sz w:val="17"/>
              </w:rPr>
              <w:t>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Controlled audit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17D"/>
        <w:sz w:val="16"/>
      </w:rPr>
      <w:t>MAISON DOCLAR  /  KNOWLEDGE INTEGRITY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B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024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671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