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MAISON DOCLAR</w:t>
      </w:r>
    </w:p>
    <w:p>
      <w:pPr>
        <w:pStyle w:val="Title"/>
        <w:jc w:val="center"/>
      </w:pPr>
      <w:r>
        <w:t>Canonical Premium Ushering Operating System</w:t>
      </w:r>
    </w:p>
    <w:p>
      <w:pPr>
        <w:pStyle w:val="Subtitle"/>
        <w:jc w:val="center"/>
      </w:pPr>
      <w:r>
        <w:t>The complete CEO doctrine for dignified, resilient and measurable front-of-house operations</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2232"/>
            <w:shd w:fill="18202A"/>
            <w:tcMar>
              <w:top w:w="95" w:type="dxa"/>
              <w:start w:w="120" w:type="dxa"/>
              <w:bottom w:w="95" w:type="dxa"/>
              <w:end w:w="120" w:type="dxa"/>
            </w:tcMar>
          </w:tcPr>
          <w:p>
            <w:r>
              <w:rPr>
                <w:b/>
                <w:color w:val="FFFFFF"/>
                <w:sz w:val="18"/>
              </w:rPr>
              <w:t>Control</w:t>
            </w:r>
          </w:p>
        </w:tc>
        <w:tc>
          <w:tcPr>
            <w:tcW w:type="dxa" w:w="7128"/>
            <w:shd w:fill="18202A"/>
            <w:tcMar>
              <w:top w:w="95" w:type="dxa"/>
              <w:start w:w="120" w:type="dxa"/>
              <w:bottom w:w="95" w:type="dxa"/>
              <w:end w:w="120" w:type="dxa"/>
            </w:tcMar>
          </w:tcPr>
          <w:p>
            <w:r>
              <w:rPr>
                <w:b/>
                <w:color w:val="FFFFFF"/>
                <w:sz w:val="18"/>
              </w:rPr>
              <w:t>Value</w:t>
            </w:r>
          </w:p>
        </w:tc>
      </w:tr>
      <w:tr>
        <w:tc>
          <w:tcPr>
            <w:tcW w:type="dxa" w:w="2232"/>
            <w:tcMar>
              <w:top w:w="95" w:type="dxa"/>
              <w:start w:w="120" w:type="dxa"/>
              <w:bottom w:w="95" w:type="dxa"/>
              <w:end w:w="120" w:type="dxa"/>
            </w:tcMar>
            <w:vAlign w:val="center"/>
          </w:tcPr>
          <w:p>
            <w:r>
              <w:rPr>
                <w:sz w:val="18"/>
              </w:rPr>
              <w:t>Document ID</w:t>
            </w:r>
          </w:p>
        </w:tc>
        <w:tc>
          <w:tcPr>
            <w:tcW w:type="dxa" w:w="7128"/>
            <w:tcMar>
              <w:top w:w="95" w:type="dxa"/>
              <w:start w:w="120" w:type="dxa"/>
              <w:bottom w:w="95" w:type="dxa"/>
              <w:end w:w="120" w:type="dxa"/>
            </w:tcMar>
            <w:vAlign w:val="center"/>
          </w:tcPr>
          <w:p>
            <w:r>
              <w:rPr>
                <w:sz w:val="18"/>
              </w:rPr>
              <w:t>MD-USH-CAN-001</w:t>
            </w:r>
          </w:p>
        </w:tc>
      </w:tr>
      <w:tr>
        <w:tc>
          <w:tcPr>
            <w:tcW w:type="dxa" w:w="2232"/>
            <w:tcMar>
              <w:top w:w="95" w:type="dxa"/>
              <w:start w:w="120" w:type="dxa"/>
              <w:bottom w:w="95" w:type="dxa"/>
              <w:end w:w="120" w:type="dxa"/>
            </w:tcMar>
            <w:vAlign w:val="center"/>
            <w:shd w:fill="F3F0EB"/>
          </w:tcPr>
          <w:p>
            <w:r>
              <w:rPr>
                <w:sz w:val="18"/>
              </w:rPr>
              <w:t>Version</w:t>
            </w:r>
          </w:p>
        </w:tc>
        <w:tc>
          <w:tcPr>
            <w:tcW w:type="dxa" w:w="7128"/>
            <w:tcMar>
              <w:top w:w="95" w:type="dxa"/>
              <w:start w:w="120" w:type="dxa"/>
              <w:bottom w:w="95" w:type="dxa"/>
              <w:end w:w="120" w:type="dxa"/>
            </w:tcMar>
            <w:vAlign w:val="center"/>
            <w:shd w:fill="F3F0EB"/>
          </w:tcPr>
          <w:p>
            <w:r>
              <w:rPr>
                <w:sz w:val="18"/>
              </w:rPr>
              <w:t>1.0</w:t>
            </w:r>
          </w:p>
        </w:tc>
      </w:tr>
      <w:tr>
        <w:tc>
          <w:tcPr>
            <w:tcW w:type="dxa" w:w="2232"/>
            <w:tcMar>
              <w:top w:w="95" w:type="dxa"/>
              <w:start w:w="120" w:type="dxa"/>
              <w:bottom w:w="95" w:type="dxa"/>
              <w:end w:w="120" w:type="dxa"/>
            </w:tcMar>
            <w:vAlign w:val="center"/>
          </w:tcPr>
          <w:p>
            <w:r>
              <w:rPr>
                <w:sz w:val="18"/>
              </w:rPr>
              <w:t>Status</w:t>
            </w:r>
          </w:p>
        </w:tc>
        <w:tc>
          <w:tcPr>
            <w:tcW w:type="dxa" w:w="7128"/>
            <w:tcMar>
              <w:top w:w="95" w:type="dxa"/>
              <w:start w:w="120" w:type="dxa"/>
              <w:bottom w:w="95" w:type="dxa"/>
              <w:end w:w="120" w:type="dxa"/>
            </w:tcMar>
            <w:vAlign w:val="center"/>
          </w:tcPr>
          <w:p>
            <w:r>
              <w:rPr>
                <w:sz w:val="18"/>
              </w:rPr>
              <w:t>DRAFT FOR CEO RATIFICATION</w:t>
            </w:r>
          </w:p>
        </w:tc>
      </w:tr>
      <w:tr>
        <w:tc>
          <w:tcPr>
            <w:tcW w:type="dxa" w:w="2232"/>
            <w:tcMar>
              <w:top w:w="95" w:type="dxa"/>
              <w:start w:w="120" w:type="dxa"/>
              <w:bottom w:w="95" w:type="dxa"/>
              <w:end w:w="120" w:type="dxa"/>
            </w:tcMar>
            <w:vAlign w:val="center"/>
            <w:shd w:fill="F3F0EB"/>
          </w:tcPr>
          <w:p>
            <w:r>
              <w:rPr>
                <w:sz w:val="18"/>
              </w:rPr>
              <w:t>Doctrine</w:t>
            </w:r>
          </w:p>
        </w:tc>
        <w:tc>
          <w:tcPr>
            <w:tcW w:type="dxa" w:w="7128"/>
            <w:tcMar>
              <w:top w:w="95" w:type="dxa"/>
              <w:start w:w="120" w:type="dxa"/>
              <w:bottom w:w="95" w:type="dxa"/>
              <w:end w:w="120" w:type="dxa"/>
            </w:tcMar>
            <w:vAlign w:val="center"/>
            <w:shd w:fill="F3F0EB"/>
          </w:tcPr>
          <w:p>
            <w:r>
              <w:rPr>
                <w:sz w:val="18"/>
              </w:rPr>
              <w:t>Every Guest, Considered.</w:t>
            </w:r>
          </w:p>
        </w:tc>
      </w:tr>
      <w:tr>
        <w:tc>
          <w:tcPr>
            <w:tcW w:type="dxa" w:w="2232"/>
            <w:tcMar>
              <w:top w:w="95" w:type="dxa"/>
              <w:start w:w="120" w:type="dxa"/>
              <w:bottom w:w="95" w:type="dxa"/>
              <w:end w:w="120" w:type="dxa"/>
            </w:tcMar>
            <w:vAlign w:val="center"/>
          </w:tcPr>
          <w:p>
            <w:r>
              <w:rPr>
                <w:sz w:val="18"/>
              </w:rPr>
              <w:t>Prepared</w:t>
            </w:r>
          </w:p>
        </w:tc>
        <w:tc>
          <w:tcPr>
            <w:tcW w:type="dxa" w:w="7128"/>
            <w:tcMar>
              <w:top w:w="95" w:type="dxa"/>
              <w:start w:w="120" w:type="dxa"/>
              <w:bottom w:w="95" w:type="dxa"/>
              <w:end w:w="120" w:type="dxa"/>
            </w:tcMar>
            <w:vAlign w:val="center"/>
          </w:tcPr>
          <w:p>
            <w:r>
              <w:rPr>
                <w:sz w:val="18"/>
              </w:rPr>
              <w:t>04 September 2026</w:t>
            </w:r>
          </w:p>
        </w:tc>
      </w:tr>
    </w:tbl>
    <w:p/>
    <w:tbl>
      <w:tblPr>
        <w:tblW w:type="auto" w:w="0"/>
        <w:tblLook w:firstColumn="1" w:firstRow="1" w:lastColumn="0" w:lastRow="0" w:noHBand="0" w:noVBand="1" w:val="04A0"/>
      </w:tblPr>
      <w:tblGrid>
        <w:gridCol w:w="9792"/>
      </w:tblGrid>
      <w:tr>
        <w:tc>
          <w:tcPr>
            <w:tcW w:type="dxa" w:w="9792"/>
            <w:shd w:fill="F3F0EB"/>
            <w:tcMar>
              <w:top w:w="95" w:type="dxa"/>
              <w:start w:w="120" w:type="dxa"/>
              <w:bottom w:w="95" w:type="dxa"/>
              <w:end w:w="120" w:type="dxa"/>
            </w:tcMar>
          </w:tcPr>
          <w:p>
            <w:r>
              <w:rPr>
                <w:b/>
              </w:rPr>
              <w:t xml:space="preserve">Authority: </w:t>
            </w:r>
            <w:r>
              <w:t>This document becomes Maison Doclar authority only after CEO ratification. Legal, radio-spectrum, equipment type approval, medical, security, accessibility, cultural and protocol determinations remain subject to the named competent authority. Vendor specifications are claims until verified.</w:t>
            </w:r>
          </w:p>
        </w:tc>
      </w:tr>
    </w:tbl>
    <w:p/>
    <w:p>
      <w:r>
        <w:br w:type="page"/>
      </w:r>
    </w:p>
    <w:p>
      <w:pPr>
        <w:pStyle w:val="Title"/>
      </w:pPr>
      <w:r>
        <w:t>Contents</w:t>
      </w:r>
    </w:p>
    <w:p>
      <w:r>
        <w:t>1. Mandate and promise</w:t>
      </w:r>
    </w:p>
    <w:p>
      <w:r>
        <w:t>2. Foundational laws</w:t>
      </w:r>
    </w:p>
    <w:p>
      <w:r>
        <w:t>3. Scope of ushering</w:t>
      </w:r>
    </w:p>
    <w:p>
      <w:r>
        <w:t>4. Guest dignity standard</w:t>
      </w:r>
    </w:p>
    <w:p>
      <w:r>
        <w:t>5. Authority and command</w:t>
      </w:r>
    </w:p>
    <w:p>
      <w:r>
        <w:t>6. Offline supremacy</w:t>
      </w:r>
    </w:p>
    <w:p>
      <w:r>
        <w:t>7. Assistance-call doctrine</w:t>
      </w:r>
    </w:p>
    <w:p>
      <w:r>
        <w:t>8. Service measurement</w:t>
      </w:r>
    </w:p>
    <w:p>
      <w:r>
        <w:t>9. Information and privacy</w:t>
      </w:r>
    </w:p>
    <w:p>
      <w:r>
        <w:t>10. Readiness and release</w:t>
      </w:r>
    </w:p>
    <w:p>
      <w:r>
        <w:t>11. Roles and boundaries</w:t>
      </w:r>
    </w:p>
    <w:p>
      <w:r>
        <w:t>12. Non-negotiable prohibitions</w:t>
      </w:r>
    </w:p>
    <w:p>
      <w:r>
        <w:t>13. Readiness states</w:t>
      </w:r>
    </w:p>
    <w:p>
      <w:r>
        <w:t>14. CEO ratification record</w:t>
      </w:r>
    </w:p>
    <w:p/>
    <w:p>
      <w:pPr>
        <w:pStyle w:val="Heading1"/>
      </w:pPr>
      <w:r>
        <w:t>1. Mandate and promise</w:t>
      </w:r>
    </w:p>
    <w:p>
      <w:r>
        <w:t>Premium ushering is the controlled design and delivery of welcome, recognition, orientation, movement, seating, assistance, reassurance and dignified exception handling across the whole guest journey. Its purpose is not to make uniforms visible; it is to remove uncertainty and effort for guests without making the event feel policed or mechanical.</w:t>
      </w:r>
    </w:p>
    <w:p>
      <w:r>
        <w:t>The operating promise is: every guest can find appropriate help; every request acquires an owner; every critical post remains covered; every exception reaches the correct authority; and no technology failure removes the human route to service.</w:t>
      </w:r>
    </w:p>
    <w:p>
      <w:pPr>
        <w:pStyle w:val="Heading1"/>
      </w:pPr>
      <w:r>
        <w:t>2. Foundational laws</w:t>
      </w:r>
    </w:p>
    <w:p>
      <w:r>
        <w:t>Human-first: trained people, physical posts and clear authority are the system of record during live operations. Offline-first: printed packs, radios and the command board must sustain the event. Dignity-first: correction is discreet and assistance is offered, not imposed. One-owner: every request and exception has one accountable owner until explicit handoff. No-silent-gap: a critical position is never left without relief. Evidence-before-status: unknown is not green. Least-information: share only what the receiving role needs. Promise-to-capacity: response targets and call buttons may not create demand the staffing plan cannot serve.</w:t>
      </w:r>
    </w:p>
    <w:p>
      <w:pPr>
        <w:pStyle w:val="Heading1"/>
      </w:pPr>
      <w:r>
        <w:t>3. Scope of ushering</w:t>
      </w:r>
    </w:p>
    <w:p>
      <w:r>
        <w:t>The system covers pre-arrival readiness, approach and drop-off interface, arrival, welcome, identity exception routing, orientation, seating, ceremony control, programme transitions, comfort observation, accessible assistance, incident handoff, departure, transport interface, lost property and post-event learning.</w:t>
      </w:r>
    </w:p>
    <w:p>
      <w:r>
        <w:t>Hospitality, security, medical, technical, transport and protocol remain distinct specialist authorities. Ushers may receive, own and hand off a request, but they do not make unauthorised specialist decisions.</w:t>
      </w:r>
    </w:p>
    <w:p>
      <w:pPr>
        <w:pStyle w:val="Heading1"/>
      </w:pPr>
      <w:r>
        <w:t>4. Guest dignity standard</w:t>
      </w:r>
    </w:p>
    <w:p>
      <w:r>
        <w:t>Use names and titles only when verified and appropriate. Never debate a seat, credential or entitlement in public. Never describe guests using mocking, status-laden or medical codes. Ask before physical assistance except immediate safety necessity. Keep families and legitimate entourages together where the approved plan permits; when it does not, explain and escalate rather than blame.</w:t>
      </w:r>
    </w:p>
    <w:p>
      <w:r>
        <w:t>VIP attention must not collapse baseline service for other guests. Premium means differentiated preparation with universal dignity.</w:t>
      </w:r>
    </w:p>
    <w:p>
      <w:pPr>
        <w:pStyle w:val="Heading1"/>
      </w:pPr>
      <w:r>
        <w:t>5. Authority and command</w:t>
      </w:r>
    </w:p>
    <w:p>
      <w:r>
        <w:t>The Event Director owns whole-event command. The Front-of-House Director owns the guest-facing system. Protocol, security, medical, guest intelligence and other specialist leads retain their domains. Zone supervisors deploy and rebalance ushers. Individual ushers resolve only within trained authority and use explicit handoff.</w:t>
      </w:r>
    </w:p>
    <w:p>
      <w:r>
        <w:t>Conflicting instructions are not solved by seniority theatre. The receiver states the conflict, preserves safety and current position, and escalates to the named authority for that domain.</w:t>
      </w:r>
    </w:p>
    <w:p>
      <w:pPr>
        <w:pStyle w:val="Heading1"/>
      </w:pPr>
      <w:r>
        <w:t>6. Offline supremacy</w:t>
      </w:r>
    </w:p>
    <w:p>
      <w:r>
        <w:t>The authoritative live picture is the command board plus time-stamped change and incident logs. Devices may accelerate lookup or logging, but stale or unsynchronised data is visibly marked. A device cannot unilaterally overrule the controlled seating change log or command decision.</w:t>
      </w:r>
    </w:p>
    <w:p>
      <w:pPr>
        <w:pStyle w:val="Heading1"/>
      </w:pPr>
      <w:r>
        <w:t>7. Assistance-call doctrine</w:t>
      </w:r>
    </w:p>
    <w:p>
      <w:r>
        <w:t>Call buttons are an optional assistance layer, deployed where they improve access without degrading design or creating unserviceable expectations. They are not automatically placed on every table. The event plan specifies purpose, eligible zones, visual treatment, responder group, acknowledgement target, false-call method, escalation and fallback.</w:t>
      </w:r>
    </w:p>
    <w:p>
      <w:pPr>
        <w:pStyle w:val="Heading1"/>
      </w:pPr>
      <w:r>
        <w:t>8. Service measurement</w:t>
      </w:r>
    </w:p>
    <w:p>
      <w:r>
        <w:t>Measure acknowledgement, first contact, correct-owner arrival, resolution, update cadence, escalation and closure separately. Never close an unresolved request to meet a target. Metrics inform staffing and design; they do not punish staff for reporting complex or safety-critical work.</w:t>
      </w:r>
    </w:p>
    <w:p>
      <w:pPr>
        <w:pStyle w:val="Heading1"/>
      </w:pPr>
      <w:r>
        <w:t>9. Information and privacy</w:t>
      </w:r>
    </w:p>
    <w:p>
      <w:r>
        <w:t>Guest lists, seating extracts and special requirements are controlled operational data. Radio traffic uses the minimum necessary information. No photographs of controlled lists, no personal data on informal messaging, and no marketing reuse from attendance or assistance. Printed extracts are numbered, issued, returned and destroyed or archived under policy.</w:t>
      </w:r>
    </w:p>
    <w:p>
      <w:pPr>
        <w:pStyle w:val="Heading1"/>
      </w:pPr>
      <w:r>
        <w:t>10. Readiness and release</w:t>
      </w:r>
    </w:p>
    <w:p>
      <w:r>
        <w:t>An ushering plan is not ready because staff arrived. Release requires verified routes, posts, signage, briefing, role competence, relief, specialist contacts, communications, equipment, power, offline packs, exception desks, command logs and rehearsed contingencies. Red or unknown critical controls block the affected opening or movement.</w:t>
      </w:r>
    </w:p>
    <w:p>
      <w:pPr>
        <w:pStyle w:val="Heading1"/>
      </w:pPr>
      <w:r>
        <w:t>11. Roles and boundaries</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944"/>
            <w:shd w:fill="18202A"/>
            <w:tcMar>
              <w:top w:w="95" w:type="dxa"/>
              <w:start w:w="120" w:type="dxa"/>
              <w:bottom w:w="95" w:type="dxa"/>
              <w:end w:w="120" w:type="dxa"/>
            </w:tcMar>
          </w:tcPr>
          <w:p>
            <w:r>
              <w:rPr>
                <w:b/>
                <w:color w:val="FFFFFF"/>
                <w:sz w:val="14"/>
              </w:rPr>
              <w:t>Role</w:t>
            </w:r>
          </w:p>
        </w:tc>
        <w:tc>
          <w:tcPr>
            <w:tcW w:type="dxa" w:w="4392"/>
            <w:shd w:fill="18202A"/>
            <w:tcMar>
              <w:top w:w="95" w:type="dxa"/>
              <w:start w:w="120" w:type="dxa"/>
              <w:bottom w:w="95" w:type="dxa"/>
              <w:end w:w="120" w:type="dxa"/>
            </w:tcMar>
          </w:tcPr>
          <w:p>
            <w:r>
              <w:rPr>
                <w:b/>
                <w:color w:val="FFFFFF"/>
                <w:sz w:val="14"/>
              </w:rPr>
              <w:t>Owns</w:t>
            </w:r>
          </w:p>
        </w:tc>
        <w:tc>
          <w:tcPr>
            <w:tcW w:type="dxa" w:w="3024"/>
            <w:shd w:fill="18202A"/>
            <w:tcMar>
              <w:top w:w="95" w:type="dxa"/>
              <w:start w:w="120" w:type="dxa"/>
              <w:bottom w:w="95" w:type="dxa"/>
              <w:end w:w="120" w:type="dxa"/>
            </w:tcMar>
          </w:tcPr>
          <w:p>
            <w:r>
              <w:rPr>
                <w:b/>
                <w:color w:val="FFFFFF"/>
                <w:sz w:val="14"/>
              </w:rPr>
              <w:t>Boundary</w:t>
            </w:r>
          </w:p>
        </w:tc>
      </w:tr>
      <w:tr>
        <w:tc>
          <w:tcPr>
            <w:tcW w:type="dxa" w:w="1944"/>
            <w:tcMar>
              <w:top w:w="95" w:type="dxa"/>
              <w:start w:w="120" w:type="dxa"/>
              <w:bottom w:w="95" w:type="dxa"/>
              <w:end w:w="120" w:type="dxa"/>
            </w:tcMar>
            <w:vAlign w:val="center"/>
          </w:tcPr>
          <w:p>
            <w:r>
              <w:rPr>
                <w:sz w:val="14"/>
              </w:rPr>
              <w:t>Event Director</w:t>
            </w:r>
          </w:p>
        </w:tc>
        <w:tc>
          <w:tcPr>
            <w:tcW w:type="dxa" w:w="4392"/>
            <w:tcMar>
              <w:top w:w="95" w:type="dxa"/>
              <w:start w:w="120" w:type="dxa"/>
              <w:bottom w:w="95" w:type="dxa"/>
              <w:end w:w="120" w:type="dxa"/>
            </w:tcMar>
            <w:vAlign w:val="center"/>
          </w:tcPr>
          <w:p>
            <w:r>
              <w:rPr>
                <w:sz w:val="14"/>
              </w:rPr>
              <w:t>Whole-event command, go/no-go, major exceptions and final escalation</w:t>
            </w:r>
          </w:p>
        </w:tc>
        <w:tc>
          <w:tcPr>
            <w:tcW w:type="dxa" w:w="3024"/>
            <w:tcMar>
              <w:top w:w="95" w:type="dxa"/>
              <w:start w:w="120" w:type="dxa"/>
              <w:bottom w:w="95" w:type="dxa"/>
              <w:end w:w="120" w:type="dxa"/>
            </w:tcMar>
            <w:vAlign w:val="center"/>
          </w:tcPr>
          <w:p>
            <w:r>
              <w:rPr>
                <w:sz w:val="14"/>
              </w:rPr>
              <w:t>Does not personally dispatch routine ushers</w:t>
            </w:r>
          </w:p>
        </w:tc>
      </w:tr>
      <w:tr>
        <w:tc>
          <w:tcPr>
            <w:tcW w:type="dxa" w:w="1944"/>
            <w:tcMar>
              <w:top w:w="95" w:type="dxa"/>
              <w:start w:w="120" w:type="dxa"/>
              <w:bottom w:w="95" w:type="dxa"/>
              <w:end w:w="120" w:type="dxa"/>
            </w:tcMar>
            <w:vAlign w:val="center"/>
            <w:shd w:fill="F3F0EB"/>
          </w:tcPr>
          <w:p>
            <w:r>
              <w:rPr>
                <w:sz w:val="14"/>
              </w:rPr>
              <w:t>Front-of-House Director</w:t>
            </w:r>
          </w:p>
        </w:tc>
        <w:tc>
          <w:tcPr>
            <w:tcW w:type="dxa" w:w="4392"/>
            <w:tcMar>
              <w:top w:w="95" w:type="dxa"/>
              <w:start w:w="120" w:type="dxa"/>
              <w:bottom w:w="95" w:type="dxa"/>
              <w:end w:w="120" w:type="dxa"/>
            </w:tcMar>
            <w:vAlign w:val="center"/>
            <w:shd w:fill="F3F0EB"/>
          </w:tcPr>
          <w:p>
            <w:r>
              <w:rPr>
                <w:sz w:val="14"/>
              </w:rPr>
              <w:t>Owns the complete guest-facing operation and cross-zone balance</w:t>
            </w:r>
          </w:p>
        </w:tc>
        <w:tc>
          <w:tcPr>
            <w:tcW w:type="dxa" w:w="3024"/>
            <w:tcMar>
              <w:top w:w="95" w:type="dxa"/>
              <w:start w:w="120" w:type="dxa"/>
              <w:bottom w:w="95" w:type="dxa"/>
              <w:end w:w="120" w:type="dxa"/>
            </w:tcMar>
            <w:vAlign w:val="center"/>
            <w:shd w:fill="F3F0EB"/>
          </w:tcPr>
          <w:p>
            <w:r>
              <w:rPr>
                <w:sz w:val="14"/>
              </w:rPr>
              <w:t>Does not override protocol/security/medical authority</w:t>
            </w:r>
          </w:p>
        </w:tc>
      </w:tr>
      <w:tr>
        <w:tc>
          <w:tcPr>
            <w:tcW w:type="dxa" w:w="1944"/>
            <w:tcMar>
              <w:top w:w="95" w:type="dxa"/>
              <w:start w:w="120" w:type="dxa"/>
              <w:bottom w:w="95" w:type="dxa"/>
              <w:end w:w="120" w:type="dxa"/>
            </w:tcMar>
            <w:vAlign w:val="center"/>
          </w:tcPr>
          <w:p>
            <w:r>
              <w:rPr>
                <w:sz w:val="14"/>
              </w:rPr>
              <w:t>Protocol Lead</w:t>
            </w:r>
          </w:p>
        </w:tc>
        <w:tc>
          <w:tcPr>
            <w:tcW w:type="dxa" w:w="4392"/>
            <w:tcMar>
              <w:top w:w="95" w:type="dxa"/>
              <w:start w:w="120" w:type="dxa"/>
              <w:bottom w:w="95" w:type="dxa"/>
              <w:end w:w="120" w:type="dxa"/>
            </w:tcMar>
            <w:vAlign w:val="center"/>
          </w:tcPr>
          <w:p>
            <w:r>
              <w:rPr>
                <w:sz w:val="14"/>
              </w:rPr>
              <w:t>Titles, precedence, dignitary and ceremonial verification</w:t>
            </w:r>
          </w:p>
        </w:tc>
        <w:tc>
          <w:tcPr>
            <w:tcW w:type="dxa" w:w="3024"/>
            <w:tcMar>
              <w:top w:w="95" w:type="dxa"/>
              <w:start w:w="120" w:type="dxa"/>
              <w:bottom w:w="95" w:type="dxa"/>
              <w:end w:w="120" w:type="dxa"/>
            </w:tcMar>
            <w:vAlign w:val="center"/>
          </w:tcPr>
          <w:p>
            <w:r>
              <w:rPr>
                <w:sz w:val="14"/>
              </w:rPr>
              <w:t>Does not invent protocol or use unverified preference</w:t>
            </w:r>
          </w:p>
        </w:tc>
      </w:tr>
      <w:tr>
        <w:tc>
          <w:tcPr>
            <w:tcW w:type="dxa" w:w="1944"/>
            <w:tcMar>
              <w:top w:w="95" w:type="dxa"/>
              <w:start w:w="120" w:type="dxa"/>
              <w:bottom w:w="95" w:type="dxa"/>
              <w:end w:w="120" w:type="dxa"/>
            </w:tcMar>
            <w:vAlign w:val="center"/>
            <w:shd w:fill="F3F0EB"/>
          </w:tcPr>
          <w:p>
            <w:r>
              <w:rPr>
                <w:sz w:val="14"/>
              </w:rPr>
              <w:t>Guest Intelligence Lead</w:t>
            </w:r>
          </w:p>
        </w:tc>
        <w:tc>
          <w:tcPr>
            <w:tcW w:type="dxa" w:w="4392"/>
            <w:tcMar>
              <w:top w:w="95" w:type="dxa"/>
              <w:start w:w="120" w:type="dxa"/>
              <w:bottom w:w="95" w:type="dxa"/>
              <w:end w:w="120" w:type="dxa"/>
            </w:tcMar>
            <w:vAlign w:val="center"/>
            <w:shd w:fill="F3F0EB"/>
          </w:tcPr>
          <w:p>
            <w:r>
              <w:rPr>
                <w:sz w:val="14"/>
              </w:rPr>
              <w:t>Authoritative controlled guest, household and seating information</w:t>
            </w:r>
          </w:p>
        </w:tc>
        <w:tc>
          <w:tcPr>
            <w:tcW w:type="dxa" w:w="3024"/>
            <w:tcMar>
              <w:top w:w="95" w:type="dxa"/>
              <w:start w:w="120" w:type="dxa"/>
              <w:bottom w:w="95" w:type="dxa"/>
              <w:end w:w="120" w:type="dxa"/>
            </w:tcMar>
            <w:vAlign w:val="center"/>
            <w:shd w:fill="F3F0EB"/>
          </w:tcPr>
          <w:p>
            <w:r>
              <w:rPr>
                <w:sz w:val="14"/>
              </w:rPr>
              <w:t>Does not broadcast private detail</w:t>
            </w:r>
          </w:p>
        </w:tc>
      </w:tr>
      <w:tr>
        <w:tc>
          <w:tcPr>
            <w:tcW w:type="dxa" w:w="1944"/>
            <w:tcMar>
              <w:top w:w="95" w:type="dxa"/>
              <w:start w:w="120" w:type="dxa"/>
              <w:bottom w:w="95" w:type="dxa"/>
              <w:end w:w="120" w:type="dxa"/>
            </w:tcMar>
            <w:vAlign w:val="center"/>
          </w:tcPr>
          <w:p>
            <w:r>
              <w:rPr>
                <w:sz w:val="14"/>
              </w:rPr>
              <w:t>Zone Supervisor</w:t>
            </w:r>
          </w:p>
        </w:tc>
        <w:tc>
          <w:tcPr>
            <w:tcW w:type="dxa" w:w="4392"/>
            <w:tcMar>
              <w:top w:w="95" w:type="dxa"/>
              <w:start w:w="120" w:type="dxa"/>
              <w:bottom w:w="95" w:type="dxa"/>
              <w:end w:w="120" w:type="dxa"/>
            </w:tcMar>
            <w:vAlign w:val="center"/>
          </w:tcPr>
          <w:p>
            <w:r>
              <w:rPr>
                <w:sz w:val="14"/>
              </w:rPr>
              <w:t>Owns readiness, coverage, response and escalation within a zone</w:t>
            </w:r>
          </w:p>
        </w:tc>
        <w:tc>
          <w:tcPr>
            <w:tcW w:type="dxa" w:w="3024"/>
            <w:tcMar>
              <w:top w:w="95" w:type="dxa"/>
              <w:start w:w="120" w:type="dxa"/>
              <w:bottom w:w="95" w:type="dxa"/>
              <w:end w:w="120" w:type="dxa"/>
            </w:tcMar>
            <w:vAlign w:val="center"/>
          </w:tcPr>
          <w:p>
            <w:r>
              <w:rPr>
                <w:sz w:val="14"/>
              </w:rPr>
              <w:t>Never leaves zone without command-approved relief</w:t>
            </w:r>
          </w:p>
        </w:tc>
      </w:tr>
      <w:tr>
        <w:tc>
          <w:tcPr>
            <w:tcW w:type="dxa" w:w="1944"/>
            <w:tcMar>
              <w:top w:w="95" w:type="dxa"/>
              <w:start w:w="120" w:type="dxa"/>
              <w:bottom w:w="95" w:type="dxa"/>
              <w:end w:w="120" w:type="dxa"/>
            </w:tcMar>
            <w:vAlign w:val="center"/>
            <w:shd w:fill="F3F0EB"/>
          </w:tcPr>
          <w:p>
            <w:r>
              <w:rPr>
                <w:sz w:val="14"/>
              </w:rPr>
              <w:t>Position Usher</w:t>
            </w:r>
          </w:p>
        </w:tc>
        <w:tc>
          <w:tcPr>
            <w:tcW w:type="dxa" w:w="4392"/>
            <w:tcMar>
              <w:top w:w="95" w:type="dxa"/>
              <w:start w:w="120" w:type="dxa"/>
              <w:bottom w:w="95" w:type="dxa"/>
              <w:end w:w="120" w:type="dxa"/>
            </w:tcMar>
            <w:vAlign w:val="center"/>
            <w:shd w:fill="F3F0EB"/>
          </w:tcPr>
          <w:p>
            <w:r>
              <w:rPr>
                <w:sz w:val="14"/>
              </w:rPr>
              <w:t>Maintains one critical entrance, door, junction or restricted point</w:t>
            </w:r>
          </w:p>
        </w:tc>
        <w:tc>
          <w:tcPr>
            <w:tcW w:type="dxa" w:w="3024"/>
            <w:tcMar>
              <w:top w:w="95" w:type="dxa"/>
              <w:start w:w="120" w:type="dxa"/>
              <w:bottom w:w="95" w:type="dxa"/>
              <w:end w:w="120" w:type="dxa"/>
            </w:tcMar>
            <w:vAlign w:val="center"/>
            <w:shd w:fill="F3F0EB"/>
          </w:tcPr>
          <w:p>
            <w:r>
              <w:rPr>
                <w:sz w:val="14"/>
              </w:rPr>
              <w:t>Never abandons post to escort</w:t>
            </w:r>
          </w:p>
        </w:tc>
      </w:tr>
      <w:tr>
        <w:tc>
          <w:tcPr>
            <w:tcW w:type="dxa" w:w="1944"/>
            <w:tcMar>
              <w:top w:w="95" w:type="dxa"/>
              <w:start w:w="120" w:type="dxa"/>
              <w:bottom w:w="95" w:type="dxa"/>
              <w:end w:w="120" w:type="dxa"/>
            </w:tcMar>
            <w:vAlign w:val="center"/>
          </w:tcPr>
          <w:p>
            <w:r>
              <w:rPr>
                <w:sz w:val="14"/>
              </w:rPr>
              <w:t>Seating Usher</w:t>
            </w:r>
          </w:p>
        </w:tc>
        <w:tc>
          <w:tcPr>
            <w:tcW w:type="dxa" w:w="4392"/>
            <w:tcMar>
              <w:top w:w="95" w:type="dxa"/>
              <w:start w:w="120" w:type="dxa"/>
              <w:bottom w:w="95" w:type="dxa"/>
              <w:end w:w="120" w:type="dxa"/>
            </w:tcMar>
            <w:vAlign w:val="center"/>
          </w:tcPr>
          <w:p>
            <w:r>
              <w:rPr>
                <w:sz w:val="14"/>
              </w:rPr>
              <w:t>Validates destination, escorts and completes seating handoff</w:t>
            </w:r>
          </w:p>
        </w:tc>
        <w:tc>
          <w:tcPr>
            <w:tcW w:type="dxa" w:w="3024"/>
            <w:tcMar>
              <w:top w:w="95" w:type="dxa"/>
              <w:start w:w="120" w:type="dxa"/>
              <w:bottom w:w="95" w:type="dxa"/>
              <w:end w:w="120" w:type="dxa"/>
            </w:tcMar>
            <w:vAlign w:val="center"/>
          </w:tcPr>
          <w:p>
            <w:r>
              <w:rPr>
                <w:sz w:val="14"/>
              </w:rPr>
              <w:t>Never resolves disputed authority alone</w:t>
            </w:r>
          </w:p>
        </w:tc>
      </w:tr>
      <w:tr>
        <w:tc>
          <w:tcPr>
            <w:tcW w:type="dxa" w:w="1944"/>
            <w:tcMar>
              <w:top w:w="95" w:type="dxa"/>
              <w:start w:w="120" w:type="dxa"/>
              <w:bottom w:w="95" w:type="dxa"/>
              <w:end w:w="120" w:type="dxa"/>
            </w:tcMar>
            <w:vAlign w:val="center"/>
            <w:shd w:fill="F3F0EB"/>
          </w:tcPr>
          <w:p>
            <w:r>
              <w:rPr>
                <w:sz w:val="14"/>
              </w:rPr>
              <w:t>Roving Usher</w:t>
            </w:r>
          </w:p>
        </w:tc>
        <w:tc>
          <w:tcPr>
            <w:tcW w:type="dxa" w:w="4392"/>
            <w:tcMar>
              <w:top w:w="95" w:type="dxa"/>
              <w:start w:w="120" w:type="dxa"/>
              <w:bottom w:w="95" w:type="dxa"/>
              <w:end w:w="120" w:type="dxa"/>
            </w:tcMar>
            <w:vAlign w:val="center"/>
            <w:shd w:fill="F3F0EB"/>
          </w:tcPr>
          <w:p>
            <w:r>
              <w:rPr>
                <w:sz w:val="14"/>
              </w:rPr>
              <w:t>Proactive observation and assistance within a bounded sector</w:t>
            </w:r>
          </w:p>
        </w:tc>
        <w:tc>
          <w:tcPr>
            <w:tcW w:type="dxa" w:w="3024"/>
            <w:tcMar>
              <w:top w:w="95" w:type="dxa"/>
              <w:start w:w="120" w:type="dxa"/>
              <w:bottom w:w="95" w:type="dxa"/>
              <w:end w:w="120" w:type="dxa"/>
            </w:tcMar>
            <w:vAlign w:val="center"/>
            <w:shd w:fill="F3F0EB"/>
          </w:tcPr>
          <w:p>
            <w:r>
              <w:rPr>
                <w:sz w:val="14"/>
              </w:rPr>
              <w:t>Does not drift into another zone silently</w:t>
            </w:r>
          </w:p>
        </w:tc>
      </w:tr>
      <w:tr>
        <w:tc>
          <w:tcPr>
            <w:tcW w:type="dxa" w:w="1944"/>
            <w:tcMar>
              <w:top w:w="95" w:type="dxa"/>
              <w:start w:w="120" w:type="dxa"/>
              <w:bottom w:w="95" w:type="dxa"/>
              <w:end w:w="120" w:type="dxa"/>
            </w:tcMar>
            <w:vAlign w:val="center"/>
          </w:tcPr>
          <w:p>
            <w:r>
              <w:rPr>
                <w:sz w:val="14"/>
              </w:rPr>
              <w:t>Float/Relief Usher</w:t>
            </w:r>
          </w:p>
        </w:tc>
        <w:tc>
          <w:tcPr>
            <w:tcW w:type="dxa" w:w="4392"/>
            <w:tcMar>
              <w:top w:w="95" w:type="dxa"/>
              <w:start w:w="120" w:type="dxa"/>
              <w:bottom w:w="95" w:type="dxa"/>
              <w:end w:w="120" w:type="dxa"/>
            </w:tcMar>
            <w:vAlign w:val="center"/>
          </w:tcPr>
          <w:p>
            <w:r>
              <w:rPr>
                <w:sz w:val="14"/>
              </w:rPr>
              <w:t>Covers peaks, breaks, absence and incident replacement</w:t>
            </w:r>
          </w:p>
        </w:tc>
        <w:tc>
          <w:tcPr>
            <w:tcW w:type="dxa" w:w="3024"/>
            <w:tcMar>
              <w:top w:w="95" w:type="dxa"/>
              <w:start w:w="120" w:type="dxa"/>
              <w:bottom w:w="95" w:type="dxa"/>
              <w:end w:w="120" w:type="dxa"/>
            </w:tcMar>
            <w:vAlign w:val="center"/>
          </w:tcPr>
          <w:p>
            <w:r>
              <w:rPr>
                <w:sz w:val="14"/>
              </w:rPr>
              <w:t>Remains assigned by supervisor, not self-deployed</w:t>
            </w:r>
          </w:p>
        </w:tc>
      </w:tr>
      <w:tr>
        <w:tc>
          <w:tcPr>
            <w:tcW w:type="dxa" w:w="1944"/>
            <w:tcMar>
              <w:top w:w="95" w:type="dxa"/>
              <w:start w:w="120" w:type="dxa"/>
              <w:bottom w:w="95" w:type="dxa"/>
              <w:end w:w="120" w:type="dxa"/>
            </w:tcMar>
            <w:vAlign w:val="center"/>
            <w:shd w:fill="F3F0EB"/>
          </w:tcPr>
          <w:p>
            <w:r>
              <w:rPr>
                <w:sz w:val="14"/>
              </w:rPr>
              <w:t>Command Recorder</w:t>
            </w:r>
          </w:p>
        </w:tc>
        <w:tc>
          <w:tcPr>
            <w:tcW w:type="dxa" w:w="4392"/>
            <w:tcMar>
              <w:top w:w="95" w:type="dxa"/>
              <w:start w:w="120" w:type="dxa"/>
              <w:bottom w:w="95" w:type="dxa"/>
              <w:end w:w="120" w:type="dxa"/>
            </w:tcMar>
            <w:vAlign w:val="center"/>
            <w:shd w:fill="F3F0EB"/>
          </w:tcPr>
          <w:p>
            <w:r>
              <w:rPr>
                <w:sz w:val="14"/>
              </w:rPr>
              <w:t>Maintains board, changes, decisions, incidents and timestamps</w:t>
            </w:r>
          </w:p>
        </w:tc>
        <w:tc>
          <w:tcPr>
            <w:tcW w:type="dxa" w:w="3024"/>
            <w:tcMar>
              <w:top w:w="95" w:type="dxa"/>
              <w:start w:w="120" w:type="dxa"/>
              <w:bottom w:w="95" w:type="dxa"/>
              <w:end w:w="120" w:type="dxa"/>
            </w:tcMar>
            <w:vAlign w:val="center"/>
            <w:shd w:fill="F3F0EB"/>
          </w:tcPr>
          <w:p>
            <w:r>
              <w:rPr>
                <w:sz w:val="14"/>
              </w:rPr>
              <w:t>Does not issue decisions without delegated authority</w:t>
            </w:r>
          </w:p>
        </w:tc>
      </w:tr>
      <w:tr>
        <w:tc>
          <w:tcPr>
            <w:tcW w:type="dxa" w:w="1944"/>
            <w:tcMar>
              <w:top w:w="95" w:type="dxa"/>
              <w:start w:w="120" w:type="dxa"/>
              <w:bottom w:w="95" w:type="dxa"/>
              <w:end w:w="120" w:type="dxa"/>
            </w:tcMar>
            <w:vAlign w:val="center"/>
          </w:tcPr>
          <w:p>
            <w:r>
              <w:rPr>
                <w:sz w:val="14"/>
              </w:rPr>
              <w:t>Specialist Lead</w:t>
            </w:r>
          </w:p>
        </w:tc>
        <w:tc>
          <w:tcPr>
            <w:tcW w:type="dxa" w:w="4392"/>
            <w:tcMar>
              <w:top w:w="95" w:type="dxa"/>
              <w:start w:w="120" w:type="dxa"/>
              <w:bottom w:w="95" w:type="dxa"/>
              <w:end w:w="120" w:type="dxa"/>
            </w:tcMar>
            <w:vAlign w:val="center"/>
          </w:tcPr>
          <w:p>
            <w:r>
              <w:rPr>
                <w:sz w:val="14"/>
              </w:rPr>
              <w:t>Security, medical, transport, hospitality or technical response</w:t>
            </w:r>
          </w:p>
        </w:tc>
        <w:tc>
          <w:tcPr>
            <w:tcW w:type="dxa" w:w="3024"/>
            <w:tcMar>
              <w:top w:w="95" w:type="dxa"/>
              <w:start w:w="120" w:type="dxa"/>
              <w:bottom w:w="95" w:type="dxa"/>
              <w:end w:w="120" w:type="dxa"/>
            </w:tcMar>
            <w:vAlign w:val="center"/>
          </w:tcPr>
          <w:p>
            <w:r>
              <w:rPr>
                <w:sz w:val="14"/>
              </w:rPr>
              <w:t>Owns specialist resolution after handoff</w:t>
            </w:r>
          </w:p>
        </w:tc>
      </w:tr>
    </w:tbl>
    <w:p/>
    <w:p>
      <w:pPr>
        <w:pStyle w:val="Heading1"/>
      </w:pPr>
      <w:r>
        <w:t>12. Non-negotiable prohibitions</w:t>
      </w:r>
    </w:p>
    <w:p>
      <w:pPr>
        <w:pStyle w:val="ListBullet"/>
      </w:pPr>
      <w:r>
        <w:t>Never leave a critical post without relief.</w:t>
      </w:r>
    </w:p>
    <w:p>
      <w:pPr>
        <w:pStyle w:val="ListBullet"/>
      </w:pPr>
      <w:r>
        <w:t>Never argue with a guest or expose a dispute to surrounding guests.</w:t>
      </w:r>
    </w:p>
    <w:p>
      <w:pPr>
        <w:pStyle w:val="ListBullet"/>
      </w:pPr>
      <w:r>
        <w:t>Never move a guest from a disputed place until the authorised destination is confirmed, except immediate safety necessity.</w:t>
      </w:r>
    </w:p>
    <w:p>
      <w:pPr>
        <w:pStyle w:val="ListBullet"/>
      </w:pPr>
      <w:r>
        <w:t>Never announce medical, disability, safeguarding or sensitive identity information on an open channel.</w:t>
      </w:r>
    </w:p>
    <w:p>
      <w:pPr>
        <w:pStyle w:val="ListBullet"/>
      </w:pPr>
      <w:r>
        <w:t>Never invent a title, relationship, seat, access right or promised resolution.</w:t>
      </w:r>
    </w:p>
    <w:p>
      <w:pPr>
        <w:pStyle w:val="ListBullet"/>
      </w:pPr>
      <w:r>
        <w:t>Never use event attendance or guest data for marketing.</w:t>
      </w:r>
    </w:p>
    <w:p>
      <w:pPr>
        <w:pStyle w:val="ListBullet"/>
      </w:pPr>
      <w:r>
        <w:t>Never allow a technology outage to remove a staffed assistance path.</w:t>
      </w:r>
    </w:p>
    <w:p>
      <w:pPr>
        <w:pStyle w:val="ListBullet"/>
      </w:pPr>
      <w:r>
        <w:t>Never mark unknown, unverified or unsynchronised information as current.</w:t>
      </w:r>
    </w:p>
    <w:p>
      <w:pPr>
        <w:pStyle w:val="ListBullet"/>
      </w:pPr>
      <w:r>
        <w:t>Never trade safety, dignity or truthful reporting for a response-time target.</w:t>
      </w:r>
    </w:p>
    <w:p>
      <w:pPr>
        <w:pStyle w:val="Heading1"/>
      </w:pPr>
      <w:r>
        <w:t>13. Readiness states</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1728"/>
            <w:shd w:fill="18202A"/>
            <w:tcMar>
              <w:top w:w="95" w:type="dxa"/>
              <w:start w:w="120" w:type="dxa"/>
              <w:bottom w:w="95" w:type="dxa"/>
              <w:end w:w="120" w:type="dxa"/>
            </w:tcMar>
          </w:tcPr>
          <w:p>
            <w:r>
              <w:rPr>
                <w:b/>
                <w:color w:val="FFFFFF"/>
                <w:sz w:val="16"/>
              </w:rPr>
              <w:t>State</w:t>
            </w:r>
          </w:p>
        </w:tc>
        <w:tc>
          <w:tcPr>
            <w:tcW w:type="dxa" w:w="7632"/>
            <w:shd w:fill="18202A"/>
            <w:tcMar>
              <w:top w:w="95" w:type="dxa"/>
              <w:start w:w="120" w:type="dxa"/>
              <w:bottom w:w="95" w:type="dxa"/>
              <w:end w:w="120" w:type="dxa"/>
            </w:tcMar>
          </w:tcPr>
          <w:p>
            <w:r>
              <w:rPr>
                <w:b/>
                <w:color w:val="FFFFFF"/>
                <w:sz w:val="16"/>
              </w:rPr>
              <w:t>Meaning</w:t>
            </w:r>
          </w:p>
        </w:tc>
      </w:tr>
      <w:tr>
        <w:tc>
          <w:tcPr>
            <w:tcW w:type="dxa" w:w="1728"/>
            <w:tcMar>
              <w:top w:w="95" w:type="dxa"/>
              <w:start w:w="120" w:type="dxa"/>
              <w:bottom w:w="95" w:type="dxa"/>
              <w:end w:w="120" w:type="dxa"/>
            </w:tcMar>
            <w:vAlign w:val="center"/>
          </w:tcPr>
          <w:p>
            <w:r>
              <w:rPr>
                <w:sz w:val="16"/>
              </w:rPr>
              <w:t>GREEN</w:t>
            </w:r>
          </w:p>
        </w:tc>
        <w:tc>
          <w:tcPr>
            <w:tcW w:type="dxa" w:w="7632"/>
            <w:tcMar>
              <w:top w:w="95" w:type="dxa"/>
              <w:start w:w="120" w:type="dxa"/>
              <w:bottom w:w="95" w:type="dxa"/>
              <w:end w:w="120" w:type="dxa"/>
            </w:tcMar>
            <w:vAlign w:val="center"/>
          </w:tcPr>
          <w:p>
            <w:r>
              <w:rPr>
                <w:sz w:val="16"/>
              </w:rPr>
              <w:t>Post staffed, route clear, information current and capacity available</w:t>
            </w:r>
          </w:p>
        </w:tc>
      </w:tr>
      <w:tr>
        <w:tc>
          <w:tcPr>
            <w:tcW w:type="dxa" w:w="1728"/>
            <w:tcMar>
              <w:top w:w="95" w:type="dxa"/>
              <w:start w:w="120" w:type="dxa"/>
              <w:bottom w:w="95" w:type="dxa"/>
              <w:end w:w="120" w:type="dxa"/>
            </w:tcMar>
            <w:vAlign w:val="center"/>
            <w:shd w:fill="F3F0EB"/>
          </w:tcPr>
          <w:p>
            <w:r>
              <w:rPr>
                <w:sz w:val="16"/>
              </w:rPr>
              <w:t>AMBER</w:t>
            </w:r>
          </w:p>
        </w:tc>
        <w:tc>
          <w:tcPr>
            <w:tcW w:type="dxa" w:w="7632"/>
            <w:tcMar>
              <w:top w:w="95" w:type="dxa"/>
              <w:start w:w="120" w:type="dxa"/>
              <w:bottom w:w="95" w:type="dxa"/>
              <w:end w:w="120" w:type="dxa"/>
            </w:tcMar>
            <w:vAlign w:val="center"/>
            <w:shd w:fill="F3F0EB"/>
          </w:tcPr>
          <w:p>
            <w:r>
              <w:rPr>
                <w:sz w:val="16"/>
              </w:rPr>
              <w:t>Service continues with named constraint, mitigation, owner and review time</w:t>
            </w:r>
          </w:p>
        </w:tc>
      </w:tr>
      <w:tr>
        <w:tc>
          <w:tcPr>
            <w:tcW w:type="dxa" w:w="1728"/>
            <w:tcMar>
              <w:top w:w="95" w:type="dxa"/>
              <w:start w:w="120" w:type="dxa"/>
              <w:bottom w:w="95" w:type="dxa"/>
              <w:end w:w="120" w:type="dxa"/>
            </w:tcMar>
            <w:vAlign w:val="center"/>
          </w:tcPr>
          <w:p>
            <w:r>
              <w:rPr>
                <w:sz w:val="16"/>
              </w:rPr>
              <w:t>RED</w:t>
            </w:r>
          </w:p>
        </w:tc>
        <w:tc>
          <w:tcPr>
            <w:tcW w:type="dxa" w:w="7632"/>
            <w:tcMar>
              <w:top w:w="95" w:type="dxa"/>
              <w:start w:w="120" w:type="dxa"/>
              <w:bottom w:w="95" w:type="dxa"/>
              <w:end w:w="120" w:type="dxa"/>
            </w:tcMar>
            <w:vAlign w:val="center"/>
          </w:tcPr>
          <w:p>
            <w:r>
              <w:rPr>
                <w:sz w:val="16"/>
              </w:rPr>
              <w:t>Unsafe, unstaffed critical control, contradictory authority or failed essential route; stop affected operation</w:t>
            </w:r>
          </w:p>
        </w:tc>
      </w:tr>
      <w:tr>
        <w:tc>
          <w:tcPr>
            <w:tcW w:type="dxa" w:w="1728"/>
            <w:tcMar>
              <w:top w:w="95" w:type="dxa"/>
              <w:start w:w="120" w:type="dxa"/>
              <w:bottom w:w="95" w:type="dxa"/>
              <w:end w:w="120" w:type="dxa"/>
            </w:tcMar>
            <w:vAlign w:val="center"/>
            <w:shd w:fill="F3F0EB"/>
          </w:tcPr>
          <w:p>
            <w:r>
              <w:rPr>
                <w:sz w:val="16"/>
              </w:rPr>
              <w:t>UNKNOWN</w:t>
            </w:r>
          </w:p>
        </w:tc>
        <w:tc>
          <w:tcPr>
            <w:tcW w:type="dxa" w:w="7632"/>
            <w:tcMar>
              <w:top w:w="95" w:type="dxa"/>
              <w:start w:w="120" w:type="dxa"/>
              <w:bottom w:w="95" w:type="dxa"/>
              <w:end w:w="120" w:type="dxa"/>
            </w:tcMar>
            <w:vAlign w:val="center"/>
            <w:shd w:fill="F3F0EB"/>
          </w:tcPr>
          <w:p>
            <w:r>
              <w:rPr>
                <w:sz w:val="16"/>
              </w:rPr>
              <w:t>Not verified; never treated as green</w:t>
            </w:r>
          </w:p>
        </w:tc>
      </w:tr>
    </w:tbl>
    <w:p/>
    <w:p>
      <w:pPr>
        <w:pStyle w:val="Heading1"/>
      </w:pPr>
      <w:r>
        <w:t>14. CEO ratification record</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024"/>
            <w:shd w:fill="18202A"/>
            <w:tcMar>
              <w:top w:w="95" w:type="dxa"/>
              <w:start w:w="120" w:type="dxa"/>
              <w:bottom w:w="95" w:type="dxa"/>
              <w:end w:w="120" w:type="dxa"/>
            </w:tcMar>
          </w:tcPr>
          <w:p>
            <w:r>
              <w:rPr>
                <w:b/>
                <w:color w:val="FFFFFF"/>
                <w:sz w:val="16"/>
              </w:rPr>
              <w:t>Decision</w:t>
            </w:r>
          </w:p>
        </w:tc>
        <w:tc>
          <w:tcPr>
            <w:tcW w:type="dxa" w:w="4320"/>
            <w:shd w:fill="18202A"/>
            <w:tcMar>
              <w:top w:w="95" w:type="dxa"/>
              <w:start w:w="120" w:type="dxa"/>
              <w:bottom w:w="95" w:type="dxa"/>
              <w:end w:w="120" w:type="dxa"/>
            </w:tcMar>
          </w:tcPr>
          <w:p>
            <w:r>
              <w:rPr>
                <w:b/>
                <w:color w:val="FFFFFF"/>
                <w:sz w:val="16"/>
              </w:rPr>
              <w:t>Recommendation</w:t>
            </w:r>
          </w:p>
        </w:tc>
        <w:tc>
          <w:tcPr>
            <w:tcW w:type="dxa" w:w="2016"/>
            <w:shd w:fill="18202A"/>
            <w:tcMar>
              <w:top w:w="95" w:type="dxa"/>
              <w:start w:w="120" w:type="dxa"/>
              <w:bottom w:w="95" w:type="dxa"/>
              <w:end w:w="120" w:type="dxa"/>
            </w:tcMar>
          </w:tcPr>
          <w:p>
            <w:r>
              <w:rPr>
                <w:b/>
                <w:color w:val="FFFFFF"/>
                <w:sz w:val="16"/>
              </w:rPr>
              <w:t>Record</w:t>
            </w:r>
          </w:p>
        </w:tc>
      </w:tr>
      <w:tr>
        <w:tc>
          <w:tcPr>
            <w:tcW w:type="dxa" w:w="3024"/>
            <w:tcMar>
              <w:top w:w="95" w:type="dxa"/>
              <w:start w:w="120" w:type="dxa"/>
              <w:bottom w:w="95" w:type="dxa"/>
              <w:end w:w="120" w:type="dxa"/>
            </w:tcMar>
            <w:vAlign w:val="center"/>
          </w:tcPr>
          <w:p>
            <w:r>
              <w:rPr>
                <w:sz w:val="16"/>
              </w:rPr>
              <w:t>Operating promise</w:t>
            </w:r>
          </w:p>
        </w:tc>
        <w:tc>
          <w:tcPr>
            <w:tcW w:type="dxa" w:w="4320"/>
            <w:tcMar>
              <w:top w:w="95" w:type="dxa"/>
              <w:start w:w="120" w:type="dxa"/>
              <w:bottom w:w="95" w:type="dxa"/>
              <w:end w:w="120" w:type="dxa"/>
            </w:tcMar>
            <w:vAlign w:val="center"/>
          </w:tcPr>
          <w:p>
            <w:r>
              <w:rPr>
                <w:sz w:val="16"/>
              </w:rPr>
              <w:t>Ratify</w:t>
            </w:r>
          </w:p>
        </w:tc>
        <w:tc>
          <w:tcPr>
            <w:tcW w:type="dxa" w:w="2016"/>
            <w:tcMar>
              <w:top w:w="95" w:type="dxa"/>
              <w:start w:w="120" w:type="dxa"/>
              <w:bottom w:w="95" w:type="dxa"/>
              <w:end w:w="120" w:type="dxa"/>
            </w:tcMar>
            <w:vAlign w:val="center"/>
          </w:tcPr>
          <w:p>
            <w:r>
              <w:rPr>
                <w:sz w:val="16"/>
              </w:rPr>
              <w:t>Ratify / amend</w:t>
            </w:r>
          </w:p>
        </w:tc>
      </w:tr>
      <w:tr>
        <w:tc>
          <w:tcPr>
            <w:tcW w:type="dxa" w:w="3024"/>
            <w:tcMar>
              <w:top w:w="95" w:type="dxa"/>
              <w:start w:w="120" w:type="dxa"/>
              <w:bottom w:w="95" w:type="dxa"/>
              <w:end w:w="120" w:type="dxa"/>
            </w:tcMar>
            <w:vAlign w:val="center"/>
            <w:shd w:fill="F3F0EB"/>
          </w:tcPr>
          <w:p>
            <w:r>
              <w:rPr>
                <w:sz w:val="16"/>
              </w:rPr>
              <w:t>Offline-first baseline</w:t>
            </w:r>
          </w:p>
        </w:tc>
        <w:tc>
          <w:tcPr>
            <w:tcW w:type="dxa" w:w="4320"/>
            <w:tcMar>
              <w:top w:w="95" w:type="dxa"/>
              <w:start w:w="120" w:type="dxa"/>
              <w:bottom w:w="95" w:type="dxa"/>
              <w:end w:w="120" w:type="dxa"/>
            </w:tcMar>
            <w:vAlign w:val="center"/>
            <w:shd w:fill="F3F0EB"/>
          </w:tcPr>
          <w:p>
            <w:r>
              <w:rPr>
                <w:sz w:val="16"/>
              </w:rPr>
              <w:t>Ratify</w:t>
            </w:r>
          </w:p>
        </w:tc>
        <w:tc>
          <w:tcPr>
            <w:tcW w:type="dxa" w:w="2016"/>
            <w:tcMar>
              <w:top w:w="95" w:type="dxa"/>
              <w:start w:w="120" w:type="dxa"/>
              <w:bottom w:w="95" w:type="dxa"/>
              <w:end w:w="120" w:type="dxa"/>
            </w:tcMar>
            <w:vAlign w:val="center"/>
            <w:shd w:fill="F3F0EB"/>
          </w:tcPr>
          <w:p>
            <w:r>
              <w:rPr>
                <w:sz w:val="16"/>
              </w:rPr>
              <w:t>Ratify / amend</w:t>
            </w:r>
          </w:p>
        </w:tc>
      </w:tr>
      <w:tr>
        <w:tc>
          <w:tcPr>
            <w:tcW w:type="dxa" w:w="3024"/>
            <w:tcMar>
              <w:top w:w="95" w:type="dxa"/>
              <w:start w:w="120" w:type="dxa"/>
              <w:bottom w:w="95" w:type="dxa"/>
              <w:end w:w="120" w:type="dxa"/>
            </w:tcMar>
            <w:vAlign w:val="center"/>
          </w:tcPr>
          <w:p>
            <w:r>
              <w:rPr>
                <w:sz w:val="16"/>
              </w:rPr>
              <w:t>Call buttons</w:t>
            </w:r>
          </w:p>
        </w:tc>
        <w:tc>
          <w:tcPr>
            <w:tcW w:type="dxa" w:w="4320"/>
            <w:tcMar>
              <w:top w:w="95" w:type="dxa"/>
              <w:start w:w="120" w:type="dxa"/>
              <w:bottom w:w="95" w:type="dxa"/>
              <w:end w:w="120" w:type="dxa"/>
            </w:tcMar>
            <w:vAlign w:val="center"/>
          </w:tcPr>
          <w:p>
            <w:r>
              <w:rPr>
                <w:sz w:val="16"/>
              </w:rPr>
              <w:t>Optional by event, not universal</w:t>
            </w:r>
          </w:p>
        </w:tc>
        <w:tc>
          <w:tcPr>
            <w:tcW w:type="dxa" w:w="2016"/>
            <w:tcMar>
              <w:top w:w="95" w:type="dxa"/>
              <w:start w:w="120" w:type="dxa"/>
              <w:bottom w:w="95" w:type="dxa"/>
              <w:end w:w="120" w:type="dxa"/>
            </w:tcMar>
            <w:vAlign w:val="center"/>
          </w:tcPr>
          <w:p>
            <w:r>
              <w:rPr>
                <w:sz w:val="16"/>
              </w:rPr>
              <w:t>Ratify / amend</w:t>
            </w:r>
          </w:p>
        </w:tc>
      </w:tr>
      <w:tr>
        <w:tc>
          <w:tcPr>
            <w:tcW w:type="dxa" w:w="3024"/>
            <w:tcMar>
              <w:top w:w="95" w:type="dxa"/>
              <w:start w:w="120" w:type="dxa"/>
              <w:bottom w:w="95" w:type="dxa"/>
              <w:end w:w="120" w:type="dxa"/>
            </w:tcMar>
            <w:vAlign w:val="center"/>
            <w:shd w:fill="F3F0EB"/>
          </w:tcPr>
          <w:p>
            <w:r>
              <w:rPr>
                <w:sz w:val="16"/>
              </w:rPr>
              <w:t>Initial app role</w:t>
            </w:r>
          </w:p>
        </w:tc>
        <w:tc>
          <w:tcPr>
            <w:tcW w:type="dxa" w:w="4320"/>
            <w:tcMar>
              <w:top w:w="95" w:type="dxa"/>
              <w:start w:w="120" w:type="dxa"/>
              <w:bottom w:w="95" w:type="dxa"/>
              <w:end w:w="120" w:type="dxa"/>
            </w:tcMar>
            <w:vAlign w:val="center"/>
            <w:shd w:fill="F3F0EB"/>
          </w:tcPr>
          <w:p>
            <w:r>
              <w:rPr>
                <w:sz w:val="16"/>
              </w:rPr>
              <w:t>Offline lookup/evidence only</w:t>
            </w:r>
          </w:p>
        </w:tc>
        <w:tc>
          <w:tcPr>
            <w:tcW w:type="dxa" w:w="2016"/>
            <w:tcMar>
              <w:top w:w="95" w:type="dxa"/>
              <w:start w:w="120" w:type="dxa"/>
              <w:bottom w:w="95" w:type="dxa"/>
              <w:end w:w="120" w:type="dxa"/>
            </w:tcMar>
            <w:vAlign w:val="center"/>
            <w:shd w:fill="F3F0EB"/>
          </w:tcPr>
          <w:p>
            <w:r>
              <w:rPr>
                <w:sz w:val="16"/>
              </w:rPr>
              <w:t>Ratify / amend</w:t>
            </w:r>
          </w:p>
        </w:tc>
      </w:tr>
      <w:tr>
        <w:tc>
          <w:tcPr>
            <w:tcW w:type="dxa" w:w="3024"/>
            <w:tcMar>
              <w:top w:w="95" w:type="dxa"/>
              <w:start w:w="120" w:type="dxa"/>
              <w:bottom w:w="95" w:type="dxa"/>
              <w:end w:w="120" w:type="dxa"/>
            </w:tcMar>
            <w:vAlign w:val="center"/>
          </w:tcPr>
          <w:p>
            <w:r>
              <w:rPr>
                <w:sz w:val="16"/>
              </w:rPr>
              <w:t>Guest data boundary</w:t>
            </w:r>
          </w:p>
        </w:tc>
        <w:tc>
          <w:tcPr>
            <w:tcW w:type="dxa" w:w="4320"/>
            <w:tcMar>
              <w:top w:w="95" w:type="dxa"/>
              <w:start w:w="120" w:type="dxa"/>
              <w:bottom w:w="95" w:type="dxa"/>
              <w:end w:w="120" w:type="dxa"/>
            </w:tcMar>
            <w:vAlign w:val="center"/>
          </w:tcPr>
          <w:p>
            <w:r>
              <w:rPr>
                <w:sz w:val="16"/>
              </w:rPr>
              <w:t>Operational only; no marketing implication</w:t>
            </w:r>
          </w:p>
        </w:tc>
        <w:tc>
          <w:tcPr>
            <w:tcW w:type="dxa" w:w="2016"/>
            <w:tcMar>
              <w:top w:w="95" w:type="dxa"/>
              <w:start w:w="120" w:type="dxa"/>
              <w:bottom w:w="95" w:type="dxa"/>
              <w:end w:w="120" w:type="dxa"/>
            </w:tcMar>
            <w:vAlign w:val="center"/>
          </w:tcPr>
          <w:p>
            <w:r>
              <w:rPr>
                <w:sz w:val="16"/>
              </w:rPr>
              <w:t>Ratify / amend</w:t>
            </w:r>
          </w:p>
        </w:tc>
      </w:tr>
      <w:tr>
        <w:tc>
          <w:tcPr>
            <w:tcW w:type="dxa" w:w="3024"/>
            <w:tcMar>
              <w:top w:w="95" w:type="dxa"/>
              <w:start w:w="120" w:type="dxa"/>
              <w:bottom w:w="95" w:type="dxa"/>
              <w:end w:w="120" w:type="dxa"/>
            </w:tcMar>
            <w:vAlign w:val="center"/>
            <w:shd w:fill="F3F0EB"/>
          </w:tcPr>
          <w:p>
            <w:r>
              <w:rPr>
                <w:sz w:val="16"/>
              </w:rPr>
              <w:t>Authority model</w:t>
            </w:r>
          </w:p>
        </w:tc>
        <w:tc>
          <w:tcPr>
            <w:tcW w:type="dxa" w:w="4320"/>
            <w:tcMar>
              <w:top w:w="95" w:type="dxa"/>
              <w:start w:w="120" w:type="dxa"/>
              <w:bottom w:w="95" w:type="dxa"/>
              <w:end w:w="120" w:type="dxa"/>
            </w:tcMar>
            <w:vAlign w:val="center"/>
            <w:shd w:fill="F3F0EB"/>
          </w:tcPr>
          <w:p>
            <w:r>
              <w:rPr>
                <w:sz w:val="16"/>
              </w:rPr>
              <w:t>Event Director + FOH + specialist domains</w:t>
            </w:r>
          </w:p>
        </w:tc>
        <w:tc>
          <w:tcPr>
            <w:tcW w:type="dxa" w:w="2016"/>
            <w:tcMar>
              <w:top w:w="95" w:type="dxa"/>
              <w:start w:w="120" w:type="dxa"/>
              <w:bottom w:w="95" w:type="dxa"/>
              <w:end w:w="120" w:type="dxa"/>
            </w:tcMar>
            <w:vAlign w:val="center"/>
            <w:shd w:fill="F3F0EB"/>
          </w:tcPr>
          <w:p>
            <w:r>
              <w:rPr>
                <w:sz w:val="16"/>
              </w:rPr>
              <w:t>Ratify / amend</w:t>
            </w:r>
          </w:p>
        </w:tc>
      </w:tr>
    </w:tbl>
    <w:p/>
    <w:p>
      <w:r>
        <w:br w:type="page"/>
      </w:r>
    </w:p>
    <w:p>
      <w:pPr>
        <w:pStyle w:val="Heading1"/>
      </w:pPr>
      <w:r>
        <w:t>Detailed controlled operating annex</w:t>
      </w:r>
    </w:p>
    <w:p>
      <w:r>
        <w:t>This annex expands the governing requirements into operational design, verification and evidence. It is normative only after ratification with the parent document.</w:t>
      </w:r>
    </w:p>
    <w:p>
      <w:pPr>
        <w:pStyle w:val="Heading2"/>
      </w:pPr>
      <w:r>
        <w:t>Arrival as a controlled service</w:t>
      </w:r>
    </w:p>
    <w:p>
      <w:r>
        <w:t>The arrival design starts at the first point where a guest can become uncertain: vehicle approach, pedestrian route, drop-off, queue, invitation check, exception desk and receiving escort. The plan names the owner of each interface and prevents security, protocol and ushers from giving contradictory directions.</w:t>
      </w:r>
    </w:p>
    <w:p>
      <w:r>
        <w:t>Required practice. Map the route in daylight and event lighting; simulate peak arrivals, rain, elderly guests, wheelchairs, families, entourages and unlisted arrivals; verify that queues do not obstruct traffic or expose private disputes.</w:t>
      </w:r>
    </w:p>
    <w:p>
      <w:r>
        <w:t>Acceptance evidence. An arrival zone may open only when every critical post is occupied, the exception desk is ready, the receiving zone acknowledges capacity, accessible routes are unobstructed and the official guest/seating version is issued.</w:t>
      </w:r>
    </w:p>
    <w:p>
      <w:pPr>
        <w:pStyle w:val="Heading2"/>
      </w:pPr>
      <w:r>
        <w:t>Recognition without presumption</w:t>
      </w:r>
    </w:p>
    <w:p>
      <w:r>
        <w:t>Premium recognition is accurate and discreet. Staff may use a name, title or relationship only when it is verified and useful. Appearance, dress, age, entourage or perceived status never substitutes for the controlled guest record.</w:t>
      </w:r>
    </w:p>
    <w:p>
      <w:r>
        <w:t>Required practice. Use neutral welcome language until identity is confirmed. Route uncertainty to Guest Intelligence without announcing that a person is “not on the list”. Preserve households and legitimate companions while checking the authorised plan.</w:t>
      </w:r>
    </w:p>
    <w:p>
      <w:r>
        <w:t>Acceptance evidence. A recognition error, public challenge, misused title or exposed private note is recorded as a service-quality event and reviewed for data, briefing or training correction.</w:t>
      </w:r>
    </w:p>
    <w:p>
      <w:pPr>
        <w:pStyle w:val="Heading2"/>
      </w:pPr>
      <w:r>
        <w:t>Wayfinding and escort</w:t>
      </w:r>
    </w:p>
    <w:p>
      <w:r>
        <w:t>Wayfinding is a chain of assured handoffs, not pointing. Fixed positions own decision points; escorts own movement; receiving ushers acknowledge arrival. A guest should not be abandoned at a door, stair, lift or unstaffed threshold.</w:t>
      </w:r>
    </w:p>
    <w:p>
      <w:r>
        <w:t>Required practice. Design each route for lighting, distance, surface, weather, noise, congestion and accessible alternatives. Identify areas where an usher must accompany rather than direct.</w:t>
      </w:r>
    </w:p>
    <w:p>
      <w:r>
        <w:t>Acceptance evidence. A route is green only when the destination is ready, the path is clear, sending and receiving posts are staffed and fallback routing is known.</w:t>
      </w:r>
    </w:p>
    <w:p>
      <w:pPr>
        <w:pStyle w:val="Heading2"/>
      </w:pPr>
      <w:r>
        <w:t>Seating integrity</w:t>
      </w:r>
    </w:p>
    <w:p>
      <w:r>
        <w:t>The current seating authority is versioned, time-stamped and controlled. Ushers see only the minimum information needed. Changes are issued through an authorised change slip or system event and reconciled with the command master.</w:t>
      </w:r>
    </w:p>
    <w:p>
      <w:r>
        <w:t>Required practice. At doors-open, freeze uncontrolled editing. If conflict occurs, support both parties, avoid blame, preserve the disputed place where possible and move verification away from the audience.</w:t>
      </w:r>
    </w:p>
    <w:p>
      <w:r>
        <w:t>Acceptance evidence. No usher promises a new seat, displaces a guest or invokes host preference without the appropriate Guest Intelligence, Protocol or Event Director decision.</w:t>
      </w:r>
    </w:p>
    <w:p>
      <w:pPr>
        <w:pStyle w:val="Heading2"/>
      </w:pPr>
      <w:r>
        <w:t>Programme transitions</w:t>
      </w:r>
    </w:p>
    <w:p>
      <w:r>
        <w:t>Transitions are temporary operations with their own commander, trigger, sending posts, receiving posts, routes, priority assistance, capacity limit and tail-clear confirmation.</w:t>
      </w:r>
    </w:p>
    <w:p>
      <w:r>
        <w:t>Required practice. The Front-of-House Director confirms destination readiness and issues one trigger. Zone supervisors repeat back. Position ushers protect junctions; escorts support priority guests; the final usher reports the route clear.</w:t>
      </w:r>
    </w:p>
    <w:p>
      <w:r>
        <w:t>Acceptance evidence. Music, speeches, catering pressure or VIP movement do not silently initiate a transition. A conflicting cue is escalated and the safer hold is maintained.</w:t>
      </w:r>
    </w:p>
    <w:p>
      <w:pPr>
        <w:pStyle w:val="Heading2"/>
      </w:pPr>
      <w:r>
        <w:t>Departure and final impression</w:t>
      </w:r>
    </w:p>
    <w:p>
      <w:r>
        <w:t>Departure retains the same service discipline as arrival. Coverage remains at seating, exits, restrooms, accessible routes, collection points and transport interfaces until formal release.</w:t>
      </w:r>
    </w:p>
    <w:p>
      <w:r>
        <w:t>Required practice. Plan transport queues, driver identification, elderly/vulnerable guest support, weather shelter, personal-property checks, lost property and late departures.</w:t>
      </w:r>
    </w:p>
    <w:p>
      <w:r>
        <w:t>Acceptance evidence. Staff are not released and equipment is not collected merely because the formal programme ended. The Event Director closes the guest operation after sweep and accountability.</w:t>
      </w:r>
    </w:p>
    <w:sectPr w:rsidR="00FC693F" w:rsidRPr="0006063C" w:rsidSect="00034616">
      <w:headerReference w:type="default" r:id="rId9"/>
      <w:footerReference w:type="default" r:id="rId10"/>
      <w:pgSz w:w="12240" w:h="15840"/>
      <w:pgMar w:top="1123"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MD-USH-CAN-001  •  </w:t>
    </w:r>
    <w:r>
      <w:fldChar w:fldCharType="begin"/>
    </w:r>
    <w:r>
      <w:instrText xml:space="preserve">PAGE</w:instrText>
    </w:r>
    <w:r>
      <w:fldChar w:fldCharType="end"/>
    </w:r>
    <w:r>
      <w:t xml:space="preserve"> of </w:t>
    </w:r>
    <w:r>
      <w:fldChar w:fldCharType="begin"/>
    </w:r>
    <w:r>
      <w:instrText xml:space="preserve">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D6670"/>
        <w:sz w:val="14"/>
      </w:rPr>
      <w:t>MAISON DOCLAR  |  PREMIUM USHERING SYSTEM  |  MD-USH-CAN-001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line="264" w:lineRule="auto"/>
    </w:pPr>
    <w:rPr>
      <w:rFonts w:ascii="Aptos" w:hAnsi="Aptos"/>
      <w:b w:val="0"/>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line="240" w:lineRule="auto"/>
      <w:outlineLvl w:val="0"/>
    </w:pPr>
    <w:rPr>
      <w:rFonts w:asciiTheme="majorHAnsi" w:eastAsiaTheme="majorEastAsia" w:hAnsiTheme="majorHAnsi" w:cstheme="majorBidi" w:ascii="Aptos Display" w:hAnsi="Aptos Display"/>
      <w:b/>
      <w:bCs/>
      <w:color w:val="18202A"/>
      <w:sz w:val="34"/>
      <w:szCs w:val="28"/>
    </w:rPr>
  </w:style>
  <w:style w:type="paragraph" w:styleId="Heading2">
    <w:name w:val="heading 2"/>
    <w:basedOn w:val="Normal"/>
    <w:next w:val="Normal"/>
    <w:link w:val="Heading2Char"/>
    <w:uiPriority w:val="9"/>
    <w:unhideWhenUsed/>
    <w:qFormat/>
    <w:rsid w:val="00FC693F"/>
    <w:pPr>
      <w:keepNext/>
      <w:keepLines/>
      <w:spacing w:before="240" w:after="100" w:line="240" w:lineRule="auto"/>
      <w:outlineLvl w:val="1"/>
    </w:pPr>
    <w:rPr>
      <w:rFonts w:asciiTheme="majorHAnsi" w:eastAsiaTheme="majorEastAsia" w:hAnsiTheme="majorHAnsi" w:cstheme="majorBidi" w:ascii="Aptos Display" w:hAnsi="Aptos Display"/>
      <w:b/>
      <w:bCs/>
      <w:color w:val="B79F85"/>
      <w:sz w:val="27"/>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outlineLvl w:val="2"/>
    </w:pPr>
    <w:rPr>
      <w:rFonts w:asciiTheme="majorHAnsi" w:eastAsiaTheme="majorEastAsia" w:hAnsiTheme="majorHAnsi" w:cstheme="majorBidi" w:ascii="Aptos Display" w:hAnsi="Aptos Display"/>
      <w:b/>
      <w:bCs/>
      <w:color w:val="18202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820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180" w:line="240" w:lineRule="auto"/>
    </w:pPr>
    <w:rPr>
      <w:rFonts w:asciiTheme="majorHAnsi" w:eastAsiaTheme="majorEastAsia" w:hAnsiTheme="majorHAnsi" w:cstheme="majorBidi" w:ascii="Aptos Display" w:hAnsi="Aptos Display"/>
      <w:b w:val="0"/>
      <w:i/>
      <w:iCs/>
      <w:color w:val="5D66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