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CEO and Event Director Command Guide</w:t>
      </w:r>
    </w:p>
    <w:p>
      <w:pPr>
        <w:pStyle w:val="Subtitle"/>
        <w:jc w:val="center"/>
      </w:pPr>
      <w:r>
        <w:t>Decision rights, live command, readiness, escalation and recovery</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8202A"/>
            <w:tcMar>
              <w:top w:w="95" w:type="dxa"/>
              <w:start w:w="120" w:type="dxa"/>
              <w:bottom w:w="95" w:type="dxa"/>
              <w:end w:w="120" w:type="dxa"/>
            </w:tcMar>
          </w:tcPr>
          <w:p>
            <w:r>
              <w:rPr>
                <w:b/>
                <w:color w:val="FFFFFF"/>
                <w:sz w:val="18"/>
              </w:rPr>
              <w:t>Control</w:t>
            </w:r>
          </w:p>
        </w:tc>
        <w:tc>
          <w:tcPr>
            <w:tcW w:type="dxa" w:w="7128"/>
            <w:shd w:fill="18202A"/>
            <w:tcMar>
              <w:top w:w="95" w:type="dxa"/>
              <w:start w:w="120" w:type="dxa"/>
              <w:bottom w:w="95" w:type="dxa"/>
              <w:end w:w="120" w:type="dxa"/>
            </w:tcMar>
          </w:tcPr>
          <w:p>
            <w:r>
              <w:rPr>
                <w:b/>
                <w:color w:val="FFFFFF"/>
                <w:sz w:val="18"/>
              </w:rPr>
              <w:t>Value</w:t>
            </w:r>
          </w:p>
        </w:tc>
      </w:tr>
      <w:tr>
        <w:tc>
          <w:tcPr>
            <w:tcW w:type="dxa" w:w="2232"/>
            <w:tcMar>
              <w:top w:w="95" w:type="dxa"/>
              <w:start w:w="120" w:type="dxa"/>
              <w:bottom w:w="95" w:type="dxa"/>
              <w:end w:w="120" w:type="dxa"/>
            </w:tcMar>
            <w:vAlign w:val="center"/>
          </w:tcPr>
          <w:p>
            <w:r>
              <w:rPr>
                <w:sz w:val="18"/>
              </w:rPr>
              <w:t>Document ID</w:t>
            </w:r>
          </w:p>
        </w:tc>
        <w:tc>
          <w:tcPr>
            <w:tcW w:type="dxa" w:w="7128"/>
            <w:tcMar>
              <w:top w:w="95" w:type="dxa"/>
              <w:start w:w="120" w:type="dxa"/>
              <w:bottom w:w="95" w:type="dxa"/>
              <w:end w:w="120" w:type="dxa"/>
            </w:tcMar>
            <w:vAlign w:val="center"/>
          </w:tcPr>
          <w:p>
            <w:r>
              <w:rPr>
                <w:sz w:val="18"/>
              </w:rPr>
              <w:t>MD-USH-CMD-002</w:t>
            </w:r>
          </w:p>
        </w:tc>
      </w:tr>
      <w:tr>
        <w:tc>
          <w:tcPr>
            <w:tcW w:type="dxa" w:w="2232"/>
            <w:tcMar>
              <w:top w:w="95" w:type="dxa"/>
              <w:start w:w="120" w:type="dxa"/>
              <w:bottom w:w="95" w:type="dxa"/>
              <w:end w:w="120" w:type="dxa"/>
            </w:tcMar>
            <w:vAlign w:val="center"/>
            <w:shd w:fill="F3F0EB"/>
          </w:tcPr>
          <w:p>
            <w:r>
              <w:rPr>
                <w:sz w:val="18"/>
              </w:rPr>
              <w:t>Version</w:t>
            </w:r>
          </w:p>
        </w:tc>
        <w:tc>
          <w:tcPr>
            <w:tcW w:type="dxa" w:w="7128"/>
            <w:tcMar>
              <w:top w:w="95" w:type="dxa"/>
              <w:start w:w="120" w:type="dxa"/>
              <w:bottom w:w="95" w:type="dxa"/>
              <w:end w:w="120" w:type="dxa"/>
            </w:tcMar>
            <w:vAlign w:val="center"/>
            <w:shd w:fill="F3F0EB"/>
          </w:tcPr>
          <w:p>
            <w:r>
              <w:rPr>
                <w:sz w:val="18"/>
              </w:rPr>
              <w:t>1.0</w:t>
            </w:r>
          </w:p>
        </w:tc>
      </w:tr>
      <w:tr>
        <w:tc>
          <w:tcPr>
            <w:tcW w:type="dxa" w:w="2232"/>
            <w:tcMar>
              <w:top w:w="95" w:type="dxa"/>
              <w:start w:w="120" w:type="dxa"/>
              <w:bottom w:w="95" w:type="dxa"/>
              <w:end w:w="120" w:type="dxa"/>
            </w:tcMar>
            <w:vAlign w:val="center"/>
          </w:tcPr>
          <w:p>
            <w:r>
              <w:rPr>
                <w:sz w:val="18"/>
              </w:rPr>
              <w:t>Status</w:t>
            </w:r>
          </w:p>
        </w:tc>
        <w:tc>
          <w:tcPr>
            <w:tcW w:type="dxa" w:w="7128"/>
            <w:tcMar>
              <w:top w:w="95" w:type="dxa"/>
              <w:start w:w="120" w:type="dxa"/>
              <w:bottom w:w="95" w:type="dxa"/>
              <w:end w:w="120" w:type="dxa"/>
            </w:tcMar>
            <w:vAlign w:val="center"/>
          </w:tcPr>
          <w:p>
            <w:r>
              <w:rPr>
                <w:sz w:val="18"/>
              </w:rPr>
              <w:t>DRAFT FOR CEO RATIFICATION</w:t>
            </w:r>
          </w:p>
        </w:tc>
      </w:tr>
      <w:tr>
        <w:tc>
          <w:tcPr>
            <w:tcW w:type="dxa" w:w="2232"/>
            <w:tcMar>
              <w:top w:w="95" w:type="dxa"/>
              <w:start w:w="120" w:type="dxa"/>
              <w:bottom w:w="95" w:type="dxa"/>
              <w:end w:w="120" w:type="dxa"/>
            </w:tcMar>
            <w:vAlign w:val="center"/>
            <w:shd w:fill="F3F0EB"/>
          </w:tcPr>
          <w:p>
            <w:r>
              <w:rPr>
                <w:sz w:val="18"/>
              </w:rPr>
              <w:t>Doctrine</w:t>
            </w:r>
          </w:p>
        </w:tc>
        <w:tc>
          <w:tcPr>
            <w:tcW w:type="dxa" w:w="7128"/>
            <w:tcMar>
              <w:top w:w="95" w:type="dxa"/>
              <w:start w:w="120" w:type="dxa"/>
              <w:bottom w:w="95" w:type="dxa"/>
              <w:end w:w="120" w:type="dxa"/>
            </w:tcMar>
            <w:vAlign w:val="center"/>
            <w:shd w:fill="F3F0EB"/>
          </w:tcPr>
          <w:p>
            <w:r>
              <w:rPr>
                <w:sz w:val="18"/>
              </w:rPr>
              <w:t>Every Guest, Considered.</w:t>
            </w:r>
          </w:p>
        </w:tc>
      </w:tr>
      <w:tr>
        <w:tc>
          <w:tcPr>
            <w:tcW w:type="dxa" w:w="2232"/>
            <w:tcMar>
              <w:top w:w="95" w:type="dxa"/>
              <w:start w:w="120" w:type="dxa"/>
              <w:bottom w:w="95" w:type="dxa"/>
              <w:end w:w="120" w:type="dxa"/>
            </w:tcMar>
            <w:vAlign w:val="center"/>
          </w:tcPr>
          <w:p>
            <w:r>
              <w:rPr>
                <w:sz w:val="18"/>
              </w:rPr>
              <w:t>Prepared</w:t>
            </w:r>
          </w:p>
        </w:tc>
        <w:tc>
          <w:tcPr>
            <w:tcW w:type="dxa" w:w="7128"/>
            <w:tcMar>
              <w:top w:w="95" w:type="dxa"/>
              <w:start w:w="120" w:type="dxa"/>
              <w:bottom w:w="95" w:type="dxa"/>
              <w:end w:w="120" w:type="dxa"/>
            </w:tcMar>
            <w:vAlign w:val="center"/>
          </w:tcPr>
          <w:p>
            <w:r>
              <w:rPr>
                <w:sz w:val="18"/>
              </w:rPr>
              <w:t>04 September 2026</w:t>
            </w:r>
          </w:p>
        </w:tc>
      </w:tr>
    </w:tbl>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Authority: </w:t>
            </w:r>
            <w:r>
              <w:t>This document becomes Maison Doclar authority only after CEO ratification. Legal, radio-spectrum, equipment type approval, medical, security, accessibility, cultural and protocol determinations remain subject to the named competent authority. Vendor specifications are claims until verified.</w:t>
            </w:r>
          </w:p>
        </w:tc>
      </w:tr>
    </w:tbl>
    <w:p/>
    <w:p>
      <w:r>
        <w:br w:type="page"/>
      </w:r>
    </w:p>
    <w:p>
      <w:pPr>
        <w:pStyle w:val="Title"/>
      </w:pPr>
      <w:r>
        <w:t>Contents</w:t>
      </w:r>
    </w:p>
    <w:p>
      <w:r>
        <w:t>1. Command intent</w:t>
      </w:r>
    </w:p>
    <w:p>
      <w:r>
        <w:t>2. Command structure</w:t>
      </w:r>
    </w:p>
    <w:p>
      <w:r>
        <w:t>3. Event Director decision cards</w:t>
      </w:r>
    </w:p>
    <w:p>
      <w:r>
        <w:t>Open guest arrival</w:t>
      </w:r>
    </w:p>
    <w:p>
      <w:r>
        <w:t>Release seating</w:t>
      </w:r>
    </w:p>
    <w:p>
      <w:r>
        <w:t>Programme transition</w:t>
      </w:r>
    </w:p>
    <w:p>
      <w:r>
        <w:t>Overcapacity</w:t>
      </w:r>
    </w:p>
    <w:p>
      <w:r>
        <w:t>Communications failure</w:t>
      </w:r>
    </w:p>
    <w:p>
      <w:r>
        <w:t>Medical/security incident</w:t>
      </w:r>
    </w:p>
    <w:p>
      <w:r>
        <w:t>VIP/protocol conflict</w:t>
      </w:r>
    </w:p>
    <w:p>
      <w:r>
        <w:t>Evacuation/major safety</w:t>
      </w:r>
    </w:p>
    <w:p>
      <w:r>
        <w:t>4. Command rhythm</w:t>
      </w:r>
    </w:p>
    <w:p>
      <w:r>
        <w:t>5. Escalation language</w:t>
      </w:r>
    </w:p>
    <w:p>
      <w:r>
        <w:t>6. Command board minimum fields</w:t>
      </w:r>
    </w:p>
    <w:p>
      <w:r>
        <w:t>7. Go/conditional-go/no-go</w:t>
      </w:r>
    </w:p>
    <w:p/>
    <w:p>
      <w:pPr>
        <w:pStyle w:val="Heading1"/>
      </w:pPr>
      <w:r>
        <w:t>1. Command intent</w:t>
      </w:r>
    </w:p>
    <w:p>
      <w:r>
        <w:t>The CEO establishes doctrine, investment and release boundaries. The Event Director commands the event. During live operation, the objective is not to centralise every decision; it is to ensure each decision reaches the lowest competent authority with a clear escalation path and visible consequence.</w:t>
      </w:r>
    </w:p>
    <w:p>
      <w:pPr>
        <w:pStyle w:val="Heading1"/>
      </w:pPr>
      <w:r>
        <w:t>2. Command structure</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6"/>
            <w:shd w:fill="18202A"/>
            <w:tcMar>
              <w:top w:w="95" w:type="dxa"/>
              <w:start w:w="120" w:type="dxa"/>
              <w:bottom w:w="95" w:type="dxa"/>
              <w:end w:w="120" w:type="dxa"/>
            </w:tcMar>
          </w:tcPr>
          <w:p>
            <w:r>
              <w:rPr>
                <w:b/>
                <w:color w:val="FFFFFF"/>
                <w:sz w:val="14"/>
              </w:rPr>
              <w:t>Role</w:t>
            </w:r>
          </w:p>
        </w:tc>
        <w:tc>
          <w:tcPr>
            <w:tcW w:type="dxa" w:w="4608"/>
            <w:shd w:fill="18202A"/>
            <w:tcMar>
              <w:top w:w="95" w:type="dxa"/>
              <w:start w:w="120" w:type="dxa"/>
              <w:bottom w:w="95" w:type="dxa"/>
              <w:end w:w="120" w:type="dxa"/>
            </w:tcMar>
          </w:tcPr>
          <w:p>
            <w:r>
              <w:rPr>
                <w:b/>
                <w:color w:val="FFFFFF"/>
                <w:sz w:val="14"/>
              </w:rPr>
              <w:t>Decision authority</w:t>
            </w:r>
          </w:p>
        </w:tc>
        <w:tc>
          <w:tcPr>
            <w:tcW w:type="dxa" w:w="2736"/>
            <w:shd w:fill="18202A"/>
            <w:tcMar>
              <w:top w:w="95" w:type="dxa"/>
              <w:start w:w="120" w:type="dxa"/>
              <w:bottom w:w="95" w:type="dxa"/>
              <w:end w:w="120" w:type="dxa"/>
            </w:tcMar>
          </w:tcPr>
          <w:p>
            <w:r>
              <w:rPr>
                <w:b/>
                <w:color w:val="FFFFFF"/>
                <w:sz w:val="14"/>
              </w:rPr>
              <w:t>Reports/coordinates</w:t>
            </w:r>
          </w:p>
        </w:tc>
      </w:tr>
      <w:tr>
        <w:tc>
          <w:tcPr>
            <w:tcW w:type="dxa" w:w="2016"/>
            <w:tcMar>
              <w:top w:w="95" w:type="dxa"/>
              <w:start w:w="120" w:type="dxa"/>
              <w:bottom w:w="95" w:type="dxa"/>
              <w:end w:w="120" w:type="dxa"/>
            </w:tcMar>
            <w:vAlign w:val="center"/>
          </w:tcPr>
          <w:p>
            <w:r>
              <w:rPr>
                <w:sz w:val="14"/>
              </w:rPr>
              <w:t>Event Director</w:t>
            </w:r>
          </w:p>
        </w:tc>
        <w:tc>
          <w:tcPr>
            <w:tcW w:type="dxa" w:w="4608"/>
            <w:tcMar>
              <w:top w:w="95" w:type="dxa"/>
              <w:start w:w="120" w:type="dxa"/>
              <w:bottom w:w="95" w:type="dxa"/>
              <w:end w:w="120" w:type="dxa"/>
            </w:tcMar>
            <w:vAlign w:val="center"/>
          </w:tcPr>
          <w:p>
            <w:r>
              <w:rPr>
                <w:sz w:val="14"/>
              </w:rPr>
              <w:t>Whole-event command, go/no-go, major exceptions and final escalation</w:t>
            </w:r>
          </w:p>
        </w:tc>
        <w:tc>
          <w:tcPr>
            <w:tcW w:type="dxa" w:w="2736"/>
            <w:tcMar>
              <w:top w:w="95" w:type="dxa"/>
              <w:start w:w="120" w:type="dxa"/>
              <w:bottom w:w="95" w:type="dxa"/>
              <w:end w:w="120" w:type="dxa"/>
            </w:tcMar>
            <w:vAlign w:val="center"/>
          </w:tcPr>
          <w:p>
            <w:r>
              <w:rPr>
                <w:sz w:val="14"/>
              </w:rPr>
              <w:t>Does not personally dispatch routine ushers</w:t>
            </w:r>
          </w:p>
        </w:tc>
      </w:tr>
      <w:tr>
        <w:tc>
          <w:tcPr>
            <w:tcW w:type="dxa" w:w="2016"/>
            <w:tcMar>
              <w:top w:w="95" w:type="dxa"/>
              <w:start w:w="120" w:type="dxa"/>
              <w:bottom w:w="95" w:type="dxa"/>
              <w:end w:w="120" w:type="dxa"/>
            </w:tcMar>
            <w:vAlign w:val="center"/>
            <w:shd w:fill="F3F0EB"/>
          </w:tcPr>
          <w:p>
            <w:r>
              <w:rPr>
                <w:sz w:val="14"/>
              </w:rPr>
              <w:t>Front-of-House Director</w:t>
            </w:r>
          </w:p>
        </w:tc>
        <w:tc>
          <w:tcPr>
            <w:tcW w:type="dxa" w:w="4608"/>
            <w:tcMar>
              <w:top w:w="95" w:type="dxa"/>
              <w:start w:w="120" w:type="dxa"/>
              <w:bottom w:w="95" w:type="dxa"/>
              <w:end w:w="120" w:type="dxa"/>
            </w:tcMar>
            <w:vAlign w:val="center"/>
            <w:shd w:fill="F3F0EB"/>
          </w:tcPr>
          <w:p>
            <w:r>
              <w:rPr>
                <w:sz w:val="14"/>
              </w:rPr>
              <w:t>Owns the complete guest-facing operation and cross-zone balance</w:t>
            </w:r>
          </w:p>
        </w:tc>
        <w:tc>
          <w:tcPr>
            <w:tcW w:type="dxa" w:w="2736"/>
            <w:tcMar>
              <w:top w:w="95" w:type="dxa"/>
              <w:start w:w="120" w:type="dxa"/>
              <w:bottom w:w="95" w:type="dxa"/>
              <w:end w:w="120" w:type="dxa"/>
            </w:tcMar>
            <w:vAlign w:val="center"/>
            <w:shd w:fill="F3F0EB"/>
          </w:tcPr>
          <w:p>
            <w:r>
              <w:rPr>
                <w:sz w:val="14"/>
              </w:rPr>
              <w:t>Does not override protocol/security/medical authority</w:t>
            </w:r>
          </w:p>
        </w:tc>
      </w:tr>
      <w:tr>
        <w:tc>
          <w:tcPr>
            <w:tcW w:type="dxa" w:w="2016"/>
            <w:tcMar>
              <w:top w:w="95" w:type="dxa"/>
              <w:start w:w="120" w:type="dxa"/>
              <w:bottom w:w="95" w:type="dxa"/>
              <w:end w:w="120" w:type="dxa"/>
            </w:tcMar>
            <w:vAlign w:val="center"/>
          </w:tcPr>
          <w:p>
            <w:r>
              <w:rPr>
                <w:sz w:val="14"/>
              </w:rPr>
              <w:t>Protocol Lead</w:t>
            </w:r>
          </w:p>
        </w:tc>
        <w:tc>
          <w:tcPr>
            <w:tcW w:type="dxa" w:w="4608"/>
            <w:tcMar>
              <w:top w:w="95" w:type="dxa"/>
              <w:start w:w="120" w:type="dxa"/>
              <w:bottom w:w="95" w:type="dxa"/>
              <w:end w:w="120" w:type="dxa"/>
            </w:tcMar>
            <w:vAlign w:val="center"/>
          </w:tcPr>
          <w:p>
            <w:r>
              <w:rPr>
                <w:sz w:val="14"/>
              </w:rPr>
              <w:t>Titles, precedence, dignitary and ceremonial verification</w:t>
            </w:r>
          </w:p>
        </w:tc>
        <w:tc>
          <w:tcPr>
            <w:tcW w:type="dxa" w:w="2736"/>
            <w:tcMar>
              <w:top w:w="95" w:type="dxa"/>
              <w:start w:w="120" w:type="dxa"/>
              <w:bottom w:w="95" w:type="dxa"/>
              <w:end w:w="120" w:type="dxa"/>
            </w:tcMar>
            <w:vAlign w:val="center"/>
          </w:tcPr>
          <w:p>
            <w:r>
              <w:rPr>
                <w:sz w:val="14"/>
              </w:rPr>
              <w:t>Does not invent protocol or use unverified preference</w:t>
            </w:r>
          </w:p>
        </w:tc>
      </w:tr>
      <w:tr>
        <w:tc>
          <w:tcPr>
            <w:tcW w:type="dxa" w:w="2016"/>
            <w:tcMar>
              <w:top w:w="95" w:type="dxa"/>
              <w:start w:w="120" w:type="dxa"/>
              <w:bottom w:w="95" w:type="dxa"/>
              <w:end w:w="120" w:type="dxa"/>
            </w:tcMar>
            <w:vAlign w:val="center"/>
            <w:shd w:fill="F3F0EB"/>
          </w:tcPr>
          <w:p>
            <w:r>
              <w:rPr>
                <w:sz w:val="14"/>
              </w:rPr>
              <w:t>Guest Intelligence Lead</w:t>
            </w:r>
          </w:p>
        </w:tc>
        <w:tc>
          <w:tcPr>
            <w:tcW w:type="dxa" w:w="4608"/>
            <w:tcMar>
              <w:top w:w="95" w:type="dxa"/>
              <w:start w:w="120" w:type="dxa"/>
              <w:bottom w:w="95" w:type="dxa"/>
              <w:end w:w="120" w:type="dxa"/>
            </w:tcMar>
            <w:vAlign w:val="center"/>
            <w:shd w:fill="F3F0EB"/>
          </w:tcPr>
          <w:p>
            <w:r>
              <w:rPr>
                <w:sz w:val="14"/>
              </w:rPr>
              <w:t>Authoritative controlled guest, household and seating information</w:t>
            </w:r>
          </w:p>
        </w:tc>
        <w:tc>
          <w:tcPr>
            <w:tcW w:type="dxa" w:w="2736"/>
            <w:tcMar>
              <w:top w:w="95" w:type="dxa"/>
              <w:start w:w="120" w:type="dxa"/>
              <w:bottom w:w="95" w:type="dxa"/>
              <w:end w:w="120" w:type="dxa"/>
            </w:tcMar>
            <w:vAlign w:val="center"/>
            <w:shd w:fill="F3F0EB"/>
          </w:tcPr>
          <w:p>
            <w:r>
              <w:rPr>
                <w:sz w:val="14"/>
              </w:rPr>
              <w:t>Does not broadcast private detail</w:t>
            </w:r>
          </w:p>
        </w:tc>
      </w:tr>
      <w:tr>
        <w:tc>
          <w:tcPr>
            <w:tcW w:type="dxa" w:w="2016"/>
            <w:tcMar>
              <w:top w:w="95" w:type="dxa"/>
              <w:start w:w="120" w:type="dxa"/>
              <w:bottom w:w="95" w:type="dxa"/>
              <w:end w:w="120" w:type="dxa"/>
            </w:tcMar>
            <w:vAlign w:val="center"/>
          </w:tcPr>
          <w:p>
            <w:r>
              <w:rPr>
                <w:sz w:val="14"/>
              </w:rPr>
              <w:t>Zone Supervisor</w:t>
            </w:r>
          </w:p>
        </w:tc>
        <w:tc>
          <w:tcPr>
            <w:tcW w:type="dxa" w:w="4608"/>
            <w:tcMar>
              <w:top w:w="95" w:type="dxa"/>
              <w:start w:w="120" w:type="dxa"/>
              <w:bottom w:w="95" w:type="dxa"/>
              <w:end w:w="120" w:type="dxa"/>
            </w:tcMar>
            <w:vAlign w:val="center"/>
          </w:tcPr>
          <w:p>
            <w:r>
              <w:rPr>
                <w:sz w:val="14"/>
              </w:rPr>
              <w:t>Owns readiness, coverage, response and escalation within a zone</w:t>
            </w:r>
          </w:p>
        </w:tc>
        <w:tc>
          <w:tcPr>
            <w:tcW w:type="dxa" w:w="2736"/>
            <w:tcMar>
              <w:top w:w="95" w:type="dxa"/>
              <w:start w:w="120" w:type="dxa"/>
              <w:bottom w:w="95" w:type="dxa"/>
              <w:end w:w="120" w:type="dxa"/>
            </w:tcMar>
            <w:vAlign w:val="center"/>
          </w:tcPr>
          <w:p>
            <w:r>
              <w:rPr>
                <w:sz w:val="14"/>
              </w:rPr>
              <w:t>Never leaves zone without command-approved relief</w:t>
            </w:r>
          </w:p>
        </w:tc>
      </w:tr>
      <w:tr>
        <w:tc>
          <w:tcPr>
            <w:tcW w:type="dxa" w:w="2016"/>
            <w:tcMar>
              <w:top w:w="95" w:type="dxa"/>
              <w:start w:w="120" w:type="dxa"/>
              <w:bottom w:w="95" w:type="dxa"/>
              <w:end w:w="120" w:type="dxa"/>
            </w:tcMar>
            <w:vAlign w:val="center"/>
            <w:shd w:fill="F3F0EB"/>
          </w:tcPr>
          <w:p>
            <w:r>
              <w:rPr>
                <w:sz w:val="14"/>
              </w:rPr>
              <w:t>Position Usher</w:t>
            </w:r>
          </w:p>
        </w:tc>
        <w:tc>
          <w:tcPr>
            <w:tcW w:type="dxa" w:w="4608"/>
            <w:tcMar>
              <w:top w:w="95" w:type="dxa"/>
              <w:start w:w="120" w:type="dxa"/>
              <w:bottom w:w="95" w:type="dxa"/>
              <w:end w:w="120" w:type="dxa"/>
            </w:tcMar>
            <w:vAlign w:val="center"/>
            <w:shd w:fill="F3F0EB"/>
          </w:tcPr>
          <w:p>
            <w:r>
              <w:rPr>
                <w:sz w:val="14"/>
              </w:rPr>
              <w:t>Maintains one critical entrance, door, junction or restricted point</w:t>
            </w:r>
          </w:p>
        </w:tc>
        <w:tc>
          <w:tcPr>
            <w:tcW w:type="dxa" w:w="2736"/>
            <w:tcMar>
              <w:top w:w="95" w:type="dxa"/>
              <w:start w:w="120" w:type="dxa"/>
              <w:bottom w:w="95" w:type="dxa"/>
              <w:end w:w="120" w:type="dxa"/>
            </w:tcMar>
            <w:vAlign w:val="center"/>
            <w:shd w:fill="F3F0EB"/>
          </w:tcPr>
          <w:p>
            <w:r>
              <w:rPr>
                <w:sz w:val="14"/>
              </w:rPr>
              <w:t>Never abandons post to escort</w:t>
            </w:r>
          </w:p>
        </w:tc>
      </w:tr>
      <w:tr>
        <w:tc>
          <w:tcPr>
            <w:tcW w:type="dxa" w:w="2016"/>
            <w:tcMar>
              <w:top w:w="95" w:type="dxa"/>
              <w:start w:w="120" w:type="dxa"/>
              <w:bottom w:w="95" w:type="dxa"/>
              <w:end w:w="120" w:type="dxa"/>
            </w:tcMar>
            <w:vAlign w:val="center"/>
          </w:tcPr>
          <w:p>
            <w:r>
              <w:rPr>
                <w:sz w:val="14"/>
              </w:rPr>
              <w:t>Seating Usher</w:t>
            </w:r>
          </w:p>
        </w:tc>
        <w:tc>
          <w:tcPr>
            <w:tcW w:type="dxa" w:w="4608"/>
            <w:tcMar>
              <w:top w:w="95" w:type="dxa"/>
              <w:start w:w="120" w:type="dxa"/>
              <w:bottom w:w="95" w:type="dxa"/>
              <w:end w:w="120" w:type="dxa"/>
            </w:tcMar>
            <w:vAlign w:val="center"/>
          </w:tcPr>
          <w:p>
            <w:r>
              <w:rPr>
                <w:sz w:val="14"/>
              </w:rPr>
              <w:t>Validates destination, escorts and completes seating handoff</w:t>
            </w:r>
          </w:p>
        </w:tc>
        <w:tc>
          <w:tcPr>
            <w:tcW w:type="dxa" w:w="2736"/>
            <w:tcMar>
              <w:top w:w="95" w:type="dxa"/>
              <w:start w:w="120" w:type="dxa"/>
              <w:bottom w:w="95" w:type="dxa"/>
              <w:end w:w="120" w:type="dxa"/>
            </w:tcMar>
            <w:vAlign w:val="center"/>
          </w:tcPr>
          <w:p>
            <w:r>
              <w:rPr>
                <w:sz w:val="14"/>
              </w:rPr>
              <w:t>Never resolves disputed authority alone</w:t>
            </w:r>
          </w:p>
        </w:tc>
      </w:tr>
      <w:tr>
        <w:tc>
          <w:tcPr>
            <w:tcW w:type="dxa" w:w="2016"/>
            <w:tcMar>
              <w:top w:w="95" w:type="dxa"/>
              <w:start w:w="120" w:type="dxa"/>
              <w:bottom w:w="95" w:type="dxa"/>
              <w:end w:w="120" w:type="dxa"/>
            </w:tcMar>
            <w:vAlign w:val="center"/>
            <w:shd w:fill="F3F0EB"/>
          </w:tcPr>
          <w:p>
            <w:r>
              <w:rPr>
                <w:sz w:val="14"/>
              </w:rPr>
              <w:t>Roving Usher</w:t>
            </w:r>
          </w:p>
        </w:tc>
        <w:tc>
          <w:tcPr>
            <w:tcW w:type="dxa" w:w="4608"/>
            <w:tcMar>
              <w:top w:w="95" w:type="dxa"/>
              <w:start w:w="120" w:type="dxa"/>
              <w:bottom w:w="95" w:type="dxa"/>
              <w:end w:w="120" w:type="dxa"/>
            </w:tcMar>
            <w:vAlign w:val="center"/>
            <w:shd w:fill="F3F0EB"/>
          </w:tcPr>
          <w:p>
            <w:r>
              <w:rPr>
                <w:sz w:val="14"/>
              </w:rPr>
              <w:t>Proactive observation and assistance within a bounded sector</w:t>
            </w:r>
          </w:p>
        </w:tc>
        <w:tc>
          <w:tcPr>
            <w:tcW w:type="dxa" w:w="2736"/>
            <w:tcMar>
              <w:top w:w="95" w:type="dxa"/>
              <w:start w:w="120" w:type="dxa"/>
              <w:bottom w:w="95" w:type="dxa"/>
              <w:end w:w="120" w:type="dxa"/>
            </w:tcMar>
            <w:vAlign w:val="center"/>
            <w:shd w:fill="F3F0EB"/>
          </w:tcPr>
          <w:p>
            <w:r>
              <w:rPr>
                <w:sz w:val="14"/>
              </w:rPr>
              <w:t>Does not drift into another zone silently</w:t>
            </w:r>
          </w:p>
        </w:tc>
      </w:tr>
      <w:tr>
        <w:tc>
          <w:tcPr>
            <w:tcW w:type="dxa" w:w="2016"/>
            <w:tcMar>
              <w:top w:w="95" w:type="dxa"/>
              <w:start w:w="120" w:type="dxa"/>
              <w:bottom w:w="95" w:type="dxa"/>
              <w:end w:w="120" w:type="dxa"/>
            </w:tcMar>
            <w:vAlign w:val="center"/>
          </w:tcPr>
          <w:p>
            <w:r>
              <w:rPr>
                <w:sz w:val="14"/>
              </w:rPr>
              <w:t>Float/Relief Usher</w:t>
            </w:r>
          </w:p>
        </w:tc>
        <w:tc>
          <w:tcPr>
            <w:tcW w:type="dxa" w:w="4608"/>
            <w:tcMar>
              <w:top w:w="95" w:type="dxa"/>
              <w:start w:w="120" w:type="dxa"/>
              <w:bottom w:w="95" w:type="dxa"/>
              <w:end w:w="120" w:type="dxa"/>
            </w:tcMar>
            <w:vAlign w:val="center"/>
          </w:tcPr>
          <w:p>
            <w:r>
              <w:rPr>
                <w:sz w:val="14"/>
              </w:rPr>
              <w:t>Covers peaks, breaks, absence and incident replacement</w:t>
            </w:r>
          </w:p>
        </w:tc>
        <w:tc>
          <w:tcPr>
            <w:tcW w:type="dxa" w:w="2736"/>
            <w:tcMar>
              <w:top w:w="95" w:type="dxa"/>
              <w:start w:w="120" w:type="dxa"/>
              <w:bottom w:w="95" w:type="dxa"/>
              <w:end w:w="120" w:type="dxa"/>
            </w:tcMar>
            <w:vAlign w:val="center"/>
          </w:tcPr>
          <w:p>
            <w:r>
              <w:rPr>
                <w:sz w:val="14"/>
              </w:rPr>
              <w:t>Remains assigned by supervisor, not self-deployed</w:t>
            </w:r>
          </w:p>
        </w:tc>
      </w:tr>
      <w:tr>
        <w:tc>
          <w:tcPr>
            <w:tcW w:type="dxa" w:w="2016"/>
            <w:tcMar>
              <w:top w:w="95" w:type="dxa"/>
              <w:start w:w="120" w:type="dxa"/>
              <w:bottom w:w="95" w:type="dxa"/>
              <w:end w:w="120" w:type="dxa"/>
            </w:tcMar>
            <w:vAlign w:val="center"/>
            <w:shd w:fill="F3F0EB"/>
          </w:tcPr>
          <w:p>
            <w:r>
              <w:rPr>
                <w:sz w:val="14"/>
              </w:rPr>
              <w:t>Command Recorder</w:t>
            </w:r>
          </w:p>
        </w:tc>
        <w:tc>
          <w:tcPr>
            <w:tcW w:type="dxa" w:w="4608"/>
            <w:tcMar>
              <w:top w:w="95" w:type="dxa"/>
              <w:start w:w="120" w:type="dxa"/>
              <w:bottom w:w="95" w:type="dxa"/>
              <w:end w:w="120" w:type="dxa"/>
            </w:tcMar>
            <w:vAlign w:val="center"/>
            <w:shd w:fill="F3F0EB"/>
          </w:tcPr>
          <w:p>
            <w:r>
              <w:rPr>
                <w:sz w:val="14"/>
              </w:rPr>
              <w:t>Maintains board, changes, decisions, incidents and timestamps</w:t>
            </w:r>
          </w:p>
        </w:tc>
        <w:tc>
          <w:tcPr>
            <w:tcW w:type="dxa" w:w="2736"/>
            <w:tcMar>
              <w:top w:w="95" w:type="dxa"/>
              <w:start w:w="120" w:type="dxa"/>
              <w:bottom w:w="95" w:type="dxa"/>
              <w:end w:w="120" w:type="dxa"/>
            </w:tcMar>
            <w:vAlign w:val="center"/>
            <w:shd w:fill="F3F0EB"/>
          </w:tcPr>
          <w:p>
            <w:r>
              <w:rPr>
                <w:sz w:val="14"/>
              </w:rPr>
              <w:t>Does not issue decisions without delegated authority</w:t>
            </w:r>
          </w:p>
        </w:tc>
      </w:tr>
      <w:tr>
        <w:tc>
          <w:tcPr>
            <w:tcW w:type="dxa" w:w="2016"/>
            <w:tcMar>
              <w:top w:w="95" w:type="dxa"/>
              <w:start w:w="120" w:type="dxa"/>
              <w:bottom w:w="95" w:type="dxa"/>
              <w:end w:w="120" w:type="dxa"/>
            </w:tcMar>
            <w:vAlign w:val="center"/>
          </w:tcPr>
          <w:p>
            <w:r>
              <w:rPr>
                <w:sz w:val="14"/>
              </w:rPr>
              <w:t>Specialist Lead</w:t>
            </w:r>
          </w:p>
        </w:tc>
        <w:tc>
          <w:tcPr>
            <w:tcW w:type="dxa" w:w="4608"/>
            <w:tcMar>
              <w:top w:w="95" w:type="dxa"/>
              <w:start w:w="120" w:type="dxa"/>
              <w:bottom w:w="95" w:type="dxa"/>
              <w:end w:w="120" w:type="dxa"/>
            </w:tcMar>
            <w:vAlign w:val="center"/>
          </w:tcPr>
          <w:p>
            <w:r>
              <w:rPr>
                <w:sz w:val="14"/>
              </w:rPr>
              <w:t>Security, medical, transport, hospitality or technical response</w:t>
            </w:r>
          </w:p>
        </w:tc>
        <w:tc>
          <w:tcPr>
            <w:tcW w:type="dxa" w:w="2736"/>
            <w:tcMar>
              <w:top w:w="95" w:type="dxa"/>
              <w:start w:w="120" w:type="dxa"/>
              <w:bottom w:w="95" w:type="dxa"/>
              <w:end w:w="120" w:type="dxa"/>
            </w:tcMar>
            <w:vAlign w:val="center"/>
          </w:tcPr>
          <w:p>
            <w:r>
              <w:rPr>
                <w:sz w:val="14"/>
              </w:rPr>
              <w:t>Owns specialist resolution after handoff</w:t>
            </w:r>
          </w:p>
        </w:tc>
      </w:tr>
    </w:tbl>
    <w:p/>
    <w:p>
      <w:pPr>
        <w:pStyle w:val="Heading1"/>
      </w:pPr>
      <w:r>
        <w:t>3. Event Director decision cards</w:t>
      </w:r>
    </w:p>
    <w:p>
      <w:pPr>
        <w:pStyle w:val="Heading2"/>
      </w:pPr>
      <w:r>
        <w:t>Open guest arrival</w:t>
      </w:r>
    </w:p>
    <w:p>
      <w:r>
        <w:t>Release when: All critical arrival posts green; exception desk, security, medical, guest intelligence, radios and offline lists ready</w:t>
      </w:r>
    </w:p>
    <w:p>
      <w:r>
        <w:t>Stop/contain: Delay or stage arrival when critical control is red/unknown</w:t>
      </w:r>
    </w:p>
    <w:p>
      <w:pPr>
        <w:pStyle w:val="Heading2"/>
      </w:pPr>
      <w:r>
        <w:t>Release seating</w:t>
      </w:r>
    </w:p>
    <w:p>
      <w:r>
        <w:t>Release when: Room accepted; seating version frozen; reserved/accessible/VIP controls verified; seating teams in position</w:t>
      </w:r>
    </w:p>
    <w:p>
      <w:r>
        <w:t>Stop/contain: Hold doors and communicate calmly if plan is unstable</w:t>
      </w:r>
    </w:p>
    <w:p>
      <w:pPr>
        <w:pStyle w:val="Heading2"/>
      </w:pPr>
      <w:r>
        <w:t>Programme transition</w:t>
      </w:r>
    </w:p>
    <w:p>
      <w:r>
        <w:t>Release when: Destination ready, route swept, receiving posts acknowledged, mobility support positioned</w:t>
      </w:r>
    </w:p>
    <w:p>
      <w:r>
        <w:t>Stop/contain: Delay movement rather than release into congestion</w:t>
      </w:r>
    </w:p>
    <w:p>
      <w:pPr>
        <w:pStyle w:val="Heading2"/>
      </w:pPr>
      <w:r>
        <w:t>Overcapacity</w:t>
      </w:r>
    </w:p>
    <w:p>
      <w:r>
        <w:t>Release when: Stop uncontrolled entry, protect exits, verify count/authority, activate overflow plan</w:t>
      </w:r>
    </w:p>
    <w:p>
      <w:r>
        <w:t>Stop/contain: Never improvise seats that violate safety or host intent</w:t>
      </w:r>
    </w:p>
    <w:p>
      <w:pPr>
        <w:pStyle w:val="Heading2"/>
      </w:pPr>
      <w:r>
        <w:t>Communications failure</w:t>
      </w:r>
    </w:p>
    <w:p>
      <w:r>
        <w:t>Release when: Switch to runners, fixed checkpoints, timed status and physical board</w:t>
      </w:r>
    </w:p>
    <w:p>
      <w:r>
        <w:t>Stop/contain: No critical post is abandoned to carry messages</w:t>
      </w:r>
    </w:p>
    <w:p>
      <w:pPr>
        <w:pStyle w:val="Heading2"/>
      </w:pPr>
      <w:r>
        <w:t>Medical/security incident</w:t>
      </w:r>
    </w:p>
    <w:p>
      <w:r>
        <w:t>Release when: Specialist authority leads; isolate route, protect dignity, preserve command continuity</w:t>
      </w:r>
    </w:p>
    <w:p>
      <w:r>
        <w:t>Stop/contain: Do not crowd, speculate or broadcast detail</w:t>
      </w:r>
    </w:p>
    <w:p>
      <w:pPr>
        <w:pStyle w:val="Heading2"/>
      </w:pPr>
      <w:r>
        <w:t>VIP/protocol conflict</w:t>
      </w:r>
    </w:p>
    <w:p>
      <w:r>
        <w:t>Release when: Freeze affected movement, verify source and route Protocol Lead decision</w:t>
      </w:r>
    </w:p>
    <w:p>
      <w:r>
        <w:t>Stop/contain: Do not solve with public argument or status assumptions</w:t>
      </w:r>
    </w:p>
    <w:p>
      <w:pPr>
        <w:pStyle w:val="Heading2"/>
      </w:pPr>
      <w:r>
        <w:t>Evacuation/major safety</w:t>
      </w:r>
    </w:p>
    <w:p>
      <w:r>
        <w:t>Release when: Venue/security emergency plan supersedes service plan</w:t>
      </w:r>
    </w:p>
    <w:p>
      <w:r>
        <w:t>Stop/contain: Account for staff and support guests without delaying evacuation</w:t>
      </w:r>
    </w:p>
    <w:p>
      <w:pPr>
        <w:pStyle w:val="Heading1"/>
      </w:pPr>
      <w:r>
        <w:t>4. Command rhythm</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8202A"/>
            <w:tcMar>
              <w:top w:w="95" w:type="dxa"/>
              <w:start w:w="120" w:type="dxa"/>
              <w:bottom w:w="95" w:type="dxa"/>
              <w:end w:w="120" w:type="dxa"/>
            </w:tcMar>
          </w:tcPr>
          <w:p>
            <w:r>
              <w:rPr>
                <w:b/>
                <w:color w:val="FFFFFF"/>
                <w:sz w:val="16"/>
              </w:rPr>
              <w:t>Time</w:t>
            </w:r>
          </w:p>
        </w:tc>
        <w:tc>
          <w:tcPr>
            <w:tcW w:type="dxa" w:w="4464"/>
            <w:shd w:fill="18202A"/>
            <w:tcMar>
              <w:top w:w="95" w:type="dxa"/>
              <w:start w:w="120" w:type="dxa"/>
              <w:bottom w:w="95" w:type="dxa"/>
              <w:end w:w="120" w:type="dxa"/>
            </w:tcMar>
          </w:tcPr>
          <w:p>
            <w:r>
              <w:rPr>
                <w:b/>
                <w:color w:val="FFFFFF"/>
                <w:sz w:val="16"/>
              </w:rPr>
              <w:t>Action</w:t>
            </w:r>
          </w:p>
        </w:tc>
        <w:tc>
          <w:tcPr>
            <w:tcW w:type="dxa" w:w="3456"/>
            <w:shd w:fill="18202A"/>
            <w:tcMar>
              <w:top w:w="95" w:type="dxa"/>
              <w:start w:w="120" w:type="dxa"/>
              <w:bottom w:w="95" w:type="dxa"/>
              <w:end w:w="120" w:type="dxa"/>
            </w:tcMar>
          </w:tcPr>
          <w:p>
            <w:r>
              <w:rPr>
                <w:b/>
                <w:color w:val="FFFFFF"/>
                <w:sz w:val="16"/>
              </w:rPr>
              <w:t>Output</w:t>
            </w:r>
          </w:p>
        </w:tc>
      </w:tr>
      <w:tr>
        <w:tc>
          <w:tcPr>
            <w:tcW w:type="dxa" w:w="1440"/>
            <w:tcMar>
              <w:top w:w="95" w:type="dxa"/>
              <w:start w:w="120" w:type="dxa"/>
              <w:bottom w:w="95" w:type="dxa"/>
              <w:end w:w="120" w:type="dxa"/>
            </w:tcMar>
            <w:vAlign w:val="center"/>
          </w:tcPr>
          <w:p>
            <w:r>
              <w:rPr>
                <w:sz w:val="16"/>
              </w:rPr>
              <w:t>T-180</w:t>
            </w:r>
          </w:p>
        </w:tc>
        <w:tc>
          <w:tcPr>
            <w:tcW w:type="dxa" w:w="4464"/>
            <w:tcMar>
              <w:top w:w="95" w:type="dxa"/>
              <w:start w:w="120" w:type="dxa"/>
              <w:bottom w:w="95" w:type="dxa"/>
              <w:end w:w="120" w:type="dxa"/>
            </w:tcMar>
            <w:vAlign w:val="center"/>
          </w:tcPr>
          <w:p>
            <w:r>
              <w:rPr>
                <w:sz w:val="16"/>
              </w:rPr>
              <w:t>Leadership readiness review</w:t>
            </w:r>
          </w:p>
        </w:tc>
        <w:tc>
          <w:tcPr>
            <w:tcW w:type="dxa" w:w="3456"/>
            <w:tcMar>
              <w:top w:w="95" w:type="dxa"/>
              <w:start w:w="120" w:type="dxa"/>
              <w:bottom w:w="95" w:type="dxa"/>
              <w:end w:w="120" w:type="dxa"/>
            </w:tcMar>
            <w:vAlign w:val="center"/>
          </w:tcPr>
          <w:p>
            <w:r>
              <w:rPr>
                <w:sz w:val="16"/>
              </w:rPr>
              <w:t>Critical blockers and owners</w:t>
            </w:r>
          </w:p>
        </w:tc>
      </w:tr>
      <w:tr>
        <w:tc>
          <w:tcPr>
            <w:tcW w:type="dxa" w:w="1440"/>
            <w:tcMar>
              <w:top w:w="95" w:type="dxa"/>
              <w:start w:w="120" w:type="dxa"/>
              <w:bottom w:w="95" w:type="dxa"/>
              <w:end w:w="120" w:type="dxa"/>
            </w:tcMar>
            <w:vAlign w:val="center"/>
            <w:shd w:fill="F3F0EB"/>
          </w:tcPr>
          <w:p>
            <w:r>
              <w:rPr>
                <w:sz w:val="16"/>
              </w:rPr>
              <w:t>T-120</w:t>
            </w:r>
          </w:p>
        </w:tc>
        <w:tc>
          <w:tcPr>
            <w:tcW w:type="dxa" w:w="4464"/>
            <w:tcMar>
              <w:top w:w="95" w:type="dxa"/>
              <w:start w:w="120" w:type="dxa"/>
              <w:bottom w:w="95" w:type="dxa"/>
              <w:end w:w="120" w:type="dxa"/>
            </w:tcMar>
            <w:vAlign w:val="center"/>
            <w:shd w:fill="F3F0EB"/>
          </w:tcPr>
          <w:p>
            <w:r>
              <w:rPr>
                <w:sz w:val="16"/>
              </w:rPr>
              <w:t>Zone walk and device/radio test</w:t>
            </w:r>
          </w:p>
        </w:tc>
        <w:tc>
          <w:tcPr>
            <w:tcW w:type="dxa" w:w="3456"/>
            <w:tcMar>
              <w:top w:w="95" w:type="dxa"/>
              <w:start w:w="120" w:type="dxa"/>
              <w:bottom w:w="95" w:type="dxa"/>
              <w:end w:w="120" w:type="dxa"/>
            </w:tcMar>
            <w:vAlign w:val="center"/>
            <w:shd w:fill="F3F0EB"/>
          </w:tcPr>
          <w:p>
            <w:r>
              <w:rPr>
                <w:sz w:val="16"/>
              </w:rPr>
              <w:t>Signed zone readiness</w:t>
            </w:r>
          </w:p>
        </w:tc>
      </w:tr>
      <w:tr>
        <w:tc>
          <w:tcPr>
            <w:tcW w:type="dxa" w:w="1440"/>
            <w:tcMar>
              <w:top w:w="95" w:type="dxa"/>
              <w:start w:w="120" w:type="dxa"/>
              <w:bottom w:w="95" w:type="dxa"/>
              <w:end w:w="120" w:type="dxa"/>
            </w:tcMar>
            <w:vAlign w:val="center"/>
          </w:tcPr>
          <w:p>
            <w:r>
              <w:rPr>
                <w:sz w:val="16"/>
              </w:rPr>
              <w:t>T-60</w:t>
            </w:r>
          </w:p>
        </w:tc>
        <w:tc>
          <w:tcPr>
            <w:tcW w:type="dxa" w:w="4464"/>
            <w:tcMar>
              <w:top w:w="95" w:type="dxa"/>
              <w:start w:w="120" w:type="dxa"/>
              <w:bottom w:w="95" w:type="dxa"/>
              <w:end w:w="120" w:type="dxa"/>
            </w:tcMar>
            <w:vAlign w:val="center"/>
          </w:tcPr>
          <w:p>
            <w:r>
              <w:rPr>
                <w:sz w:val="16"/>
              </w:rPr>
              <w:t>Full team briefing and practical check</w:t>
            </w:r>
          </w:p>
        </w:tc>
        <w:tc>
          <w:tcPr>
            <w:tcW w:type="dxa" w:w="3456"/>
            <w:tcMar>
              <w:top w:w="95" w:type="dxa"/>
              <w:start w:w="120" w:type="dxa"/>
              <w:bottom w:w="95" w:type="dxa"/>
              <w:end w:w="120" w:type="dxa"/>
            </w:tcMar>
            <w:vAlign w:val="center"/>
          </w:tcPr>
          <w:p>
            <w:r>
              <w:rPr>
                <w:sz w:val="16"/>
              </w:rPr>
              <w:t>Deployment authority list</w:t>
            </w:r>
          </w:p>
        </w:tc>
      </w:tr>
      <w:tr>
        <w:tc>
          <w:tcPr>
            <w:tcW w:type="dxa" w:w="1440"/>
            <w:tcMar>
              <w:top w:w="95" w:type="dxa"/>
              <w:start w:w="120" w:type="dxa"/>
              <w:bottom w:w="95" w:type="dxa"/>
              <w:end w:w="120" w:type="dxa"/>
            </w:tcMar>
            <w:vAlign w:val="center"/>
            <w:shd w:fill="F3F0EB"/>
          </w:tcPr>
          <w:p>
            <w:r>
              <w:rPr>
                <w:sz w:val="16"/>
              </w:rPr>
              <w:t>T-30</w:t>
            </w:r>
          </w:p>
        </w:tc>
        <w:tc>
          <w:tcPr>
            <w:tcW w:type="dxa" w:w="4464"/>
            <w:tcMar>
              <w:top w:w="95" w:type="dxa"/>
              <w:start w:w="120" w:type="dxa"/>
              <w:bottom w:w="95" w:type="dxa"/>
              <w:end w:w="120" w:type="dxa"/>
            </w:tcMar>
            <w:vAlign w:val="center"/>
            <w:shd w:fill="F3F0EB"/>
          </w:tcPr>
          <w:p>
            <w:r>
              <w:rPr>
                <w:sz w:val="16"/>
              </w:rPr>
              <w:t>Posts occupied; lists frozen; exceptions open</w:t>
            </w:r>
          </w:p>
        </w:tc>
        <w:tc>
          <w:tcPr>
            <w:tcW w:type="dxa" w:w="3456"/>
            <w:tcMar>
              <w:top w:w="95" w:type="dxa"/>
              <w:start w:w="120" w:type="dxa"/>
              <w:bottom w:w="95" w:type="dxa"/>
              <w:end w:w="120" w:type="dxa"/>
            </w:tcMar>
            <w:vAlign w:val="center"/>
            <w:shd w:fill="F3F0EB"/>
          </w:tcPr>
          <w:p>
            <w:r>
              <w:rPr>
                <w:sz w:val="16"/>
              </w:rPr>
              <w:t>Green/amber/red board</w:t>
            </w:r>
          </w:p>
        </w:tc>
      </w:tr>
      <w:tr>
        <w:tc>
          <w:tcPr>
            <w:tcW w:type="dxa" w:w="1440"/>
            <w:tcMar>
              <w:top w:w="95" w:type="dxa"/>
              <w:start w:w="120" w:type="dxa"/>
              <w:bottom w:w="95" w:type="dxa"/>
              <w:end w:w="120" w:type="dxa"/>
            </w:tcMar>
            <w:vAlign w:val="center"/>
          </w:tcPr>
          <w:p>
            <w:r>
              <w:rPr>
                <w:sz w:val="16"/>
              </w:rPr>
              <w:t>Doors open</w:t>
            </w:r>
          </w:p>
        </w:tc>
        <w:tc>
          <w:tcPr>
            <w:tcW w:type="dxa" w:w="4464"/>
            <w:tcMar>
              <w:top w:w="95" w:type="dxa"/>
              <w:start w:w="120" w:type="dxa"/>
              <w:bottom w:w="95" w:type="dxa"/>
              <w:end w:w="120" w:type="dxa"/>
            </w:tcMar>
            <w:vAlign w:val="center"/>
          </w:tcPr>
          <w:p>
            <w:r>
              <w:rPr>
                <w:sz w:val="16"/>
              </w:rPr>
              <w:t>Five-minute status until flow stabilises</w:t>
            </w:r>
          </w:p>
        </w:tc>
        <w:tc>
          <w:tcPr>
            <w:tcW w:type="dxa" w:w="3456"/>
            <w:tcMar>
              <w:top w:w="95" w:type="dxa"/>
              <w:start w:w="120" w:type="dxa"/>
              <w:bottom w:w="95" w:type="dxa"/>
              <w:end w:w="120" w:type="dxa"/>
            </w:tcMar>
            <w:vAlign w:val="center"/>
          </w:tcPr>
          <w:p>
            <w:r>
              <w:rPr>
                <w:sz w:val="16"/>
              </w:rPr>
              <w:t>Arrival picture</w:t>
            </w:r>
          </w:p>
        </w:tc>
      </w:tr>
      <w:tr>
        <w:tc>
          <w:tcPr>
            <w:tcW w:type="dxa" w:w="1440"/>
            <w:tcMar>
              <w:top w:w="95" w:type="dxa"/>
              <w:start w:w="120" w:type="dxa"/>
              <w:bottom w:w="95" w:type="dxa"/>
              <w:end w:w="120" w:type="dxa"/>
            </w:tcMar>
            <w:vAlign w:val="center"/>
            <w:shd w:fill="F3F0EB"/>
          </w:tcPr>
          <w:p>
            <w:r>
              <w:rPr>
                <w:sz w:val="16"/>
              </w:rPr>
              <w:t>Programme changes</w:t>
            </w:r>
          </w:p>
        </w:tc>
        <w:tc>
          <w:tcPr>
            <w:tcW w:type="dxa" w:w="4464"/>
            <w:tcMar>
              <w:top w:w="95" w:type="dxa"/>
              <w:start w:w="120" w:type="dxa"/>
              <w:bottom w:w="95" w:type="dxa"/>
              <w:end w:w="120" w:type="dxa"/>
            </w:tcMar>
            <w:vAlign w:val="center"/>
            <w:shd w:fill="F3F0EB"/>
          </w:tcPr>
          <w:p>
            <w:r>
              <w:rPr>
                <w:sz w:val="16"/>
              </w:rPr>
              <w:t>Trigger-based transition call</w:t>
            </w:r>
          </w:p>
        </w:tc>
        <w:tc>
          <w:tcPr>
            <w:tcW w:type="dxa" w:w="3456"/>
            <w:tcMar>
              <w:top w:w="95" w:type="dxa"/>
              <w:start w:w="120" w:type="dxa"/>
              <w:bottom w:w="95" w:type="dxa"/>
              <w:end w:w="120" w:type="dxa"/>
            </w:tcMar>
            <w:vAlign w:val="center"/>
            <w:shd w:fill="F3F0EB"/>
          </w:tcPr>
          <w:p>
            <w:r>
              <w:rPr>
                <w:sz w:val="16"/>
              </w:rPr>
              <w:t>Acknowledged send/receive posts</w:t>
            </w:r>
          </w:p>
        </w:tc>
      </w:tr>
      <w:tr>
        <w:tc>
          <w:tcPr>
            <w:tcW w:type="dxa" w:w="1440"/>
            <w:tcMar>
              <w:top w:w="95" w:type="dxa"/>
              <w:start w:w="120" w:type="dxa"/>
              <w:bottom w:w="95" w:type="dxa"/>
              <w:end w:w="120" w:type="dxa"/>
            </w:tcMar>
            <w:vAlign w:val="center"/>
          </w:tcPr>
          <w:p>
            <w:r>
              <w:rPr>
                <w:sz w:val="16"/>
              </w:rPr>
              <w:t>Close</w:t>
            </w:r>
          </w:p>
        </w:tc>
        <w:tc>
          <w:tcPr>
            <w:tcW w:type="dxa" w:w="4464"/>
            <w:tcMar>
              <w:top w:w="95" w:type="dxa"/>
              <w:start w:w="120" w:type="dxa"/>
              <w:bottom w:w="95" w:type="dxa"/>
              <w:end w:w="120" w:type="dxa"/>
            </w:tcMar>
            <w:vAlign w:val="center"/>
          </w:tcPr>
          <w:p>
            <w:r>
              <w:rPr>
                <w:sz w:val="16"/>
              </w:rPr>
              <w:t>Sweep, lost property, equipment and staff accountability</w:t>
            </w:r>
          </w:p>
        </w:tc>
        <w:tc>
          <w:tcPr>
            <w:tcW w:type="dxa" w:w="3456"/>
            <w:tcMar>
              <w:top w:w="95" w:type="dxa"/>
              <w:start w:w="120" w:type="dxa"/>
              <w:bottom w:w="95" w:type="dxa"/>
              <w:end w:w="120" w:type="dxa"/>
            </w:tcMar>
            <w:vAlign w:val="center"/>
          </w:tcPr>
          <w:p>
            <w:r>
              <w:rPr>
                <w:sz w:val="16"/>
              </w:rPr>
              <w:t>Closure record</w:t>
            </w:r>
          </w:p>
        </w:tc>
      </w:tr>
      <w:tr>
        <w:tc>
          <w:tcPr>
            <w:tcW w:type="dxa" w:w="1440"/>
            <w:tcMar>
              <w:top w:w="95" w:type="dxa"/>
              <w:start w:w="120" w:type="dxa"/>
              <w:bottom w:w="95" w:type="dxa"/>
              <w:end w:w="120" w:type="dxa"/>
            </w:tcMar>
            <w:vAlign w:val="center"/>
            <w:shd w:fill="F3F0EB"/>
          </w:tcPr>
          <w:p>
            <w:r>
              <w:rPr>
                <w:sz w:val="16"/>
              </w:rPr>
              <w:t>T+15</w:t>
            </w:r>
          </w:p>
        </w:tc>
        <w:tc>
          <w:tcPr>
            <w:tcW w:type="dxa" w:w="4464"/>
            <w:tcMar>
              <w:top w:w="95" w:type="dxa"/>
              <w:start w:w="120" w:type="dxa"/>
              <w:bottom w:w="95" w:type="dxa"/>
              <w:end w:w="120" w:type="dxa"/>
            </w:tcMar>
            <w:vAlign w:val="center"/>
            <w:shd w:fill="F3F0EB"/>
          </w:tcPr>
          <w:p>
            <w:r>
              <w:rPr>
                <w:sz w:val="16"/>
              </w:rPr>
              <w:t>Hot debrief</w:t>
            </w:r>
          </w:p>
        </w:tc>
        <w:tc>
          <w:tcPr>
            <w:tcW w:type="dxa" w:w="3456"/>
            <w:tcMar>
              <w:top w:w="95" w:type="dxa"/>
              <w:start w:w="120" w:type="dxa"/>
              <w:bottom w:w="95" w:type="dxa"/>
              <w:end w:w="120" w:type="dxa"/>
            </w:tcMar>
            <w:vAlign w:val="center"/>
            <w:shd w:fill="F3F0EB"/>
          </w:tcPr>
          <w:p>
            <w:r>
              <w:rPr>
                <w:sz w:val="16"/>
              </w:rPr>
              <w:t>Immediate learning and incidents</w:t>
            </w:r>
          </w:p>
        </w:tc>
      </w:tr>
    </w:tbl>
    <w:p/>
    <w:p>
      <w:pPr>
        <w:pStyle w:val="Heading1"/>
      </w:pPr>
      <w:r>
        <w:t>5. Escalation language</w:t>
      </w:r>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Format: </w:t>
            </w:r>
            <w:r>
              <w:t>“Command, Zone B. Seating conflict at B12. Guests supported; no movement. Need Guest Intelligence and Zone Supervisor. Severity amber. I remain owner.”</w:t>
            </w:r>
          </w:p>
        </w:tc>
      </w:tr>
    </w:tbl>
    <w:p/>
    <w:p>
      <w:pPr>
        <w:pStyle w:val="Heading1"/>
      </w:pPr>
      <w:r>
        <w:t>6. Command board minimum fields</w:t>
      </w:r>
    </w:p>
    <w:p>
      <w:pPr>
        <w:pStyle w:val="ListBullet"/>
      </w:pPr>
      <w:r>
        <w:t>Current programme phase and official time.</w:t>
      </w:r>
    </w:p>
    <w:p>
      <w:pPr>
        <w:pStyle w:val="ListBullet"/>
      </w:pPr>
      <w:r>
        <w:t>Zone readiness and accountable supervisor.</w:t>
      </w:r>
    </w:p>
    <w:p>
      <w:pPr>
        <w:pStyle w:val="ListBullet"/>
      </w:pPr>
      <w:r>
        <w:t>Critical posts and relief status.</w:t>
      </w:r>
    </w:p>
    <w:p>
      <w:pPr>
        <w:pStyle w:val="ListBullet"/>
      </w:pPr>
      <w:r>
        <w:t>Active requests with opened/acknowledged/owner/updated/closed times.</w:t>
      </w:r>
    </w:p>
    <w:p>
      <w:pPr>
        <w:pStyle w:val="ListBullet"/>
      </w:pPr>
      <w:r>
        <w:t>Guest/seating changes by controlled reference, not unnecessary detail.</w:t>
      </w:r>
    </w:p>
    <w:p>
      <w:pPr>
        <w:pStyle w:val="ListBullet"/>
      </w:pPr>
      <w:r>
        <w:t>Incidents, severity, specialist owner and Event Director notification.</w:t>
      </w:r>
    </w:p>
    <w:p>
      <w:pPr>
        <w:pStyle w:val="ListBullet"/>
      </w:pPr>
      <w:r>
        <w:t>Equipment/communications degradation.</w:t>
      </w:r>
    </w:p>
    <w:p>
      <w:pPr>
        <w:pStyle w:val="ListBullet"/>
      </w:pPr>
      <w:r>
        <w:t>Next transition readiness and blockers.</w:t>
      </w:r>
    </w:p>
    <w:p>
      <w:pPr>
        <w:pStyle w:val="ListBullet"/>
      </w:pPr>
      <w:r>
        <w:t>Decisions with authority, time and review point.</w:t>
      </w:r>
    </w:p>
    <w:p>
      <w:pPr>
        <w:pStyle w:val="Heading1"/>
      </w:pPr>
      <w:r>
        <w:t>7. Go/conditional-go/no-go</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8202A"/>
            <w:tcMar>
              <w:top w:w="95" w:type="dxa"/>
              <w:start w:w="120" w:type="dxa"/>
              <w:bottom w:w="95" w:type="dxa"/>
              <w:end w:w="120" w:type="dxa"/>
            </w:tcMar>
          </w:tcPr>
          <w:p>
            <w:r>
              <w:rPr>
                <w:b/>
                <w:color w:val="FFFFFF"/>
                <w:sz w:val="16"/>
              </w:rPr>
              <w:t>Decision</w:t>
            </w:r>
          </w:p>
        </w:tc>
        <w:tc>
          <w:tcPr>
            <w:tcW w:type="dxa" w:w="5400"/>
            <w:shd w:fill="18202A"/>
            <w:tcMar>
              <w:top w:w="95" w:type="dxa"/>
              <w:start w:w="120" w:type="dxa"/>
              <w:bottom w:w="95" w:type="dxa"/>
              <w:end w:w="120" w:type="dxa"/>
            </w:tcMar>
          </w:tcPr>
          <w:p>
            <w:r>
              <w:rPr>
                <w:b/>
                <w:color w:val="FFFFFF"/>
                <w:sz w:val="16"/>
              </w:rPr>
              <w:t>Criteria</w:t>
            </w:r>
          </w:p>
        </w:tc>
        <w:tc>
          <w:tcPr>
            <w:tcW w:type="dxa" w:w="2016"/>
            <w:shd w:fill="18202A"/>
            <w:tcMar>
              <w:top w:w="95" w:type="dxa"/>
              <w:start w:w="120" w:type="dxa"/>
              <w:bottom w:w="95" w:type="dxa"/>
              <w:end w:w="120" w:type="dxa"/>
            </w:tcMar>
          </w:tcPr>
          <w:p>
            <w:r>
              <w:rPr>
                <w:b/>
                <w:color w:val="FFFFFF"/>
                <w:sz w:val="16"/>
              </w:rPr>
              <w:t>Record</w:t>
            </w:r>
          </w:p>
        </w:tc>
      </w:tr>
      <w:tr>
        <w:tc>
          <w:tcPr>
            <w:tcW w:type="dxa" w:w="1944"/>
            <w:tcMar>
              <w:top w:w="95" w:type="dxa"/>
              <w:start w:w="120" w:type="dxa"/>
              <w:bottom w:w="95" w:type="dxa"/>
              <w:end w:w="120" w:type="dxa"/>
            </w:tcMar>
            <w:vAlign w:val="center"/>
          </w:tcPr>
          <w:p>
            <w:r>
              <w:rPr>
                <w:sz w:val="16"/>
              </w:rPr>
              <w:t>GO</w:t>
            </w:r>
          </w:p>
        </w:tc>
        <w:tc>
          <w:tcPr>
            <w:tcW w:type="dxa" w:w="5400"/>
            <w:tcMar>
              <w:top w:w="95" w:type="dxa"/>
              <w:start w:w="120" w:type="dxa"/>
              <w:bottom w:w="95" w:type="dxa"/>
              <w:end w:w="120" w:type="dxa"/>
            </w:tcMar>
            <w:vAlign w:val="center"/>
          </w:tcPr>
          <w:p>
            <w:r>
              <w:rPr>
                <w:sz w:val="16"/>
              </w:rPr>
              <w:t>All critical controls green; amber items have safe mitigation</w:t>
            </w:r>
          </w:p>
        </w:tc>
        <w:tc>
          <w:tcPr>
            <w:tcW w:type="dxa" w:w="2016"/>
            <w:tcMar>
              <w:top w:w="95" w:type="dxa"/>
              <w:start w:w="120" w:type="dxa"/>
              <w:bottom w:w="95" w:type="dxa"/>
              <w:end w:w="120" w:type="dxa"/>
            </w:tcMar>
            <w:vAlign w:val="center"/>
          </w:tcPr>
          <w:p>
            <w:r>
              <w:rPr>
                <w:sz w:val="16"/>
              </w:rPr>
              <w:t>Event Director signs</w:t>
            </w:r>
          </w:p>
        </w:tc>
      </w:tr>
      <w:tr>
        <w:tc>
          <w:tcPr>
            <w:tcW w:type="dxa" w:w="1944"/>
            <w:tcMar>
              <w:top w:w="95" w:type="dxa"/>
              <w:start w:w="120" w:type="dxa"/>
              <w:bottom w:w="95" w:type="dxa"/>
              <w:end w:w="120" w:type="dxa"/>
            </w:tcMar>
            <w:vAlign w:val="center"/>
            <w:shd w:fill="F3F0EB"/>
          </w:tcPr>
          <w:p>
            <w:r>
              <w:rPr>
                <w:sz w:val="16"/>
              </w:rPr>
              <w:t>CONDITIONAL GO</w:t>
            </w:r>
          </w:p>
        </w:tc>
        <w:tc>
          <w:tcPr>
            <w:tcW w:type="dxa" w:w="5400"/>
            <w:tcMar>
              <w:top w:w="95" w:type="dxa"/>
              <w:start w:w="120" w:type="dxa"/>
              <w:bottom w:w="95" w:type="dxa"/>
              <w:end w:w="120" w:type="dxa"/>
            </w:tcMar>
            <w:vAlign w:val="center"/>
            <w:shd w:fill="F3F0EB"/>
          </w:tcPr>
          <w:p>
            <w:r>
              <w:rPr>
                <w:sz w:val="16"/>
              </w:rPr>
              <w:t>No unsafe red; named constraint, owner, expiry and fallback</w:t>
            </w:r>
          </w:p>
        </w:tc>
        <w:tc>
          <w:tcPr>
            <w:tcW w:type="dxa" w:w="2016"/>
            <w:tcMar>
              <w:top w:w="95" w:type="dxa"/>
              <w:start w:w="120" w:type="dxa"/>
              <w:bottom w:w="95" w:type="dxa"/>
              <w:end w:w="120" w:type="dxa"/>
            </w:tcMar>
            <w:vAlign w:val="center"/>
            <w:shd w:fill="F3F0EB"/>
          </w:tcPr>
          <w:p>
            <w:r>
              <w:rPr>
                <w:sz w:val="16"/>
              </w:rPr>
              <w:t>Event Director + relevant specialist</w:t>
            </w:r>
          </w:p>
        </w:tc>
      </w:tr>
      <w:tr>
        <w:tc>
          <w:tcPr>
            <w:tcW w:type="dxa" w:w="1944"/>
            <w:tcMar>
              <w:top w:w="95" w:type="dxa"/>
              <w:start w:w="120" w:type="dxa"/>
              <w:bottom w:w="95" w:type="dxa"/>
              <w:end w:w="120" w:type="dxa"/>
            </w:tcMar>
            <w:vAlign w:val="center"/>
          </w:tcPr>
          <w:p>
            <w:r>
              <w:rPr>
                <w:sz w:val="16"/>
              </w:rPr>
              <w:t>NO-GO/HOLD</w:t>
            </w:r>
          </w:p>
        </w:tc>
        <w:tc>
          <w:tcPr>
            <w:tcW w:type="dxa" w:w="5400"/>
            <w:tcMar>
              <w:top w:w="95" w:type="dxa"/>
              <w:start w:w="120" w:type="dxa"/>
              <w:bottom w:w="95" w:type="dxa"/>
              <w:end w:w="120" w:type="dxa"/>
            </w:tcMar>
            <w:vAlign w:val="center"/>
          </w:tcPr>
          <w:p>
            <w:r>
              <w:rPr>
                <w:sz w:val="16"/>
              </w:rPr>
              <w:t>Safety, access, authority, critical coverage or destination readiness red/unknown</w:t>
            </w:r>
          </w:p>
        </w:tc>
        <w:tc>
          <w:tcPr>
            <w:tcW w:type="dxa" w:w="2016"/>
            <w:tcMar>
              <w:top w:w="95" w:type="dxa"/>
              <w:start w:w="120" w:type="dxa"/>
              <w:bottom w:w="95" w:type="dxa"/>
              <w:end w:w="120" w:type="dxa"/>
            </w:tcMar>
            <w:vAlign w:val="center"/>
          </w:tcPr>
          <w:p>
            <w:r>
              <w:rPr>
                <w:sz w:val="16"/>
              </w:rPr>
              <w:t>Affected operation held until verified</w:t>
            </w:r>
          </w:p>
        </w:tc>
      </w:tr>
    </w:tbl>
    <w:p/>
    <w:p>
      <w:r>
        <w:br w:type="page"/>
      </w:r>
    </w:p>
    <w:p>
      <w:pPr>
        <w:pStyle w:val="Heading1"/>
      </w:pPr>
      <w:r>
        <w:t>Detailed controlled operating annex</w:t>
      </w:r>
    </w:p>
    <w:p>
      <w:r>
        <w:t>This annex expands the governing requirements into operational design, verification and evidence. It is normative only after ratification with the parent document.</w:t>
      </w:r>
    </w:p>
    <w:p>
      <w:pPr>
        <w:pStyle w:val="Heading2"/>
      </w:pPr>
      <w:r>
        <w:t>Span of control</w:t>
      </w:r>
    </w:p>
    <w:p>
      <w:r>
        <w:t>A supervisor must be able to observe, communicate with and physically reach the people they command. The deployment plan reduces span where geometry, noise, protocol, arrival intensity or exception rates are high.</w:t>
      </w:r>
    </w:p>
    <w:p>
      <w:r>
        <w:t>Required practice. Command does not count heads alone; it verifies critical functions, relief, communication and the ability to absorb simultaneous exceptions.</w:t>
      </w:r>
    </w:p>
    <w:p>
      <w:r>
        <w:t>Acceptance evidence. When a supervisor becomes an incident responder, command assigns an acting supervisor or merges the zone explicitly.</w:t>
      </w:r>
    </w:p>
    <w:p>
      <w:pPr>
        <w:pStyle w:val="Heading2"/>
      </w:pPr>
      <w:r>
        <w:t>Decision latency</w:t>
      </w:r>
    </w:p>
    <w:p>
      <w:r>
        <w:t>The command board distinguishes information awaited, decision owner, deadline and safe holding action. Teams do not fill a decision vacuum with improvisation.</w:t>
      </w:r>
    </w:p>
    <w:p>
      <w:r>
        <w:t>Required practice. For each foreseeable exception, name the lowest competent authority and the time after which escalation automatically moves upward.</w:t>
      </w:r>
    </w:p>
    <w:p>
      <w:r>
        <w:t>Acceptance evidence. Measure how long requests wait for authority, not only how fast ushers reach guests.</w:t>
      </w:r>
    </w:p>
    <w:p>
      <w:pPr>
        <w:pStyle w:val="Heading2"/>
      </w:pPr>
      <w:r>
        <w:t>Official time and version</w:t>
      </w:r>
    </w:p>
    <w:p>
      <w:r>
        <w:t>All logs, radio time references and programme triggers use one official time source. Guest/seating documents display event ID, version, issue time and issuer.</w:t>
      </w:r>
    </w:p>
    <w:p>
      <w:r>
        <w:t>Required practice. At briefing, staff repeat the current version. Superseded paper is withdrawn or visibly cancelled; devices show stale/unsynchronised state.</w:t>
      </w:r>
    </w:p>
    <w:p>
      <w:r>
        <w:t>Acceptance evidence. A version conflict is amber or red according to consequence and cannot be hidden by manual overwriting.</w:t>
      </w:r>
    </w:p>
    <w:p>
      <w:pPr>
        <w:pStyle w:val="Heading2"/>
      </w:pPr>
      <w:r>
        <w:t>Command communications</w:t>
      </w:r>
    </w:p>
    <w:p>
      <w:r>
        <w:t>Routine traffic uses the operations channel; sensitive/specialist matters move to the appropriate private path. Priority calls interrupt routine traffic using a trained phrase.</w:t>
      </w:r>
    </w:p>
    <w:p>
      <w:r>
        <w:t>Required practice. Command repeats back safety-, movement- and identity-critical instructions and records material decisions.</w:t>
      </w:r>
    </w:p>
    <w:p>
      <w:r>
        <w:t>Acceptance evidence. Radio silence, congestion or ambiguity activates runners, fixed reporting intervals and physical checkpoints.</w:t>
      </w:r>
    </w:p>
    <w:p>
      <w:pPr>
        <w:pStyle w:val="Heading2"/>
      </w:pPr>
      <w:r>
        <w:t>Leadership welfare</w:t>
      </w:r>
    </w:p>
    <w:p>
      <w:r>
        <w:t>The Event Director monitors fatigue, heat, hydration, distress and cognitive overload because degraded staff create guest and safety risk.</w:t>
      </w:r>
    </w:p>
    <w:p>
      <w:r>
        <w:t>Required practice. Breaks and relief are scheduled; a staff member may report unfitness without punishment. Critical posts have named substitutes.</w:t>
      </w:r>
    </w:p>
    <w:p>
      <w:r>
        <w:t>Acceptance evidence. After serious incidents, affected staff receive immediate check-in and a structured debrief rather than being returned automatically to guest duty.</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MD-USH-CMD-002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670"/>
        <w:sz w:val="14"/>
      </w:rPr>
      <w:t>MAISON DOCLAR  |  PREMIUM USHERING SYSTEM  |  MD-USH-CMD-002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ptos" w:hAnsi="Aptos"/>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ascii="Aptos Display" w:hAnsi="Aptos Display"/>
      <w:b/>
      <w:bCs/>
      <w:color w:val="18202A"/>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ptos Display" w:hAnsi="Aptos Display"/>
      <w:b/>
      <w:bCs/>
      <w:color w:val="B79F85"/>
      <w:sz w:val="27"/>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ptos Display" w:hAnsi="Aptos Display"/>
      <w:b/>
      <w:bCs/>
      <w:color w:val="18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80" w:line="240" w:lineRule="auto"/>
    </w:pPr>
    <w:rPr>
      <w:rFonts w:asciiTheme="majorHAnsi" w:eastAsiaTheme="majorEastAsia" w:hAnsiTheme="majorHAnsi" w:cstheme="majorBidi" w:ascii="Aptos Display" w:hAnsi="Aptos Display"/>
      <w:b w:val="0"/>
      <w:i/>
      <w:iCs/>
      <w:color w:val="5D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