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MAISON DOCLAR</w:t>
      </w:r>
    </w:p>
    <w:p>
      <w:pPr>
        <w:pStyle w:val="Title"/>
        <w:jc w:val="center"/>
      </w:pPr>
      <w:r>
        <w:t>Staffing, Zoning and Deployment Method</w:t>
      </w:r>
    </w:p>
    <w:p>
      <w:pPr>
        <w:pStyle w:val="Subtitle"/>
        <w:jc w:val="center"/>
      </w:pPr>
      <w:r>
        <w:t>A consequence- and flow-based method rather than a single guest ratio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12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Document ID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MD-USH-DEP-004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DRAFT FOR CEO RATIFICATION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Doctrine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Every Guest, Considered.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Prepared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04 September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0EB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 xml:space="preserve">Authority: </w:t>
            </w:r>
            <w:r>
              <w:t>This document becomes Maison Doclar authority only after CEO ratification. Legal, radio-spectrum, equipment type approval, medical, security, accessibility, cultural and protocol determinations remain subject to the named competent authority. Vendor specifications are claims until verified.</w:t>
            </w:r>
          </w:p>
        </w:tc>
      </w:tr>
    </w:tbl>
    <w:p/>
    <w:p>
      <w:r>
        <w:br w:type="page"/>
      </w:r>
    </w:p>
    <w:p>
      <w:pPr>
        <w:pStyle w:val="Title"/>
      </w:pPr>
      <w:r>
        <w:t>Contents</w:t>
      </w:r>
    </w:p>
    <w:p>
      <w:r>
        <w:t>1. Staffing formula</w:t>
      </w:r>
    </w:p>
    <w:p>
      <w:r>
        <w:t>2. Inputs</w:t>
      </w:r>
    </w:p>
    <w:p>
      <w:r>
        <w:t>3. Calculation worksheet</w:t>
      </w:r>
    </w:p>
    <w:p>
      <w:r>
        <w:t>4. Zone design rules</w:t>
      </w:r>
    </w:p>
    <w:p>
      <w:r>
        <w:t>5. Validation drills</w:t>
      </w:r>
    </w:p>
    <w:p/>
    <w:p>
      <w:pPr>
        <w:pStyle w:val="Heading1"/>
      </w:pPr>
      <w:r>
        <w:t>1. Staffing formula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0EB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 xml:space="preserve">Formula: </w:t>
            </w:r>
            <w:r>
              <w:t>Total deployed = fixed posts + arrival-flow positions + seating escorts + in-zone observation + transition positions + specialists assigned to FOH + break relief + contingency reserve. Never reduce the calculation to one usher per X guests.</w:t>
            </w:r>
          </w:p>
        </w:tc>
      </w:tr>
    </w:tbl>
    <w:p/>
    <w:p>
      <w:pPr>
        <w:pStyle w:val="Heading1"/>
      </w:pPr>
      <w:r>
        <w:t>2. Inputs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7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Input</w:t>
            </w:r>
          </w:p>
        </w:tc>
        <w:tc>
          <w:tcPr>
            <w:tcW w:type="dxa" w:w="367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Measure</w:t>
            </w:r>
          </w:p>
        </w:tc>
        <w:tc>
          <w:tcPr>
            <w:tcW w:type="dxa" w:w="381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Why it matters</w:t>
            </w:r>
          </w:p>
        </w:tc>
      </w:tr>
      <w:t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Arrival curve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Expected arrivals per 5/15 minutes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Drives frontage, check and escort throughput</w:t>
            </w:r>
          </w:p>
        </w:tc>
      </w:tr>
      <w:t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Entrances/checkpoints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Count and service time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Creates fixed minimum</w:t>
            </w:r>
          </w:p>
        </w:tc>
      </w:tr>
      <w:t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Walking/escort time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Route minutes including return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Limits escorts per usher</w:t>
            </w:r>
          </w:p>
        </w:tc>
      </w:tr>
      <w:t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Decision points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Doors, stairs, junctions, lifts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Requires fixed wayfinding posts</w:t>
            </w:r>
          </w:p>
        </w:tc>
      </w:tr>
      <w:t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Seating complexity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Assigned/open, households, VIP, protocol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Changes verification and conflict load</w:t>
            </w:r>
          </w:p>
        </w:tc>
      </w:tr>
      <w:t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Accessibility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Known/expected assistance and step-free routes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Requires time and trained capacity</w:t>
            </w:r>
          </w:p>
        </w:tc>
      </w:tr>
      <w:t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Transitions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Number, simultaneity and direction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Creates temporary peak staffing</w:t>
            </w:r>
          </w:p>
        </w:tc>
      </w:tr>
      <w:t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Venue geometry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Floors, rooms, external paths, noise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Affects zones and communication</w:t>
            </w:r>
          </w:p>
        </w:tc>
      </w:tr>
      <w:t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Exception rate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Invites, late changes, missing names, disputes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Sizes exception desk and floats</w:t>
            </w:r>
          </w:p>
        </w:tc>
      </w:tr>
      <w:t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Service tier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Acknowledgement and contact targets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Determines coverage density</w:t>
            </w:r>
          </w:p>
        </w:tc>
      </w:tr>
      <w:t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Breaks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Shift length, heat, uniform and post criticality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4"/>
              </w:rPr>
              <w:t>Requires planned relief</w:t>
            </w:r>
          </w:p>
        </w:tc>
      </w:tr>
      <w:tr>
        <w:tc>
          <w:tcPr>
            <w:tcW w:type="dxa" w:w="18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Contingency</w:t>
            </w:r>
          </w:p>
        </w:tc>
        <w:tc>
          <w:tcPr>
            <w:tcW w:type="dxa" w:w="367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Absence, device failure, congestion</w:t>
            </w:r>
          </w:p>
        </w:tc>
        <w:tc>
          <w:tcPr>
            <w:tcW w:type="dxa" w:w="381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4"/>
              </w:rPr>
              <w:t>Minimum reserve</w:t>
            </w:r>
          </w:p>
        </w:tc>
      </w:tr>
    </w:tbl>
    <w:p/>
    <w:p>
      <w:pPr>
        <w:pStyle w:val="Heading1"/>
      </w:pPr>
      <w:r>
        <w:t>3. Calculation worksheet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23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60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Calculation</w:t>
            </w:r>
          </w:p>
        </w:tc>
        <w:tc>
          <w:tcPr>
            <w:tcW w:type="dxa" w:w="122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Planned</w:t>
            </w:r>
          </w:p>
        </w:tc>
        <w:tc>
          <w:tcPr>
            <w:tcW w:type="dxa" w:w="129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Validated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Fixed posts</w:t>
            </w:r>
          </w:p>
        </w:tc>
        <w:tc>
          <w:tcPr>
            <w:tcW w:type="dxa" w:w="4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One per critical post for every open interval</w:t>
            </w:r>
          </w:p>
        </w:tc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Arrival processing</w:t>
            </w:r>
          </w:p>
        </w:tc>
        <w:tc>
          <w:tcPr>
            <w:tcW w:type="dxa" w:w="4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Peak arrivals ÷ verified throughput per position</w:t>
            </w:r>
          </w:p>
        </w:tc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Escorts</w:t>
            </w:r>
          </w:p>
        </w:tc>
        <w:tc>
          <w:tcPr>
            <w:tcW w:type="dxa" w:w="4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Peak escorts × round-trip minutes ÷ interval</w:t>
            </w:r>
          </w:p>
        </w:tc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Zone rovers</w:t>
            </w:r>
          </w:p>
        </w:tc>
        <w:tc>
          <w:tcPr>
            <w:tcW w:type="dxa" w:w="4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Area/density/service model validated by walk</w:t>
            </w:r>
          </w:p>
        </w:tc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Transitions</w:t>
            </w:r>
          </w:p>
        </w:tc>
        <w:tc>
          <w:tcPr>
            <w:tcW w:type="dxa" w:w="4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Route control + sending + receiving posts</w:t>
            </w:r>
          </w:p>
        </w:tc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Relief</w:t>
            </w:r>
          </w:p>
        </w:tc>
        <w:tc>
          <w:tcPr>
            <w:tcW w:type="dxa" w:w="4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Break schedule plus one-for-one critical post cover</w:t>
            </w:r>
          </w:p>
        </w:tc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Reserve</w:t>
            </w:r>
          </w:p>
        </w:tc>
        <w:tc>
          <w:tcPr>
            <w:tcW w:type="dxa" w:w="460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  <w:t>Risk-based minimum; recommended start 10–15%</w:t>
            </w:r>
          </w:p>
        </w:tc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4. Zone design rules</w:t>
      </w:r>
    </w:p>
    <w:p>
      <w:pPr>
        <w:pStyle w:val="ListBullet"/>
      </w:pPr>
      <w:r>
        <w:t>Zones follow physical visibility, route and authority—not decorative floor-plan shapes.</w:t>
      </w:r>
    </w:p>
    <w:p>
      <w:pPr>
        <w:pStyle w:val="ListBullet"/>
      </w:pPr>
      <w:r>
        <w:t>Every zone has one supervisor, bounded table/seat ranges, entrances/exits, critical posts, accessible routes, specialist contacts, relief point and fallback communications.</w:t>
      </w:r>
    </w:p>
    <w:p>
      <w:pPr>
        <w:pStyle w:val="ListBullet"/>
      </w:pPr>
      <w:r>
        <w:t>Avoid boundaries through high-conflict tables, door pairs or shared VIP spaces unless one supervisor clearly owns the interface.</w:t>
      </w:r>
    </w:p>
    <w:p>
      <w:pPr>
        <w:pStyle w:val="ListBullet"/>
      </w:pPr>
      <w:r>
        <w:t>Colour is supplemented with letter/symbol so colour vision is not the only cue.</w:t>
      </w:r>
    </w:p>
    <w:p>
      <w:pPr>
        <w:pStyle w:val="ListBullet"/>
      </w:pPr>
      <w:r>
        <w:t>A zone map shows walking times and dead areas, not only tables.</w:t>
      </w:r>
    </w:p>
    <w:p>
      <w:pPr>
        <w:pStyle w:val="Heading1"/>
      </w:pPr>
      <w:r>
        <w:t>5. Validation drills</w:t>
      </w:r>
    </w:p>
    <w:p>
      <w:pPr>
        <w:pStyle w:val="ListBullet"/>
      </w:pPr>
      <w:r>
        <w:t>Peak arrival simulation with realistic invitation exceptions.</w:t>
      </w:r>
    </w:p>
    <w:p>
      <w:pPr>
        <w:pStyle w:val="ListBullet"/>
      </w:pPr>
      <w:r>
        <w:t>Five simultaneous escorts and one accessible route request.</w:t>
      </w:r>
    </w:p>
    <w:p>
      <w:pPr>
        <w:pStyle w:val="ListBullet"/>
      </w:pPr>
      <w:r>
        <w:t>Seat conflict during doors-open peak.</w:t>
      </w:r>
    </w:p>
    <w:p>
      <w:pPr>
        <w:pStyle w:val="ListBullet"/>
      </w:pPr>
      <w:r>
        <w:t>Radio failure and runner fallback.</w:t>
      </w:r>
    </w:p>
    <w:p>
      <w:pPr>
        <w:pStyle w:val="ListBullet"/>
      </w:pPr>
      <w:r>
        <w:t>Late VIP arrival during programme transition.</w:t>
      </w:r>
    </w:p>
    <w:p>
      <w:pPr>
        <w:pStyle w:val="ListBullet"/>
      </w:pPr>
      <w:r>
        <w:t>Medical call while the zone supervisor is occupied.</w:t>
      </w:r>
    </w:p>
    <w:p>
      <w:pPr>
        <w:pStyle w:val="ListBullet"/>
      </w:pPr>
      <w:r>
        <w:t>Break relief and unplanned absence.</w:t>
      </w:r>
    </w:p>
    <w:p>
      <w:r>
        <w:br w:type="page"/>
      </w:r>
    </w:p>
    <w:p>
      <w:pPr>
        <w:pStyle w:val="Heading1"/>
      </w:pPr>
      <w:r>
        <w:t>Detailed controlled operating annex</w:t>
      </w:r>
    </w:p>
    <w:p>
      <w:r>
        <w:t>This annex expands the governing requirements into operational design, verification and evidence. It is normative only after ratification with the parent document.</w:t>
      </w:r>
    </w:p>
    <w:p>
      <w:pPr>
        <w:pStyle w:val="Heading2"/>
      </w:pPr>
      <w:r>
        <w:t>Arrival throughput study</w:t>
      </w:r>
    </w:p>
    <w:p>
      <w:r>
        <w:t>Before fixing staffing, measure or simulate the time to welcome, verify, resolve exceptions and escort. Use peak five- and fifteen-minute arrival forecasts rather than event total.</w:t>
      </w:r>
    </w:p>
    <w:p>
      <w:r>
        <w:t>Required practice. Calculate each bottleneck separately and add relief for variability. A single slow exception desk can defeat a generous usher ratio.</w:t>
      </w:r>
    </w:p>
    <w:p>
      <w:r>
        <w:t>Acceptance evidence. After the pilot, replace assumptions with observed service-time distributions and record venue/event-type applicability.</w:t>
      </w:r>
    </w:p>
    <w:p>
      <w:pPr>
        <w:pStyle w:val="Heading2"/>
      </w:pPr>
      <w:r>
        <w:t>Fixed post inventory</w:t>
      </w:r>
    </w:p>
    <w:p>
      <w:r>
        <w:t>Walk the guest journey and record every location where absence would create wrong entry, unsafe movement, inaccessible routing, lost guests or protocol exposure.</w:t>
      </w:r>
    </w:p>
    <w:p>
      <w:r>
        <w:t>Required practice. Each post has purpose, operating interval, sightline, relief, fallback and closure authority. Combine posts only when one person can perform both functions under peak conditions.</w:t>
      </w:r>
    </w:p>
    <w:p>
      <w:r>
        <w:t>Acceptance evidence. A decorative welcome position is not counted as a control post unless it has a defined function.</w:t>
      </w:r>
    </w:p>
    <w:p>
      <w:pPr>
        <w:pStyle w:val="Heading2"/>
      </w:pPr>
      <w:r>
        <w:t>Escort capacity</w:t>
      </w:r>
    </w:p>
    <w:p>
      <w:r>
        <w:t>Estimate the proportion requiring escort, round-trip time and concurrency. Long routes, lifts and household movement sharply reduce capacity.</w:t>
      </w:r>
    </w:p>
    <w:p>
      <w:r>
        <w:t>Required practice. Use receiving handoffs so escorts can return efficiently without abandoning guests.</w:t>
      </w:r>
    </w:p>
    <w:p>
      <w:r>
        <w:t>Acceptance evidence. When escort queue exceeds the defined threshold, supervisors deploy floats or change to an approved staged guidance model.</w:t>
      </w:r>
    </w:p>
    <w:p>
      <w:pPr>
        <w:pStyle w:val="Heading2"/>
      </w:pPr>
      <w:r>
        <w:t>Relief engineering</w:t>
      </w:r>
    </w:p>
    <w:p>
      <w:r>
        <w:t>Break cover is designed with the roster, not negotiated during the event. Critical posts receive one-for-one trained relief; rovers may be pooled only when zone coverage remains adequate.</w:t>
      </w:r>
    </w:p>
    <w:p>
      <w:r>
        <w:t>Required practice. Record actual leave and return. A delayed return triggers supervisor action before the post becomes uncovered.</w:t>
      </w:r>
    </w:p>
    <w:p>
      <w:r>
        <w:t>Acceptance evidence. Reserve staff are protected from routine early assignment unless command accepts the resulting contingency reduction.</w:t>
      </w:r>
    </w:p>
    <w:p>
      <w:pPr>
        <w:pStyle w:val="Heading2"/>
      </w:pPr>
      <w:r>
        <w:t>Competence matching</w:t>
      </w:r>
    </w:p>
    <w:p>
      <w:r>
        <w:t>Headcount is not capacity. Assign roles based on current Academy authorisation, language, mobility, experience, briefing completion and event-specific restrictions.</w:t>
      </w:r>
    </w:p>
    <w:p>
      <w:r>
        <w:t>Required practice. A newly trained usher should not be placed alone at the highest-consequence exception or protocol post.</w:t>
      </w:r>
    </w:p>
    <w:p>
      <w:r>
        <w:t>Acceptance evidence. The deployment record explains any exception and the additional supervision applied.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MD-USH-DEP-004  •  </w:t>
    </w:r>
    <w:r>
      <w:fldChar w:fldCharType="begin"/>
    </w:r>
    <w:r>
      <w:instrText xml:space="preserve">PAGE</w:instrTex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D6670"/>
        <w:sz w:val="14"/>
      </w:rPr>
      <w:t>MAISON DOCLAR  |  PREMIUM USHERING SYSTEM  |  MD-USH-DEP-004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 w:line="264" w:lineRule="auto"/>
    </w:pPr>
    <w:rPr>
      <w:rFonts w:ascii="Aptos" w:hAnsi="Aptos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40" w:lineRule="auto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40" w:lineRule="auto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79F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02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180" w:line="240" w:lineRule="auto"/>
    </w:pPr>
    <w:rPr>
      <w:rFonts w:asciiTheme="majorHAnsi" w:eastAsiaTheme="majorEastAsia" w:hAnsiTheme="majorHAnsi" w:cstheme="majorBidi" w:ascii="Aptos Display" w:hAnsi="Aptos Display"/>
      <w:b w:val="0"/>
      <w:i/>
      <w:iCs/>
      <w:color w:val="5D66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