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Hardware, Radio and Pager Verification Protocol</w:t>
      </w:r>
    </w:p>
    <w:p>
      <w:pPr>
        <w:pStyle w:val="Subtitle"/>
        <w:jc w:val="center"/>
      </w:pPr>
      <w:r>
        <w:t>Candidate equipment, regulatory gates, acceptance testing and custody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MD-USH-HWV-006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Doctrine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Every Guest, Considered.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Prepared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04 September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0E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 xml:space="preserve">Authority: </w:t>
            </w:r>
            <w:r>
              <w:t>This document becomes Maison Doclar authority only after CEO ratification. Legal, radio-spectrum, equipment type approval, medical, security, accessibility, cultural and protocol determinations remain subject to the named competent authority. Vendor specifications are claims until verified.</w:t>
            </w:r>
          </w:p>
        </w:tc>
      </w:tr>
    </w:tbl>
    <w:p/>
    <w:p>
      <w:r>
        <w:br w:type="page"/>
      </w:r>
    </w:p>
    <w:p>
      <w:pPr>
        <w:pStyle w:val="Title"/>
      </w:pPr>
      <w:r>
        <w:t>Contents</w:t>
      </w:r>
    </w:p>
    <w:p>
      <w:r>
        <w:t>1. Candidate equipment register</w:t>
      </w:r>
    </w:p>
    <w:p>
      <w:r>
        <w:t>2. Regulatory gate</w:t>
      </w:r>
    </w:p>
    <w:p>
      <w:r>
        <w:t>3. Receipt inspection</w:t>
      </w:r>
    </w:p>
    <w:p>
      <w:r>
        <w:t>4. Venue acceptance</w:t>
      </w:r>
    </w:p>
    <w:p>
      <w:r>
        <w:t>5. Pager deployment decision</w:t>
      </w:r>
    </w:p>
    <w:p>
      <w:r>
        <w:t>6. Procurement caveat</w:t>
      </w:r>
    </w:p>
    <w:p>
      <w:r>
        <w:t>7. Acceptance certificate</w:t>
      </w:r>
    </w:p>
    <w:p/>
    <w:p>
      <w:pPr>
        <w:pStyle w:val="Heading1"/>
      </w:pPr>
      <w:r>
        <w:t>1. Candidate equipment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Candidate</w:t>
            </w:r>
          </w:p>
        </w:tc>
        <w:tc>
          <w:tcPr>
            <w:tcW w:type="dxa" w:w="38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Advertised/user-supplied claim</w:t>
            </w:r>
          </w:p>
        </w:tc>
        <w:tc>
          <w:tcPr>
            <w:tcW w:type="dxa" w:w="345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Required verification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BYHUBYENG CS-S1 call button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433.92 MHz; claimed 80–100 m direct and &gt;500 m open; claimed IPX67; &gt;3,000 uses; 60×60×9 mm; adhesive/screw; indicative £3.36</w:t>
            </w:r>
          </w:p>
        </w:tc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Candidate only: frequency/type approval, battery/serviceability, zone naming, false-call rate, range under crowd, mounting and ingress test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BYHUBYENG CS-200E watch pager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433.92 MHz; claimed OLED/dot-matrix/touch; vibration and number; up to 200 buttons; 80 mAh; 72+ h standby; claimed IPX67; indicative £18.66</w:t>
            </w:r>
          </w:p>
        </w:tc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Candidate only: pairing limits, simultaneous alerts, zone filtering, acknowledge/clear behaviour, actual runtime and visibility test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BYHUBYENG 160F repeater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433.92 MHz FSK; claimed extension to 2,000 m; 5V/2A; 100–240V adapter; 129×71×26 mm; indicative £18.66</w:t>
            </w:r>
          </w:p>
        </w:tc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Candidate only: confirm exact model/manual; repeater compatibility, duplication/loop behaviour, failover, UPS and placement test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Retevis RT22 / Baofeng BF-888S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Compact analogue UHF candidates; common accessory ecosystem</w:t>
            </w:r>
          </w:p>
        </w:tc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Do not call licence-free in Nigeria without NCC verification; exact programmed frequencies, power and type approval required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Motorola CP200d/R2 / Hytera HP5/HP6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Commercial digital candidates for complex venues</w:t>
            </w:r>
          </w:p>
        </w:tc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Professional programming, lawful spectrum, interoperability, encryption/privacy decision, dealer support and total cost required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Clear acoustic tube 2-wire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Discreet separate earpiece and PTT</w:t>
            </w:r>
          </w:p>
        </w:tc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Supervisor/command candidate; hygiene, moisture, fit and acoustic safety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D-ring/C-hook or G-loop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Non-in-ear or secure loop styles</w:t>
            </w:r>
          </w:p>
        </w:tc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General/active roles; connector compatibility and sanitation</w:t>
            </w:r>
          </w:p>
        </w:tc>
      </w:tr>
    </w:tbl>
    <w:p/>
    <w:p>
      <w:pPr>
        <w:pStyle w:val="Heading1"/>
      </w:pPr>
      <w:r>
        <w:t>2. Regulatory gate</w:t>
      </w:r>
    </w:p>
    <w:p>
      <w:pPr>
        <w:pStyle w:val="ListBullet"/>
      </w:pPr>
      <w:r>
        <w:t>Confirm Nigerian Communications Commission frequency use, equipment type approval and any licensing requirement for the exact radio and pager equipment—not only the product family.</w:t>
      </w:r>
    </w:p>
    <w:p>
      <w:pPr>
        <w:pStyle w:val="ListBullet"/>
      </w:pPr>
      <w:r>
        <w:t>Obtain supplier declaration, model/serial evidence, manuals and lawful programming record.</w:t>
      </w:r>
    </w:p>
    <w:p>
      <w:pPr>
        <w:pStyle w:val="ListBullet"/>
      </w:pPr>
      <w:r>
        <w:t>Do not program or operate business radios based on foreign “licence-free” claims.</w:t>
      </w:r>
    </w:p>
    <w:p>
      <w:pPr>
        <w:pStyle w:val="ListBullet"/>
      </w:pPr>
      <w:r>
        <w:t>Record venue permission and known local radio systems; coordinate with security/production frequency planning.</w:t>
      </w:r>
    </w:p>
    <w:p>
      <w:pPr>
        <w:pStyle w:val="Heading1"/>
      </w:pPr>
      <w:r>
        <w:t>3. Receipt inspection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496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266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Pass evidence</w:t>
            </w:r>
          </w:p>
        </w:tc>
      </w:tr>
      <w:tr>
        <w:tc>
          <w:tcPr>
            <w:tcW w:type="dxa" w:w="17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Identity</w:t>
            </w:r>
          </w:p>
        </w:tc>
        <w:tc>
          <w:tcPr>
            <w:tcW w:type="dxa" w:w="49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Model, serial, firmware/manual and ordered specification</w:t>
            </w:r>
          </w:p>
        </w:tc>
        <w:tc>
          <w:tcPr>
            <w:tcW w:type="dxa" w:w="26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Photographic/custody record</w:t>
            </w:r>
          </w:p>
        </w:tc>
      </w:tr>
      <w:tr>
        <w:tc>
          <w:tcPr>
            <w:tcW w:type="dxa" w:w="17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Physical</w:t>
            </w:r>
          </w:p>
        </w:tc>
        <w:tc>
          <w:tcPr>
            <w:tcW w:type="dxa" w:w="49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Damage, band, button, seal, charger, connector</w:t>
            </w:r>
          </w:p>
        </w:tc>
        <w:tc>
          <w:tcPr>
            <w:tcW w:type="dxa" w:w="26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Inspection signed</w:t>
            </w:r>
          </w:p>
        </w:tc>
      </w:tr>
      <w:tr>
        <w:tc>
          <w:tcPr>
            <w:tcW w:type="dxa" w:w="17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Pairing</w:t>
            </w:r>
          </w:p>
        </w:tc>
        <w:tc>
          <w:tcPr>
            <w:tcW w:type="dxa" w:w="49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Each button/receiver/repeater programmed and uniquely labelled</w:t>
            </w:r>
          </w:p>
        </w:tc>
        <w:tc>
          <w:tcPr>
            <w:tcW w:type="dxa" w:w="26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Pairing matrix</w:t>
            </w:r>
          </w:p>
        </w:tc>
      </w:tr>
      <w:tr>
        <w:tc>
          <w:tcPr>
            <w:tcW w:type="dxa" w:w="17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Battery</w:t>
            </w:r>
          </w:p>
        </w:tc>
        <w:tc>
          <w:tcPr>
            <w:tcW w:type="dxa" w:w="49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Charge, timed load/standby sample, low-battery behaviour</w:t>
            </w:r>
          </w:p>
        </w:tc>
        <w:tc>
          <w:tcPr>
            <w:tcW w:type="dxa" w:w="26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Battery test log</w:t>
            </w:r>
          </w:p>
        </w:tc>
      </w:tr>
      <w:tr>
        <w:tc>
          <w:tcPr>
            <w:tcW w:type="dxa" w:w="17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Ingress</w:t>
            </w:r>
          </w:p>
        </w:tc>
        <w:tc>
          <w:tcPr>
            <w:tcW w:type="dxa" w:w="49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Manufacturer evidence plus non-destructive operational check</w:t>
            </w:r>
          </w:p>
        </w:tc>
        <w:tc>
          <w:tcPr>
            <w:tcW w:type="dxa" w:w="26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No false IP claim</w:t>
            </w:r>
          </w:p>
        </w:tc>
      </w:tr>
      <w:tr>
        <w:tc>
          <w:tcPr>
            <w:tcW w:type="dxa" w:w="17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Accessory</w:t>
            </w:r>
          </w:p>
        </w:tc>
        <w:tc>
          <w:tcPr>
            <w:tcW w:type="dxa" w:w="49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Earpiece/PTT connector, strain relief, hygiene parts</w:t>
            </w:r>
          </w:p>
        </w:tc>
        <w:tc>
          <w:tcPr>
            <w:tcW w:type="dxa" w:w="26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Role fit test</w:t>
            </w:r>
          </w:p>
        </w:tc>
      </w:tr>
    </w:tbl>
    <w:p/>
    <w:p>
      <w:pPr>
        <w:pStyle w:val="Heading1"/>
      </w:pPr>
      <w:r>
        <w:t>4. Venue acceptance</w:t>
      </w:r>
    </w:p>
    <w:p>
      <w:pPr>
        <w:pStyle w:val="ListBullet"/>
      </w:pPr>
      <w:r>
        <w:t>Test before décor/crowd and again at realistic occupancy.</w:t>
      </w:r>
    </w:p>
    <w:p>
      <w:pPr>
        <w:pStyle w:val="ListBullet"/>
      </w:pPr>
      <w:r>
        <w:t>Press every deployed call button three times from installed position; confirm correct pager group, label, latency and no duplicate/ghost alert.</w:t>
      </w:r>
    </w:p>
    <w:p>
      <w:pPr>
        <w:pStyle w:val="ListBullet"/>
      </w:pPr>
      <w:r>
        <w:t>Test simultaneous calls, repeated presses, cleared calls, receiver restart, repeater power loss and substitute device.</w:t>
      </w:r>
    </w:p>
    <w:p>
      <w:pPr>
        <w:pStyle w:val="ListBullet"/>
      </w:pPr>
      <w:r>
        <w:t>Radio check every zone, stair, lift lobby, restroom approach, backstage, drop-off and command point.</w:t>
      </w:r>
    </w:p>
    <w:p>
      <w:pPr>
        <w:pStyle w:val="ListBullet"/>
      </w:pPr>
      <w:r>
        <w:t>Test primary and fallback channel, runner routes and emergency priority phrase.</w:t>
      </w:r>
    </w:p>
    <w:p>
      <w:pPr>
        <w:pStyle w:val="ListBullet"/>
      </w:pPr>
      <w:r>
        <w:t>Log dead spots; relocate/reduce scope rather than accepting uncertainty.</w:t>
      </w:r>
    </w:p>
    <w:p>
      <w:pPr>
        <w:pStyle w:val="Heading1"/>
      </w:pPr>
      <w:r>
        <w:t>5. Pager deployment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806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80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guest buttons; proactive posts and rovers only</w:t>
            </w:r>
          </w:p>
        </w:tc>
      </w:tr>
      <w:tr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80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Discreet assistance points at remote/accessibility/VIP locations</w:t>
            </w:r>
          </w:p>
        </w:tc>
      </w:tr>
      <w:tr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80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One per selected seating cluster with defined service purpose</w:t>
            </w:r>
          </w:p>
        </w:tc>
      </w:tr>
      <w:tr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806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One per table only when visual, capacity, false-call and service tests pass</w:t>
            </w:r>
          </w:p>
        </w:tc>
      </w:tr>
    </w:tbl>
    <w:p/>
    <w:p>
      <w:pPr>
        <w:pStyle w:val="Heading1"/>
      </w:pPr>
      <w:r>
        <w:t>6. Procurement caveat</w:t>
      </w:r>
    </w:p>
    <w:p>
      <w:r>
        <w:t>Indicative prices are not approved budgets and may exclude shipping, duties, spares, chargers, programming, cases, labels, VAT/tax, batteries, dealer support and replacement. Purchase only after total landed cost and supportability review.</w:t>
      </w:r>
    </w:p>
    <w:p>
      <w:pPr>
        <w:pStyle w:val="Heading1"/>
      </w:pPr>
      <w:r>
        <w:t>7. Acceptance certificate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38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158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39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Evidence/authority</w:t>
            </w:r>
          </w:p>
        </w:tc>
      </w:tr>
      <w:tr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Exact model verified</w:t>
            </w:r>
          </w:p>
        </w:tc>
        <w:tc>
          <w:tcPr>
            <w:tcW w:type="dxa" w:w="15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3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NCC/type approval/spectrum decision</w:t>
            </w:r>
          </w:p>
        </w:tc>
        <w:tc>
          <w:tcPr>
            <w:tcW w:type="dxa" w:w="15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43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Battery and pairing</w:t>
            </w:r>
          </w:p>
        </w:tc>
        <w:tc>
          <w:tcPr>
            <w:tcW w:type="dxa" w:w="15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3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Crowd-range test</w:t>
            </w:r>
          </w:p>
        </w:tc>
        <w:tc>
          <w:tcPr>
            <w:tcW w:type="dxa" w:w="15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43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Power/UPS fallback</w:t>
            </w:r>
          </w:p>
        </w:tc>
        <w:tc>
          <w:tcPr>
            <w:tcW w:type="dxa" w:w="15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3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Hygiene/accessory fit</w:t>
            </w:r>
          </w:p>
        </w:tc>
        <w:tc>
          <w:tcPr>
            <w:tcW w:type="dxa" w:w="15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43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Spares and custody</w:t>
            </w:r>
          </w:p>
        </w:tc>
        <w:tc>
          <w:tcPr>
            <w:tcW w:type="dxa" w:w="15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3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Pilot acceptance</w:t>
            </w:r>
          </w:p>
        </w:tc>
        <w:tc>
          <w:tcPr>
            <w:tcW w:type="dxa" w:w="15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43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Detailed controlled operating annex</w:t>
      </w:r>
    </w:p>
    <w:p>
      <w:r>
        <w:t>This annex expands the governing requirements into operational design, verification and evidence. It is normative only after ratification with the parent document.</w:t>
      </w:r>
    </w:p>
    <w:p>
      <w:pPr>
        <w:pStyle w:val="Heading2"/>
      </w:pPr>
      <w:r>
        <w:t>Frequency and equipment authority</w:t>
      </w:r>
    </w:p>
    <w:p>
      <w:r>
        <w:t>433.92 MHz operation and business-radio use must be confirmed for the exact equipment, power, modulation and intended use. Foreign conformity marks or marketplace descriptions do not prove Nigerian authorisation.</w:t>
      </w:r>
    </w:p>
    <w:p>
      <w:r>
        <w:t>Required practice. Retain supplier, type-approval, programming and serial records. Obtain competent advice where the regulatory position is unclear.</w:t>
      </w:r>
    </w:p>
    <w:p>
      <w:r>
        <w:t>Acceptance evidence. Until verified, equipment may be bench-tested only within an authorised environment and is not declared operational standard.</w:t>
      </w:r>
    </w:p>
    <w:p>
      <w:pPr>
        <w:pStyle w:val="Heading2"/>
      </w:pPr>
      <w:r>
        <w:t>Range evidence</w:t>
      </w:r>
    </w:p>
    <w:p>
      <w:r>
        <w:t>Open-space claims are not venue guarantees. Concrete, metal, LED systems, audio equipment, human bodies, placement and interference change performance.</w:t>
      </w:r>
    </w:p>
    <w:p>
      <w:r>
        <w:t>Required practice. Test every installed transmitter at realistic occupancy, with doors in event position and equipment operating. Record latency, missed/duplicate calls and receiver group.</w:t>
      </w:r>
    </w:p>
    <w:p>
      <w:r>
        <w:t>Acceptance evidence. A dead zone is corrected, excluded or covered by a human post; it is never accepted through optimistic wording.</w:t>
      </w:r>
    </w:p>
    <w:p>
      <w:pPr>
        <w:pStyle w:val="Heading2"/>
      </w:pPr>
      <w:r>
        <w:t>Battery management</w:t>
      </w:r>
    </w:p>
    <w:p>
      <w:r>
        <w:t>Asset records show charge cycle, issue state, test time, expected duty, spare and return condition. Standby claims do not equal heavy-alert runtime.</w:t>
      </w:r>
    </w:p>
    <w:p>
      <w:r>
        <w:t>Required practice. Charge on protected circuits; separate tested-ready, charging, quarantine and failed equipment.</w:t>
      </w:r>
    </w:p>
    <w:p>
      <w:r>
        <w:t>Acceptance evidence. Low-battery behaviour is rehearsed. Replacement does not remove a post or lose unresolved alerts.</w:t>
      </w:r>
    </w:p>
    <w:p>
      <w:pPr>
        <w:pStyle w:val="Heading2"/>
      </w:pPr>
      <w:r>
        <w:t>Pager human factors</w:t>
      </w:r>
    </w:p>
    <w:p>
      <w:r>
        <w:t>Labels must be readable and map unambiguously to physical zones. Alert patterns should distinguish routine assistance from priority staff signals if the equipment supports this.</w:t>
      </w:r>
    </w:p>
    <w:p>
      <w:r>
        <w:t>Required practice. Test vibration visibility under movement, sleeves, noise and simultaneous calls. Train clearing and repeat-call handling.</w:t>
      </w:r>
    </w:p>
    <w:p>
      <w:r>
        <w:t>Acceptance evidence. If every pager receives every call and alarm load becomes confusing, narrow deployment or use dedicated receiver groups rather than relying on attention.</w:t>
      </w:r>
    </w:p>
    <w:p>
      <w:pPr>
        <w:pStyle w:val="Heading2"/>
      </w:pPr>
      <w:r>
        <w:t>Radio acoustic safety and hygiene</w:t>
      </w:r>
    </w:p>
    <w:p>
      <w:r>
        <w:t>Earpieces are assigned or sanitised under a documented method. Volume is set low enough for situational awareness and hearing safety.</w:t>
      </w:r>
    </w:p>
    <w:p>
      <w:r>
        <w:t>Required practice. Route cables to avoid snagging and preserve professional appearance; strain-relief and connector compatibility are checked.</w:t>
      </w:r>
    </w:p>
    <w:p>
      <w:r>
        <w:t>Acceptance evidence. A user who cannot hear clearly or develops discomfort changes accessory or role rather than increasing volume indefinitely.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MD-USH-HWV-006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670"/>
        <w:sz w:val="14"/>
      </w:rPr>
      <w:t>MAISON DOCLAR  |  PREMIUM USHERING SYSTEM  |  MD-USH-HWV-006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64" w:lineRule="auto"/>
    </w:pPr>
    <w:rPr>
      <w:rFonts w:ascii="Aptos" w:hAnsi="Aptos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40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40" w:lineRule="auto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80" w:line="240" w:lineRule="auto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