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MAISON DOCLAR</w:t>
      </w:r>
    </w:p>
    <w:p>
      <w:pPr>
        <w:pStyle w:val="Title"/>
        <w:jc w:val="center"/>
      </w:pPr>
      <w:r>
        <w:t>Optional Offline Ushering App Decision and Architecture</w:t>
      </w:r>
    </w:p>
    <w:p>
      <w:pPr>
        <w:pStyle w:val="Subtitle"/>
        <w:jc w:val="center"/>
      </w:pPr>
      <w:r>
        <w:t>A narrow, resilient application that never becomes the live single point of failure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232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7128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Document ID</w:t>
            </w:r>
          </w:p>
        </w:tc>
        <w:tc>
          <w:tcPr>
            <w:tcW w:type="dxa" w:w="71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MD-USH-APP-007</w:t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71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71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DRAFT FOR CEO RATIFICATION</w:t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8"/>
              </w:rPr>
              <w:t>Doctrine</w:t>
            </w:r>
          </w:p>
        </w:tc>
        <w:tc>
          <w:tcPr>
            <w:tcW w:type="dxa" w:w="71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8"/>
              </w:rPr>
              <w:t>Every Guest, Considered.</w:t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Prepared</w:t>
            </w:r>
          </w:p>
        </w:tc>
        <w:tc>
          <w:tcPr>
            <w:tcW w:type="dxa" w:w="71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04 September 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0EB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</w:rPr>
              <w:t xml:space="preserve">Authority: </w:t>
            </w:r>
            <w:r>
              <w:t>This document becomes Maison Doclar authority only after CEO ratification. Legal, radio-spectrum, equipment type approval, medical, security, accessibility, cultural and protocol determinations remain subject to the named competent authority. Vendor specifications are claims until verified.</w:t>
            </w:r>
          </w:p>
        </w:tc>
      </w:tr>
    </w:tbl>
    <w:p/>
    <w:p>
      <w:r>
        <w:br w:type="page"/>
      </w:r>
    </w:p>
    <w:p>
      <w:pPr>
        <w:pStyle w:val="Title"/>
      </w:pPr>
      <w:r>
        <w:t>Contents</w:t>
      </w:r>
    </w:p>
    <w:p>
      <w:r>
        <w:t>1. Decision</w:t>
      </w:r>
    </w:p>
    <w:p>
      <w:r>
        <w:t>2. Build triggers</w:t>
      </w:r>
    </w:p>
    <w:p>
      <w:r>
        <w:t>3. Capabilities</w:t>
      </w:r>
    </w:p>
    <w:p>
      <w:r>
        <w:t>4. TypeScript contracts</w:t>
      </w:r>
    </w:p>
    <w:p>
      <w:r>
        <w:t>5. Security</w:t>
      </w:r>
    </w:p>
    <w:p>
      <w:r>
        <w:t>6. App acceptance</w:t>
      </w:r>
    </w:p>
    <w:p/>
    <w:p>
      <w:pPr>
        <w:pStyle w:val="Heading1"/>
      </w:pPr>
      <w:r>
        <w:t>1. Decision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0EB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</w:rPr>
              <w:t xml:space="preserve">Recommendation: </w:t>
            </w:r>
            <w:r>
              <w:t>Do not make an app a prerequisite for the first pilot. Build the physical system, prove failure points, then authorise a narrow offline-first module for controlled lookup, maps, assignments and evidence capture. Radios and the physical command board remain primary live coordination.</w:t>
            </w:r>
          </w:p>
        </w:tc>
      </w:tr>
    </w:tbl>
    <w:p/>
    <w:p>
      <w:pPr>
        <w:pStyle w:val="Heading1"/>
      </w:pPr>
      <w:r>
        <w:t>2. Build triggers</w:t>
      </w:r>
    </w:p>
    <w:p>
      <w:pPr>
        <w:pStyle w:val="ListBullet"/>
      </w:pPr>
      <w:r>
        <w:t>Guest/seat lookup causes measured delay or repeated error.</w:t>
      </w:r>
    </w:p>
    <w:p>
      <w:pPr>
        <w:pStyle w:val="ListBullet"/>
      </w:pPr>
      <w:r>
        <w:t>Paper change reconciliation becomes a material control risk.</w:t>
      </w:r>
    </w:p>
    <w:p>
      <w:pPr>
        <w:pStyle w:val="ListBullet"/>
      </w:pPr>
      <w:r>
        <w:t>Equipment and staffing deployment cannot be audited efficiently.</w:t>
      </w:r>
    </w:p>
    <w:p>
      <w:pPr>
        <w:pStyle w:val="ListBullet"/>
      </w:pPr>
      <w:r>
        <w:t>Multiple simultaneous zones create a proven visibility gap.</w:t>
      </w:r>
    </w:p>
    <w:p>
      <w:pPr>
        <w:pStyle w:val="ListBullet"/>
      </w:pPr>
      <w:r>
        <w:t>The Event OS can supply a stable, minimum-necessary event package.</w:t>
      </w:r>
    </w:p>
    <w:p>
      <w:pPr>
        <w:pStyle w:val="Heading1"/>
      </w:pPr>
      <w:r>
        <w:t>3. Capabilities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944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Capability</w:t>
            </w:r>
          </w:p>
        </w:tc>
        <w:tc>
          <w:tcPr>
            <w:tcW w:type="dxa" w:w="4032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Offline behaviour</w:t>
            </w:r>
          </w:p>
        </w:tc>
        <w:tc>
          <w:tcPr>
            <w:tcW w:type="dxa" w:w="3384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Boundary</w:t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Event pack download</w:t>
            </w:r>
          </w:p>
        </w:tc>
        <w:tc>
          <w:tcPr>
            <w:tcW w:type="dxa" w:w="40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Encrypted, role-filtered package before deployment</w:t>
            </w:r>
          </w:p>
        </w:tc>
        <w:tc>
          <w:tcPr>
            <w:tcW w:type="dxa" w:w="338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Shows issue/version/expiry</w:t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Guest/seat search</w:t>
            </w:r>
          </w:p>
        </w:tc>
        <w:tc>
          <w:tcPr>
            <w:tcW w:type="dxa" w:w="40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Local indexed search over minimum data</w:t>
            </w:r>
          </w:p>
        </w:tc>
        <w:tc>
          <w:tcPr>
            <w:tcW w:type="dxa" w:w="338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No marketing, no unrestricted export</w:t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Maps/posts</w:t>
            </w:r>
          </w:p>
        </w:tc>
        <w:tc>
          <w:tcPr>
            <w:tcW w:type="dxa" w:w="40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Cached vector/image maps and position cards</w:t>
            </w:r>
          </w:p>
        </w:tc>
        <w:tc>
          <w:tcPr>
            <w:tcW w:type="dxa" w:w="338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Physical signage remains authoritative</w:t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Assignments</w:t>
            </w:r>
          </w:p>
        </w:tc>
        <w:tc>
          <w:tcPr>
            <w:tcW w:type="dxa" w:w="40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Local view; supervisor-authorised changes logged</w:t>
            </w:r>
          </w:p>
        </w:tc>
        <w:tc>
          <w:tcPr>
            <w:tcW w:type="dxa" w:w="338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Does not silently reassign critical post</w:t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Requests/incidents</w:t>
            </w:r>
          </w:p>
        </w:tc>
        <w:tc>
          <w:tcPr>
            <w:tcW w:type="dxa" w:w="40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Time-stamped local capture and handoff status</w:t>
            </w:r>
          </w:p>
        </w:tc>
        <w:tc>
          <w:tcPr>
            <w:tcW w:type="dxa" w:w="338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Radio remains live dispatch</w:t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Sync</w:t>
            </w:r>
          </w:p>
        </w:tc>
        <w:tc>
          <w:tcPr>
            <w:tcW w:type="dxa" w:w="40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Queued signed changes with conflict handling</w:t>
            </w:r>
          </w:p>
        </w:tc>
        <w:tc>
          <w:tcPr>
            <w:tcW w:type="dxa" w:w="338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Unsynced visibly marked</w:t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Device loss</w:t>
            </w:r>
          </w:p>
        </w:tc>
        <w:tc>
          <w:tcPr>
            <w:tcW w:type="dxa" w:w="40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Local lock/expiry; revoke when connectivity returns</w:t>
            </w:r>
          </w:p>
        </w:tc>
        <w:tc>
          <w:tcPr>
            <w:tcW w:type="dxa" w:w="338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Printed fallback activated</w:t>
            </w:r>
          </w:p>
        </w:tc>
      </w:tr>
    </w:tbl>
    <w:p/>
    <w:p>
      <w:pPr>
        <w:pStyle w:val="Heading1"/>
      </w:pPr>
      <w:r>
        <w:t>4. TypeScript contracts</w:t>
      </w:r>
    </w:p>
    <w:p>
      <w:pPr>
        <w:ind w:left="216"/>
        <w:shd w:fill="F5F5F5"/>
      </w:pPr>
      <w:r>
        <w:rPr>
          <w:rFonts w:ascii="Consolas" w:hAnsi="Consolas"/>
          <w:sz w:val="14"/>
        </w:rPr>
        <w:t>export const SyncStateSchema=z.enum(['CURRENT','STALE','UNSYNCED','CONFLICT','EXPIRED','REVOKED']);</w:t>
        <w:br/>
        <w:t>export const OfflineEventPackSchema=z.object({schemaVersion:z.literal(1),eventId:z.string().uuid(),packId:z.string().uuid(),roleScope:z.array(z.string()),issuedAt:z.string().datetime(),validUntil:z.string().datetime(),sourceVersion:z.number().int().positive(),classification:z.enum(['INTERNAL','CONFIDENTIAL','RESTRICTED']),zones:z.array(z.object({id:z.string(),name:z.string(),postIds:z.array(z.string())})),checksum:z.string()});</w:t>
        <w:br/>
        <w:t>export const OfflineMutationSchema=z.object({id:z.string().uuid(),eventId:z.string().uuid(),entityType:z.string(),entityId:z.string(),baseVersion:z.number().int().nonnegative(),operation:z.enum(['CREATE','UPDATE','ACKNOWLEDGE','CLOSE']),payload:z.record(z.string(),z.unknown()),actorId:z.string(),deviceId:z.string(),occurredAt:z.string().datetime(),idempotencyKey:z.string()});</w:t>
      </w:r>
    </w:p>
    <w:p>
      <w:pPr>
        <w:pStyle w:val="Heading1"/>
      </w:pPr>
      <w:r>
        <w:t>5. Security</w:t>
      </w:r>
    </w:p>
    <w:p>
      <w:pPr>
        <w:pStyle w:val="ListBullet"/>
      </w:pPr>
      <w:r>
        <w:t>Short-lived event packs; encrypted local store; device-bound authentication; role-filtered fields; no background analytics leaking guest data.</w:t>
      </w:r>
    </w:p>
    <w:p>
      <w:pPr>
        <w:pStyle w:val="ListBullet"/>
      </w:pPr>
      <w:r>
        <w:t>No face recognition or biometric identification.</w:t>
      </w:r>
    </w:p>
    <w:p>
      <w:pPr>
        <w:pStyle w:val="ListBullet"/>
      </w:pPr>
      <w:r>
        <w:t>No screenshots/exports where platform controls permit; operational training still treats screens as controlled.</w:t>
      </w:r>
    </w:p>
    <w:p>
      <w:pPr>
        <w:pStyle w:val="ListBullet"/>
      </w:pPr>
      <w:r>
        <w:t>Automatic local expiry and secure deletion after reconciliation/retention window.</w:t>
      </w:r>
    </w:p>
    <w:p>
      <w:pPr>
        <w:pStyle w:val="ListBullet"/>
      </w:pPr>
      <w:r>
        <w:t>Conflict UI preserves both versions and requires authorised resolution.</w:t>
      </w:r>
    </w:p>
    <w:p>
      <w:pPr>
        <w:pStyle w:val="Heading1"/>
      </w:pPr>
      <w:r>
        <w:t>6. App acceptance</w:t>
      </w:r>
    </w:p>
    <w:p>
      <w:pPr>
        <w:pStyle w:val="ListBullet"/>
      </w:pPr>
      <w:r>
        <w:t>Airplane-mode completion of lookup, map, assignment view and local incident capture.</w:t>
      </w:r>
    </w:p>
    <w:p>
      <w:pPr>
        <w:pStyle w:val="ListBullet"/>
      </w:pPr>
      <w:r>
        <w:t>Cold restart without data corruption.</w:t>
      </w:r>
    </w:p>
    <w:p>
      <w:pPr>
        <w:pStyle w:val="ListBullet"/>
      </w:pPr>
      <w:r>
        <w:t>Expired/revoked pack blocks data.</w:t>
      </w:r>
    </w:p>
    <w:p>
      <w:pPr>
        <w:pStyle w:val="ListBullet"/>
      </w:pPr>
      <w:r>
        <w:t>Two-device conflicting seat change does not silently overwrite.</w:t>
      </w:r>
    </w:p>
    <w:p>
      <w:pPr>
        <w:pStyle w:val="ListBullet"/>
      </w:pPr>
      <w:r>
        <w:t>Lost device drill.</w:t>
      </w:r>
    </w:p>
    <w:p>
      <w:pPr>
        <w:pStyle w:val="ListBullet"/>
      </w:pPr>
      <w:r>
        <w:t>App unavailable drill proves paper/radio system continues.</w:t>
      </w:r>
    </w:p>
    <w:p>
      <w:r>
        <w:br w:type="page"/>
      </w:r>
    </w:p>
    <w:p>
      <w:pPr>
        <w:pStyle w:val="Heading1"/>
      </w:pPr>
      <w:r>
        <w:t>Detailed controlled operating annex</w:t>
      </w:r>
    </w:p>
    <w:p>
      <w:r>
        <w:t>This annex expands the governing requirements into operational design, verification and evidence. It is normative only after ratification with the parent document.</w:t>
      </w:r>
    </w:p>
    <w:p>
      <w:pPr>
        <w:pStyle w:val="Heading2"/>
      </w:pPr>
      <w:r>
        <w:t>Offline package lifecycle</w:t>
      </w:r>
    </w:p>
    <w:p>
      <w:r>
        <w:t>The Event OS creates a signed, versioned package for a named event, role, device and validity window. Download completion and checksum are verified before deployment.</w:t>
      </w:r>
    </w:p>
    <w:p>
      <w:r>
        <w:t>Required practice. The package contains only role-necessary data and includes maps, posts, assignments, contacts and approved lookup indexes.</w:t>
      </w:r>
    </w:p>
    <w:p>
      <w:r>
        <w:t>Acceptance evidence. At expiry, reconciliation or revocation, local data becomes inaccessible and is deleted according to policy.</w:t>
      </w:r>
    </w:p>
    <w:p>
      <w:pPr>
        <w:pStyle w:val="Heading2"/>
      </w:pPr>
      <w:r>
        <w:t>Conflict resolution</w:t>
      </w:r>
    </w:p>
    <w:p>
      <w:r>
        <w:t>Every offline mutation records base version, actor, device, official/local time, operation and idempotency key. Sync never uses last-write-wins for seats, rights, incidents or critical assignments.</w:t>
      </w:r>
    </w:p>
    <w:p>
      <w:r>
        <w:t>Required practice. Conflicts preserve both versions and route to the authorised human with consequence and affected work.</w:t>
      </w:r>
    </w:p>
    <w:p>
      <w:r>
        <w:t>Acceptance evidence. The physical command decision remains live authority and is later reconciled into the Event OS audit trail.</w:t>
      </w:r>
    </w:p>
    <w:p>
      <w:pPr>
        <w:pStyle w:val="Heading2"/>
      </w:pPr>
      <w:r>
        <w:t>Device operational design</w:t>
      </w:r>
    </w:p>
    <w:p>
      <w:r>
        <w:t>The interface opens to the assigned zone, current pack state and urgent notices. Search is tolerant of spelling but displays match confidence and never merges identities automatically.</w:t>
      </w:r>
    </w:p>
    <w:p>
      <w:r>
        <w:t>Required practice. Primary actions work with one hand, large touch targets and low-light contrast. Sensitive detail is progressively disclosed.</w:t>
      </w:r>
    </w:p>
    <w:p>
      <w:r>
        <w:t>Acceptance evidence. Battery, storage, clock drift, offline and sync state remain visible without obstructing service.</w:t>
      </w:r>
    </w:p>
    <w:p>
      <w:pPr>
        <w:pStyle w:val="Heading2"/>
      </w:pPr>
      <w:r>
        <w:t>Authentication and loss</w:t>
      </w:r>
    </w:p>
    <w:p>
      <w:r>
        <w:t>Event activation requires current role and device approval. Short inactivity lock protects data without making live use impossible; emergency read-only fallback is a ratified decision, not a hidden bypass.</w:t>
      </w:r>
    </w:p>
    <w:p>
      <w:r>
        <w:t>Required practice. A lost device triggers immediate command report, local lock if possible, revocation on connectivity and privacy incident assessment.</w:t>
      </w:r>
    </w:p>
    <w:p>
      <w:r>
        <w:t>Acceptance evidence. Personal devices are excluded unless a BYOD policy, support model and data-removal evidence are ratified.</w:t>
      </w:r>
    </w:p>
    <w:p>
      <w:pPr>
        <w:pStyle w:val="Heading2"/>
      </w:pPr>
      <w:r>
        <w:t>App non-dependency</w:t>
      </w:r>
    </w:p>
    <w:p>
      <w:r>
        <w:t>Every app workflow has a paper/radio equivalent and the team rehearses switching.</w:t>
      </w:r>
    </w:p>
    <w:p>
      <w:r>
        <w:t>Required practice. No safety, evacuation, medical escalation or critical-post control waits for database sync.</w:t>
      </w:r>
    </w:p>
    <w:p>
      <w:r>
        <w:t>Acceptance evidence. App performance is judged by reduced lookup delay/error and stronger evidence, not by screen adoption.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MD-USH-APP-007  •  </w:t>
    </w:r>
    <w:r>
      <w:fldChar w:fldCharType="begin"/>
    </w:r>
    <w:r>
      <w:instrText xml:space="preserve">PAGE</w:instrText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D6670"/>
        <w:sz w:val="14"/>
      </w:rPr>
      <w:t>MAISON DOCLAR  |  PREMIUM USHERING SYSTEM  |  MD-USH-APP-007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 w:line="264" w:lineRule="auto"/>
    </w:pPr>
    <w:rPr>
      <w:rFonts w:ascii="Aptos" w:hAnsi="Aptos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 w:line="240" w:lineRule="auto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0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 w:line="240" w:lineRule="auto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79F8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40" w:lineRule="auto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202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202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180" w:line="240" w:lineRule="auto"/>
    </w:pPr>
    <w:rPr>
      <w:rFonts w:asciiTheme="majorHAnsi" w:eastAsiaTheme="majorEastAsia" w:hAnsiTheme="majorHAnsi" w:cstheme="majorBidi" w:ascii="Aptos Display" w:hAnsi="Aptos Display"/>
      <w:b w:val="0"/>
      <w:i/>
      <w:iCs/>
      <w:color w:val="5D66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