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MAISON DOCLAR</w:t>
      </w:r>
    </w:p>
    <w:p>
      <w:pPr>
        <w:pStyle w:val="Title"/>
        <w:jc w:val="center"/>
      </w:pPr>
      <w:r>
        <w:t>Service Standards, Metrics and Quality Assurance</w:t>
      </w:r>
    </w:p>
    <w:p>
      <w:pPr>
        <w:pStyle w:val="Subtitle"/>
        <w:jc w:val="center"/>
      </w:pPr>
      <w:r>
        <w:t>Targets, observation, evidence and continuous improvement without metric gaming</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232"/>
            <w:shd w:fill="18202A"/>
            <w:tcMar>
              <w:top w:w="95" w:type="dxa"/>
              <w:start w:w="120" w:type="dxa"/>
              <w:bottom w:w="95" w:type="dxa"/>
              <w:end w:w="120" w:type="dxa"/>
            </w:tcMar>
          </w:tcPr>
          <w:p>
            <w:r>
              <w:rPr>
                <w:b/>
                <w:color w:val="FFFFFF"/>
                <w:sz w:val="18"/>
              </w:rPr>
              <w:t>Control</w:t>
            </w:r>
          </w:p>
        </w:tc>
        <w:tc>
          <w:tcPr>
            <w:tcW w:type="dxa" w:w="7128"/>
            <w:shd w:fill="18202A"/>
            <w:tcMar>
              <w:top w:w="95" w:type="dxa"/>
              <w:start w:w="120" w:type="dxa"/>
              <w:bottom w:w="95" w:type="dxa"/>
              <w:end w:w="120" w:type="dxa"/>
            </w:tcMar>
          </w:tcPr>
          <w:p>
            <w:r>
              <w:rPr>
                <w:b/>
                <w:color w:val="FFFFFF"/>
                <w:sz w:val="18"/>
              </w:rPr>
              <w:t>Value</w:t>
            </w:r>
          </w:p>
        </w:tc>
      </w:tr>
      <w:tr>
        <w:tc>
          <w:tcPr>
            <w:tcW w:type="dxa" w:w="2232"/>
            <w:tcMar>
              <w:top w:w="95" w:type="dxa"/>
              <w:start w:w="120" w:type="dxa"/>
              <w:bottom w:w="95" w:type="dxa"/>
              <w:end w:w="120" w:type="dxa"/>
            </w:tcMar>
            <w:vAlign w:val="center"/>
          </w:tcPr>
          <w:p>
            <w:r>
              <w:rPr>
                <w:sz w:val="18"/>
              </w:rPr>
              <w:t>Document ID</w:t>
            </w:r>
          </w:p>
        </w:tc>
        <w:tc>
          <w:tcPr>
            <w:tcW w:type="dxa" w:w="7128"/>
            <w:tcMar>
              <w:top w:w="95" w:type="dxa"/>
              <w:start w:w="120" w:type="dxa"/>
              <w:bottom w:w="95" w:type="dxa"/>
              <w:end w:w="120" w:type="dxa"/>
            </w:tcMar>
            <w:vAlign w:val="center"/>
          </w:tcPr>
          <w:p>
            <w:r>
              <w:rPr>
                <w:sz w:val="18"/>
              </w:rPr>
              <w:t>MD-USH-QA-008</w:t>
            </w:r>
          </w:p>
        </w:tc>
      </w:tr>
      <w:tr>
        <w:tc>
          <w:tcPr>
            <w:tcW w:type="dxa" w:w="2232"/>
            <w:tcMar>
              <w:top w:w="95" w:type="dxa"/>
              <w:start w:w="120" w:type="dxa"/>
              <w:bottom w:w="95" w:type="dxa"/>
              <w:end w:w="120" w:type="dxa"/>
            </w:tcMar>
            <w:vAlign w:val="center"/>
            <w:shd w:fill="F3F0EB"/>
          </w:tcPr>
          <w:p>
            <w:r>
              <w:rPr>
                <w:sz w:val="18"/>
              </w:rPr>
              <w:t>Version</w:t>
            </w:r>
          </w:p>
        </w:tc>
        <w:tc>
          <w:tcPr>
            <w:tcW w:type="dxa" w:w="7128"/>
            <w:tcMar>
              <w:top w:w="95" w:type="dxa"/>
              <w:start w:w="120" w:type="dxa"/>
              <w:bottom w:w="95" w:type="dxa"/>
              <w:end w:w="120" w:type="dxa"/>
            </w:tcMar>
            <w:vAlign w:val="center"/>
            <w:shd w:fill="F3F0EB"/>
          </w:tcPr>
          <w:p>
            <w:r>
              <w:rPr>
                <w:sz w:val="18"/>
              </w:rPr>
              <w:t>1.0</w:t>
            </w:r>
          </w:p>
        </w:tc>
      </w:tr>
      <w:tr>
        <w:tc>
          <w:tcPr>
            <w:tcW w:type="dxa" w:w="2232"/>
            <w:tcMar>
              <w:top w:w="95" w:type="dxa"/>
              <w:start w:w="120" w:type="dxa"/>
              <w:bottom w:w="95" w:type="dxa"/>
              <w:end w:w="120" w:type="dxa"/>
            </w:tcMar>
            <w:vAlign w:val="center"/>
          </w:tcPr>
          <w:p>
            <w:r>
              <w:rPr>
                <w:sz w:val="18"/>
              </w:rPr>
              <w:t>Status</w:t>
            </w:r>
          </w:p>
        </w:tc>
        <w:tc>
          <w:tcPr>
            <w:tcW w:type="dxa" w:w="7128"/>
            <w:tcMar>
              <w:top w:w="95" w:type="dxa"/>
              <w:start w:w="120" w:type="dxa"/>
              <w:bottom w:w="95" w:type="dxa"/>
              <w:end w:w="120" w:type="dxa"/>
            </w:tcMar>
            <w:vAlign w:val="center"/>
          </w:tcPr>
          <w:p>
            <w:r>
              <w:rPr>
                <w:sz w:val="18"/>
              </w:rPr>
              <w:t>DRAFT FOR CEO RATIFICATION</w:t>
            </w:r>
          </w:p>
        </w:tc>
      </w:tr>
      <w:tr>
        <w:tc>
          <w:tcPr>
            <w:tcW w:type="dxa" w:w="2232"/>
            <w:tcMar>
              <w:top w:w="95" w:type="dxa"/>
              <w:start w:w="120" w:type="dxa"/>
              <w:bottom w:w="95" w:type="dxa"/>
              <w:end w:w="120" w:type="dxa"/>
            </w:tcMar>
            <w:vAlign w:val="center"/>
            <w:shd w:fill="F3F0EB"/>
          </w:tcPr>
          <w:p>
            <w:r>
              <w:rPr>
                <w:sz w:val="18"/>
              </w:rPr>
              <w:t>Doctrine</w:t>
            </w:r>
          </w:p>
        </w:tc>
        <w:tc>
          <w:tcPr>
            <w:tcW w:type="dxa" w:w="7128"/>
            <w:tcMar>
              <w:top w:w="95" w:type="dxa"/>
              <w:start w:w="120" w:type="dxa"/>
              <w:bottom w:w="95" w:type="dxa"/>
              <w:end w:w="120" w:type="dxa"/>
            </w:tcMar>
            <w:vAlign w:val="center"/>
            <w:shd w:fill="F3F0EB"/>
          </w:tcPr>
          <w:p>
            <w:r>
              <w:rPr>
                <w:sz w:val="18"/>
              </w:rPr>
              <w:t>Every Guest, Considered.</w:t>
            </w:r>
          </w:p>
        </w:tc>
      </w:tr>
      <w:tr>
        <w:tc>
          <w:tcPr>
            <w:tcW w:type="dxa" w:w="2232"/>
            <w:tcMar>
              <w:top w:w="95" w:type="dxa"/>
              <w:start w:w="120" w:type="dxa"/>
              <w:bottom w:w="95" w:type="dxa"/>
              <w:end w:w="120" w:type="dxa"/>
            </w:tcMar>
            <w:vAlign w:val="center"/>
          </w:tcPr>
          <w:p>
            <w:r>
              <w:rPr>
                <w:sz w:val="18"/>
              </w:rPr>
              <w:t>Prepared</w:t>
            </w:r>
          </w:p>
        </w:tc>
        <w:tc>
          <w:tcPr>
            <w:tcW w:type="dxa" w:w="7128"/>
            <w:tcMar>
              <w:top w:w="95" w:type="dxa"/>
              <w:start w:w="120" w:type="dxa"/>
              <w:bottom w:w="95" w:type="dxa"/>
              <w:end w:w="120" w:type="dxa"/>
            </w:tcMar>
            <w:vAlign w:val="center"/>
          </w:tcPr>
          <w:p>
            <w:r>
              <w:rPr>
                <w:sz w:val="18"/>
              </w:rPr>
              <w:t>04 September 2026</w:t>
            </w:r>
          </w:p>
        </w:tc>
      </w:tr>
    </w:tbl>
    <w:p/>
    <w:tbl>
      <w:tblPr>
        <w:tblW w:type="auto" w:w="0"/>
        <w:tblLook w:firstColumn="1" w:firstRow="1" w:lastColumn="0" w:lastRow="0" w:noHBand="0" w:noVBand="1" w:val="04A0"/>
      </w:tblPr>
      <w:tblGrid>
        <w:gridCol w:w="9792"/>
      </w:tblGrid>
      <w:tr>
        <w:tc>
          <w:tcPr>
            <w:tcW w:type="dxa" w:w="9792"/>
            <w:shd w:fill="F3F0EB"/>
            <w:tcMar>
              <w:top w:w="95" w:type="dxa"/>
              <w:start w:w="120" w:type="dxa"/>
              <w:bottom w:w="95" w:type="dxa"/>
              <w:end w:w="120" w:type="dxa"/>
            </w:tcMar>
          </w:tcPr>
          <w:p>
            <w:r>
              <w:rPr>
                <w:b/>
              </w:rPr>
              <w:t xml:space="preserve">Authority: </w:t>
            </w:r>
            <w:r>
              <w:t>This document becomes Maison Doclar authority only after CEO ratification. Legal, radio-spectrum, equipment type approval, medical, security, accessibility, cultural and protocol determinations remain subject to the named competent authority. Vendor specifications are claims until verified.</w:t>
            </w:r>
          </w:p>
        </w:tc>
      </w:tr>
    </w:tbl>
    <w:p/>
    <w:p>
      <w:r>
        <w:br w:type="page"/>
      </w:r>
    </w:p>
    <w:p>
      <w:pPr>
        <w:pStyle w:val="Title"/>
      </w:pPr>
      <w:r>
        <w:t>Contents</w:t>
      </w:r>
    </w:p>
    <w:p>
      <w:r>
        <w:t>1. Service clock</w:t>
      </w:r>
    </w:p>
    <w:p>
      <w:r>
        <w:t>2. Proposed target framework</w:t>
      </w:r>
    </w:p>
    <w:p>
      <w:r>
        <w:t>3. Core metrics</w:t>
      </w:r>
    </w:p>
    <w:p>
      <w:r>
        <w:t>4. Quality observation</w:t>
      </w:r>
    </w:p>
    <w:p>
      <w:r>
        <w:t>5. Review cadence</w:t>
      </w:r>
    </w:p>
    <w:p/>
    <w:p>
      <w:pPr>
        <w:pStyle w:val="Heading1"/>
      </w:pPr>
      <w:r>
        <w:t>1. Service clock</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728"/>
            <w:shd w:fill="18202A"/>
            <w:tcMar>
              <w:top w:w="95" w:type="dxa"/>
              <w:start w:w="120" w:type="dxa"/>
              <w:bottom w:w="95" w:type="dxa"/>
              <w:end w:w="120" w:type="dxa"/>
            </w:tcMar>
          </w:tcPr>
          <w:p>
            <w:r>
              <w:rPr>
                <w:b/>
                <w:color w:val="FFFFFF"/>
                <w:sz w:val="15"/>
              </w:rPr>
              <w:t>Milestone</w:t>
            </w:r>
          </w:p>
        </w:tc>
        <w:tc>
          <w:tcPr>
            <w:tcW w:type="dxa" w:w="4968"/>
            <w:shd w:fill="18202A"/>
            <w:tcMar>
              <w:top w:w="95" w:type="dxa"/>
              <w:start w:w="120" w:type="dxa"/>
              <w:bottom w:w="95" w:type="dxa"/>
              <w:end w:w="120" w:type="dxa"/>
            </w:tcMar>
          </w:tcPr>
          <w:p>
            <w:r>
              <w:rPr>
                <w:b/>
                <w:color w:val="FFFFFF"/>
                <w:sz w:val="15"/>
              </w:rPr>
              <w:t>Definition</w:t>
            </w:r>
          </w:p>
        </w:tc>
        <w:tc>
          <w:tcPr>
            <w:tcW w:type="dxa" w:w="2664"/>
            <w:shd w:fill="18202A"/>
            <w:tcMar>
              <w:top w:w="95" w:type="dxa"/>
              <w:start w:w="120" w:type="dxa"/>
              <w:bottom w:w="95" w:type="dxa"/>
              <w:end w:w="120" w:type="dxa"/>
            </w:tcMar>
          </w:tcPr>
          <w:p>
            <w:r>
              <w:rPr>
                <w:b/>
                <w:color w:val="FFFFFF"/>
                <w:sz w:val="15"/>
              </w:rPr>
              <w:t>Clock rule</w:t>
            </w:r>
          </w:p>
        </w:tc>
      </w:tr>
      <w:tr>
        <w:tc>
          <w:tcPr>
            <w:tcW w:type="dxa" w:w="1728"/>
            <w:tcMar>
              <w:top w:w="95" w:type="dxa"/>
              <w:start w:w="120" w:type="dxa"/>
              <w:bottom w:w="95" w:type="dxa"/>
              <w:end w:w="120" w:type="dxa"/>
            </w:tcMar>
            <w:vAlign w:val="center"/>
          </w:tcPr>
          <w:p>
            <w:r>
              <w:rPr>
                <w:sz w:val="15"/>
              </w:rPr>
              <w:t>Signal received</w:t>
            </w:r>
          </w:p>
        </w:tc>
        <w:tc>
          <w:tcPr>
            <w:tcW w:type="dxa" w:w="4968"/>
            <w:tcMar>
              <w:top w:w="95" w:type="dxa"/>
              <w:start w:w="120" w:type="dxa"/>
              <w:bottom w:w="95" w:type="dxa"/>
              <w:end w:w="120" w:type="dxa"/>
            </w:tcMar>
            <w:vAlign w:val="center"/>
          </w:tcPr>
          <w:p>
            <w:r>
              <w:rPr>
                <w:sz w:val="15"/>
              </w:rPr>
              <w:t>Call/pager/radio/face-to-face request enters system</w:t>
            </w:r>
          </w:p>
        </w:tc>
        <w:tc>
          <w:tcPr>
            <w:tcW w:type="dxa" w:w="2664"/>
            <w:tcMar>
              <w:top w:w="95" w:type="dxa"/>
              <w:start w:w="120" w:type="dxa"/>
              <w:bottom w:w="95" w:type="dxa"/>
              <w:end w:w="120" w:type="dxa"/>
            </w:tcMar>
            <w:vAlign w:val="center"/>
          </w:tcPr>
          <w:p>
            <w:r>
              <w:rPr>
                <w:sz w:val="15"/>
              </w:rPr>
              <w:t>T0</w:t>
            </w:r>
          </w:p>
        </w:tc>
      </w:tr>
      <w:tr>
        <w:tc>
          <w:tcPr>
            <w:tcW w:type="dxa" w:w="1728"/>
            <w:tcMar>
              <w:top w:w="95" w:type="dxa"/>
              <w:start w:w="120" w:type="dxa"/>
              <w:bottom w:w="95" w:type="dxa"/>
              <w:end w:w="120" w:type="dxa"/>
            </w:tcMar>
            <w:vAlign w:val="center"/>
            <w:shd w:fill="F3F0EB"/>
          </w:tcPr>
          <w:p>
            <w:r>
              <w:rPr>
                <w:sz w:val="15"/>
              </w:rPr>
              <w:t>Acknowledged</w:t>
            </w:r>
          </w:p>
        </w:tc>
        <w:tc>
          <w:tcPr>
            <w:tcW w:type="dxa" w:w="4968"/>
            <w:tcMar>
              <w:top w:w="95" w:type="dxa"/>
              <w:start w:w="120" w:type="dxa"/>
              <w:bottom w:w="95" w:type="dxa"/>
              <w:end w:w="120" w:type="dxa"/>
            </w:tcMar>
            <w:vAlign w:val="center"/>
            <w:shd w:fill="F3F0EB"/>
          </w:tcPr>
          <w:p>
            <w:r>
              <w:rPr>
                <w:sz w:val="15"/>
              </w:rPr>
              <w:t>Guest/staff receives confirmation of ownership</w:t>
            </w:r>
          </w:p>
        </w:tc>
        <w:tc>
          <w:tcPr>
            <w:tcW w:type="dxa" w:w="2664"/>
            <w:tcMar>
              <w:top w:w="95" w:type="dxa"/>
              <w:start w:w="120" w:type="dxa"/>
              <w:bottom w:w="95" w:type="dxa"/>
              <w:end w:w="120" w:type="dxa"/>
            </w:tcMar>
            <w:vAlign w:val="center"/>
            <w:shd w:fill="F3F0EB"/>
          </w:tcPr>
          <w:p>
            <w:r>
              <w:rPr>
                <w:sz w:val="15"/>
              </w:rPr>
              <w:t>Separate from arrival</w:t>
            </w:r>
          </w:p>
        </w:tc>
      </w:tr>
      <w:tr>
        <w:tc>
          <w:tcPr>
            <w:tcW w:type="dxa" w:w="1728"/>
            <w:tcMar>
              <w:top w:w="95" w:type="dxa"/>
              <w:start w:w="120" w:type="dxa"/>
              <w:bottom w:w="95" w:type="dxa"/>
              <w:end w:w="120" w:type="dxa"/>
            </w:tcMar>
            <w:vAlign w:val="center"/>
          </w:tcPr>
          <w:p>
            <w:r>
              <w:rPr>
                <w:sz w:val="15"/>
              </w:rPr>
              <w:t>First contact</w:t>
            </w:r>
          </w:p>
        </w:tc>
        <w:tc>
          <w:tcPr>
            <w:tcW w:type="dxa" w:w="4968"/>
            <w:tcMar>
              <w:top w:w="95" w:type="dxa"/>
              <w:start w:w="120" w:type="dxa"/>
              <w:bottom w:w="95" w:type="dxa"/>
              <w:end w:w="120" w:type="dxa"/>
            </w:tcMar>
            <w:vAlign w:val="center"/>
          </w:tcPr>
          <w:p>
            <w:r>
              <w:rPr>
                <w:sz w:val="15"/>
              </w:rPr>
              <w:t>A trained person reaches or directly engages guest</w:t>
            </w:r>
          </w:p>
        </w:tc>
        <w:tc>
          <w:tcPr>
            <w:tcW w:type="dxa" w:w="2664"/>
            <w:tcMar>
              <w:top w:w="95" w:type="dxa"/>
              <w:start w:w="120" w:type="dxa"/>
              <w:bottom w:w="95" w:type="dxa"/>
              <w:end w:w="120" w:type="dxa"/>
            </w:tcMar>
            <w:vAlign w:val="center"/>
          </w:tcPr>
          <w:p>
            <w:r>
              <w:rPr>
                <w:sz w:val="15"/>
              </w:rPr>
              <w:t>Not necessarily correct specialist</w:t>
            </w:r>
          </w:p>
        </w:tc>
      </w:tr>
      <w:tr>
        <w:tc>
          <w:tcPr>
            <w:tcW w:type="dxa" w:w="1728"/>
            <w:tcMar>
              <w:top w:w="95" w:type="dxa"/>
              <w:start w:w="120" w:type="dxa"/>
              <w:bottom w:w="95" w:type="dxa"/>
              <w:end w:w="120" w:type="dxa"/>
            </w:tcMar>
            <w:vAlign w:val="center"/>
            <w:shd w:fill="F3F0EB"/>
          </w:tcPr>
          <w:p>
            <w:r>
              <w:rPr>
                <w:sz w:val="15"/>
              </w:rPr>
              <w:t>Correct owner</w:t>
            </w:r>
          </w:p>
        </w:tc>
        <w:tc>
          <w:tcPr>
            <w:tcW w:type="dxa" w:w="4968"/>
            <w:tcMar>
              <w:top w:w="95" w:type="dxa"/>
              <w:start w:w="120" w:type="dxa"/>
              <w:bottom w:w="95" w:type="dxa"/>
              <w:end w:w="120" w:type="dxa"/>
            </w:tcMar>
            <w:vAlign w:val="center"/>
            <w:shd w:fill="F3F0EB"/>
          </w:tcPr>
          <w:p>
            <w:r>
              <w:rPr>
                <w:sz w:val="15"/>
              </w:rPr>
              <w:t>Responsible role accepts handoff</w:t>
            </w:r>
          </w:p>
        </w:tc>
        <w:tc>
          <w:tcPr>
            <w:tcW w:type="dxa" w:w="2664"/>
            <w:tcMar>
              <w:top w:w="95" w:type="dxa"/>
              <w:start w:w="120" w:type="dxa"/>
              <w:bottom w:w="95" w:type="dxa"/>
              <w:end w:w="120" w:type="dxa"/>
            </w:tcMar>
            <w:vAlign w:val="center"/>
            <w:shd w:fill="F3F0EB"/>
          </w:tcPr>
          <w:p>
            <w:r>
              <w:rPr>
                <w:sz w:val="15"/>
              </w:rPr>
              <w:t>Handoff acknowledged</w:t>
            </w:r>
          </w:p>
        </w:tc>
      </w:tr>
      <w:tr>
        <w:tc>
          <w:tcPr>
            <w:tcW w:type="dxa" w:w="1728"/>
            <w:tcMar>
              <w:top w:w="95" w:type="dxa"/>
              <w:start w:w="120" w:type="dxa"/>
              <w:bottom w:w="95" w:type="dxa"/>
              <w:end w:w="120" w:type="dxa"/>
            </w:tcMar>
            <w:vAlign w:val="center"/>
          </w:tcPr>
          <w:p>
            <w:r>
              <w:rPr>
                <w:sz w:val="15"/>
              </w:rPr>
              <w:t>Update</w:t>
            </w:r>
          </w:p>
        </w:tc>
        <w:tc>
          <w:tcPr>
            <w:tcW w:type="dxa" w:w="4968"/>
            <w:tcMar>
              <w:top w:w="95" w:type="dxa"/>
              <w:start w:w="120" w:type="dxa"/>
              <w:bottom w:w="95" w:type="dxa"/>
              <w:end w:w="120" w:type="dxa"/>
            </w:tcMar>
            <w:vAlign w:val="center"/>
          </w:tcPr>
          <w:p>
            <w:r>
              <w:rPr>
                <w:sz w:val="15"/>
              </w:rPr>
              <w:t>Guest receives progress while unresolved</w:t>
            </w:r>
          </w:p>
        </w:tc>
        <w:tc>
          <w:tcPr>
            <w:tcW w:type="dxa" w:w="2664"/>
            <w:tcMar>
              <w:top w:w="95" w:type="dxa"/>
              <w:start w:w="120" w:type="dxa"/>
              <w:bottom w:w="95" w:type="dxa"/>
              <w:end w:w="120" w:type="dxa"/>
            </w:tcMar>
            <w:vAlign w:val="center"/>
          </w:tcPr>
          <w:p>
            <w:r>
              <w:rPr>
                <w:sz w:val="15"/>
              </w:rPr>
              <w:t>Cadence by severity</w:t>
            </w:r>
          </w:p>
        </w:tc>
      </w:tr>
      <w:tr>
        <w:tc>
          <w:tcPr>
            <w:tcW w:type="dxa" w:w="1728"/>
            <w:tcMar>
              <w:top w:w="95" w:type="dxa"/>
              <w:start w:w="120" w:type="dxa"/>
              <w:bottom w:w="95" w:type="dxa"/>
              <w:end w:w="120" w:type="dxa"/>
            </w:tcMar>
            <w:vAlign w:val="center"/>
            <w:shd w:fill="F3F0EB"/>
          </w:tcPr>
          <w:p>
            <w:r>
              <w:rPr>
                <w:sz w:val="15"/>
              </w:rPr>
              <w:t>Resolved</w:t>
            </w:r>
          </w:p>
        </w:tc>
        <w:tc>
          <w:tcPr>
            <w:tcW w:type="dxa" w:w="4968"/>
            <w:tcMar>
              <w:top w:w="95" w:type="dxa"/>
              <w:start w:w="120" w:type="dxa"/>
              <w:bottom w:w="95" w:type="dxa"/>
              <w:end w:w="120" w:type="dxa"/>
            </w:tcMar>
            <w:vAlign w:val="center"/>
            <w:shd w:fill="F3F0EB"/>
          </w:tcPr>
          <w:p>
            <w:r>
              <w:rPr>
                <w:sz w:val="15"/>
              </w:rPr>
              <w:t>Requested outcome delivered or authorised alternative accepted</w:t>
            </w:r>
          </w:p>
        </w:tc>
        <w:tc>
          <w:tcPr>
            <w:tcW w:type="dxa" w:w="2664"/>
            <w:tcMar>
              <w:top w:w="95" w:type="dxa"/>
              <w:start w:w="120" w:type="dxa"/>
              <w:bottom w:w="95" w:type="dxa"/>
              <w:end w:w="120" w:type="dxa"/>
            </w:tcMar>
            <w:vAlign w:val="center"/>
            <w:shd w:fill="F3F0EB"/>
          </w:tcPr>
          <w:p>
            <w:r>
              <w:rPr>
                <w:sz w:val="15"/>
              </w:rPr>
              <w:t>Not supervisor’s assumption</w:t>
            </w:r>
          </w:p>
        </w:tc>
      </w:tr>
      <w:tr>
        <w:tc>
          <w:tcPr>
            <w:tcW w:type="dxa" w:w="1728"/>
            <w:tcMar>
              <w:top w:w="95" w:type="dxa"/>
              <w:start w:w="120" w:type="dxa"/>
              <w:bottom w:w="95" w:type="dxa"/>
              <w:end w:w="120" w:type="dxa"/>
            </w:tcMar>
            <w:vAlign w:val="center"/>
          </w:tcPr>
          <w:p>
            <w:r>
              <w:rPr>
                <w:sz w:val="15"/>
              </w:rPr>
              <w:t>Closed</w:t>
            </w:r>
          </w:p>
        </w:tc>
        <w:tc>
          <w:tcPr>
            <w:tcW w:type="dxa" w:w="4968"/>
            <w:tcMar>
              <w:top w:w="95" w:type="dxa"/>
              <w:start w:w="120" w:type="dxa"/>
              <w:bottom w:w="95" w:type="dxa"/>
              <w:end w:w="120" w:type="dxa"/>
            </w:tcMar>
            <w:vAlign w:val="center"/>
          </w:tcPr>
          <w:p>
            <w:r>
              <w:rPr>
                <w:sz w:val="15"/>
              </w:rPr>
              <w:t>Resolution confirmed and record completed</w:t>
            </w:r>
          </w:p>
        </w:tc>
        <w:tc>
          <w:tcPr>
            <w:tcW w:type="dxa" w:w="2664"/>
            <w:tcMar>
              <w:top w:w="95" w:type="dxa"/>
              <w:start w:w="120" w:type="dxa"/>
              <w:bottom w:w="95" w:type="dxa"/>
              <w:end w:w="120" w:type="dxa"/>
            </w:tcMar>
            <w:vAlign w:val="center"/>
          </w:tcPr>
          <w:p>
            <w:r>
              <w:rPr>
                <w:sz w:val="15"/>
              </w:rPr>
              <w:t>Never before resolution/handoff acceptance</w:t>
            </w:r>
          </w:p>
        </w:tc>
      </w:tr>
    </w:tbl>
    <w:p/>
    <w:p>
      <w:pPr>
        <w:pStyle w:val="Heading1"/>
      </w:pPr>
      <w:r>
        <w:t>2. Proposed target framework</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088"/>
            <w:shd w:fill="18202A"/>
            <w:tcMar>
              <w:top w:w="95" w:type="dxa"/>
              <w:start w:w="120" w:type="dxa"/>
              <w:bottom w:w="95" w:type="dxa"/>
              <w:end w:w="120" w:type="dxa"/>
            </w:tcMar>
          </w:tcPr>
          <w:p>
            <w:r>
              <w:rPr>
                <w:b/>
                <w:color w:val="FFFFFF"/>
                <w:sz w:val="15"/>
              </w:rPr>
              <w:t>Class</w:t>
            </w:r>
          </w:p>
        </w:tc>
        <w:tc>
          <w:tcPr>
            <w:tcW w:type="dxa" w:w="1872"/>
            <w:shd w:fill="18202A"/>
            <w:tcMar>
              <w:top w:w="95" w:type="dxa"/>
              <w:start w:w="120" w:type="dxa"/>
              <w:bottom w:w="95" w:type="dxa"/>
              <w:end w:w="120" w:type="dxa"/>
            </w:tcMar>
          </w:tcPr>
          <w:p>
            <w:r>
              <w:rPr>
                <w:b/>
                <w:color w:val="FFFFFF"/>
                <w:sz w:val="15"/>
              </w:rPr>
              <w:t>Acknowledge</w:t>
            </w:r>
          </w:p>
        </w:tc>
        <w:tc>
          <w:tcPr>
            <w:tcW w:type="dxa" w:w="3240"/>
            <w:shd w:fill="18202A"/>
            <w:tcMar>
              <w:top w:w="95" w:type="dxa"/>
              <w:start w:w="120" w:type="dxa"/>
              <w:bottom w:w="95" w:type="dxa"/>
              <w:end w:w="120" w:type="dxa"/>
            </w:tcMar>
          </w:tcPr>
          <w:p>
            <w:r>
              <w:rPr>
                <w:b/>
                <w:color w:val="FFFFFF"/>
                <w:sz w:val="15"/>
              </w:rPr>
              <w:t>Correct-owner response</w:t>
            </w:r>
          </w:p>
        </w:tc>
        <w:tc>
          <w:tcPr>
            <w:tcW w:type="dxa" w:w="2160"/>
            <w:shd w:fill="18202A"/>
            <w:tcMar>
              <w:top w:w="95" w:type="dxa"/>
              <w:start w:w="120" w:type="dxa"/>
              <w:bottom w:w="95" w:type="dxa"/>
              <w:end w:w="120" w:type="dxa"/>
            </w:tcMar>
          </w:tcPr>
          <w:p>
            <w:r>
              <w:rPr>
                <w:b/>
                <w:color w:val="FFFFFF"/>
                <w:sz w:val="15"/>
              </w:rPr>
              <w:t>Update</w:t>
            </w:r>
          </w:p>
        </w:tc>
      </w:tr>
      <w:tr>
        <w:tc>
          <w:tcPr>
            <w:tcW w:type="dxa" w:w="2088"/>
            <w:tcMar>
              <w:top w:w="95" w:type="dxa"/>
              <w:start w:w="120" w:type="dxa"/>
              <w:bottom w:w="95" w:type="dxa"/>
              <w:end w:w="120" w:type="dxa"/>
            </w:tcMar>
            <w:vAlign w:val="center"/>
          </w:tcPr>
          <w:p>
            <w:r>
              <w:rPr>
                <w:sz w:val="15"/>
              </w:rPr>
              <w:t>Emergency/security</w:t>
            </w:r>
          </w:p>
        </w:tc>
        <w:tc>
          <w:tcPr>
            <w:tcW w:type="dxa" w:w="1872"/>
            <w:tcMar>
              <w:top w:w="95" w:type="dxa"/>
              <w:start w:w="120" w:type="dxa"/>
              <w:bottom w:w="95" w:type="dxa"/>
              <w:end w:w="120" w:type="dxa"/>
            </w:tcMar>
            <w:vAlign w:val="center"/>
          </w:tcPr>
          <w:p>
            <w:r>
              <w:rPr>
                <w:sz w:val="15"/>
              </w:rPr>
              <w:t>Immediate</w:t>
            </w:r>
          </w:p>
        </w:tc>
        <w:tc>
          <w:tcPr>
            <w:tcW w:type="dxa" w:w="3240"/>
            <w:tcMar>
              <w:top w:w="95" w:type="dxa"/>
              <w:start w:w="120" w:type="dxa"/>
              <w:bottom w:w="95" w:type="dxa"/>
              <w:end w:w="120" w:type="dxa"/>
            </w:tcMar>
            <w:vAlign w:val="center"/>
          </w:tcPr>
          <w:p>
            <w:r>
              <w:rPr>
                <w:sz w:val="15"/>
              </w:rPr>
              <w:t>Immediate specialist dispatch</w:t>
            </w:r>
          </w:p>
        </w:tc>
        <w:tc>
          <w:tcPr>
            <w:tcW w:type="dxa" w:w="2160"/>
            <w:tcMar>
              <w:top w:w="95" w:type="dxa"/>
              <w:start w:w="120" w:type="dxa"/>
              <w:bottom w:w="95" w:type="dxa"/>
              <w:end w:w="120" w:type="dxa"/>
            </w:tcMar>
            <w:vAlign w:val="center"/>
          </w:tcPr>
          <w:p>
            <w:r>
              <w:rPr>
                <w:sz w:val="15"/>
              </w:rPr>
              <w:t>Continuous as safe</w:t>
            </w:r>
          </w:p>
        </w:tc>
      </w:tr>
      <w:tr>
        <w:tc>
          <w:tcPr>
            <w:tcW w:type="dxa" w:w="2088"/>
            <w:tcMar>
              <w:top w:w="95" w:type="dxa"/>
              <w:start w:w="120" w:type="dxa"/>
              <w:bottom w:w="95" w:type="dxa"/>
              <w:end w:w="120" w:type="dxa"/>
            </w:tcMar>
            <w:vAlign w:val="center"/>
            <w:shd w:fill="F3F0EB"/>
          </w:tcPr>
          <w:p>
            <w:r>
              <w:rPr>
                <w:sz w:val="15"/>
              </w:rPr>
              <w:t>Accessibility/vulnerable guest</w:t>
            </w:r>
          </w:p>
        </w:tc>
        <w:tc>
          <w:tcPr>
            <w:tcW w:type="dxa" w:w="1872"/>
            <w:tcMar>
              <w:top w:w="95" w:type="dxa"/>
              <w:start w:w="120" w:type="dxa"/>
              <w:bottom w:w="95" w:type="dxa"/>
              <w:end w:w="120" w:type="dxa"/>
            </w:tcMar>
            <w:vAlign w:val="center"/>
            <w:shd w:fill="F3F0EB"/>
          </w:tcPr>
          <w:p>
            <w:r>
              <w:rPr>
                <w:sz w:val="15"/>
              </w:rPr>
              <w:t>≤15 s</w:t>
            </w:r>
          </w:p>
        </w:tc>
        <w:tc>
          <w:tcPr>
            <w:tcW w:type="dxa" w:w="3240"/>
            <w:tcMar>
              <w:top w:w="95" w:type="dxa"/>
              <w:start w:w="120" w:type="dxa"/>
              <w:bottom w:w="95" w:type="dxa"/>
              <w:end w:w="120" w:type="dxa"/>
            </w:tcMar>
            <w:vAlign w:val="center"/>
            <w:shd w:fill="F3F0EB"/>
          </w:tcPr>
          <w:p>
            <w:r>
              <w:rPr>
                <w:sz w:val="15"/>
              </w:rPr>
              <w:t>≤60 s or event-validated</w:t>
            </w:r>
          </w:p>
        </w:tc>
        <w:tc>
          <w:tcPr>
            <w:tcW w:type="dxa" w:w="2160"/>
            <w:tcMar>
              <w:top w:w="95" w:type="dxa"/>
              <w:start w:w="120" w:type="dxa"/>
              <w:bottom w:w="95" w:type="dxa"/>
              <w:end w:w="120" w:type="dxa"/>
            </w:tcMar>
            <w:vAlign w:val="center"/>
            <w:shd w:fill="F3F0EB"/>
          </w:tcPr>
          <w:p>
            <w:r>
              <w:rPr>
                <w:sz w:val="15"/>
              </w:rPr>
              <w:t>Every 2 min</w:t>
            </w:r>
          </w:p>
        </w:tc>
      </w:tr>
      <w:tr>
        <w:tc>
          <w:tcPr>
            <w:tcW w:type="dxa" w:w="2088"/>
            <w:tcMar>
              <w:top w:w="95" w:type="dxa"/>
              <w:start w:w="120" w:type="dxa"/>
              <w:bottom w:w="95" w:type="dxa"/>
              <w:end w:w="120" w:type="dxa"/>
            </w:tcMar>
            <w:vAlign w:val="center"/>
          </w:tcPr>
          <w:p>
            <w:r>
              <w:rPr>
                <w:sz w:val="15"/>
              </w:rPr>
              <w:t>Protocol/VIP conflict</w:t>
            </w:r>
          </w:p>
        </w:tc>
        <w:tc>
          <w:tcPr>
            <w:tcW w:type="dxa" w:w="1872"/>
            <w:tcMar>
              <w:top w:w="95" w:type="dxa"/>
              <w:start w:w="120" w:type="dxa"/>
              <w:bottom w:w="95" w:type="dxa"/>
              <w:end w:w="120" w:type="dxa"/>
            </w:tcMar>
            <w:vAlign w:val="center"/>
          </w:tcPr>
          <w:p>
            <w:r>
              <w:rPr>
                <w:sz w:val="15"/>
              </w:rPr>
              <w:t>≤15 s</w:t>
            </w:r>
          </w:p>
        </w:tc>
        <w:tc>
          <w:tcPr>
            <w:tcW w:type="dxa" w:w="3240"/>
            <w:tcMar>
              <w:top w:w="95" w:type="dxa"/>
              <w:start w:w="120" w:type="dxa"/>
              <w:bottom w:w="95" w:type="dxa"/>
              <w:end w:w="120" w:type="dxa"/>
            </w:tcMar>
            <w:vAlign w:val="center"/>
          </w:tcPr>
          <w:p>
            <w:r>
              <w:rPr>
                <w:sz w:val="15"/>
              </w:rPr>
              <w:t>≤60 s</w:t>
            </w:r>
          </w:p>
        </w:tc>
        <w:tc>
          <w:tcPr>
            <w:tcW w:type="dxa" w:w="2160"/>
            <w:tcMar>
              <w:top w:w="95" w:type="dxa"/>
              <w:start w:w="120" w:type="dxa"/>
              <w:bottom w:w="95" w:type="dxa"/>
              <w:end w:w="120" w:type="dxa"/>
            </w:tcMar>
            <w:vAlign w:val="center"/>
          </w:tcPr>
          <w:p>
            <w:r>
              <w:rPr>
                <w:sz w:val="15"/>
              </w:rPr>
              <w:t>Every 2 min</w:t>
            </w:r>
          </w:p>
        </w:tc>
      </w:tr>
      <w:tr>
        <w:tc>
          <w:tcPr>
            <w:tcW w:type="dxa" w:w="2088"/>
            <w:tcMar>
              <w:top w:w="95" w:type="dxa"/>
              <w:start w:w="120" w:type="dxa"/>
              <w:bottom w:w="95" w:type="dxa"/>
              <w:end w:w="120" w:type="dxa"/>
            </w:tcMar>
            <w:vAlign w:val="center"/>
            <w:shd w:fill="F3F0EB"/>
          </w:tcPr>
          <w:p>
            <w:r>
              <w:rPr>
                <w:sz w:val="15"/>
              </w:rPr>
              <w:t>Seat/credential dispute</w:t>
            </w:r>
          </w:p>
        </w:tc>
        <w:tc>
          <w:tcPr>
            <w:tcW w:type="dxa" w:w="1872"/>
            <w:tcMar>
              <w:top w:w="95" w:type="dxa"/>
              <w:start w:w="120" w:type="dxa"/>
              <w:bottom w:w="95" w:type="dxa"/>
              <w:end w:w="120" w:type="dxa"/>
            </w:tcMar>
            <w:vAlign w:val="center"/>
            <w:shd w:fill="F3F0EB"/>
          </w:tcPr>
          <w:p>
            <w:r>
              <w:rPr>
                <w:sz w:val="15"/>
              </w:rPr>
              <w:t>≤20 s</w:t>
            </w:r>
          </w:p>
        </w:tc>
        <w:tc>
          <w:tcPr>
            <w:tcW w:type="dxa" w:w="3240"/>
            <w:tcMar>
              <w:top w:w="95" w:type="dxa"/>
              <w:start w:w="120" w:type="dxa"/>
              <w:bottom w:w="95" w:type="dxa"/>
              <w:end w:w="120" w:type="dxa"/>
            </w:tcMar>
            <w:vAlign w:val="center"/>
            <w:shd w:fill="F3F0EB"/>
          </w:tcPr>
          <w:p>
            <w:r>
              <w:rPr>
                <w:sz w:val="15"/>
              </w:rPr>
              <w:t>≤2 min</w:t>
            </w:r>
          </w:p>
        </w:tc>
        <w:tc>
          <w:tcPr>
            <w:tcW w:type="dxa" w:w="2160"/>
            <w:tcMar>
              <w:top w:w="95" w:type="dxa"/>
              <w:start w:w="120" w:type="dxa"/>
              <w:bottom w:w="95" w:type="dxa"/>
              <w:end w:w="120" w:type="dxa"/>
            </w:tcMar>
            <w:vAlign w:val="center"/>
            <w:shd w:fill="F3F0EB"/>
          </w:tcPr>
          <w:p>
            <w:r>
              <w:rPr>
                <w:sz w:val="15"/>
              </w:rPr>
              <w:t>Every 2 min</w:t>
            </w:r>
          </w:p>
        </w:tc>
      </w:tr>
      <w:tr>
        <w:tc>
          <w:tcPr>
            <w:tcW w:type="dxa" w:w="2088"/>
            <w:tcMar>
              <w:top w:w="95" w:type="dxa"/>
              <w:start w:w="120" w:type="dxa"/>
              <w:bottom w:w="95" w:type="dxa"/>
              <w:end w:w="120" w:type="dxa"/>
            </w:tcMar>
            <w:vAlign w:val="center"/>
          </w:tcPr>
          <w:p>
            <w:r>
              <w:rPr>
                <w:sz w:val="15"/>
              </w:rPr>
              <w:t>General assistance</w:t>
            </w:r>
          </w:p>
        </w:tc>
        <w:tc>
          <w:tcPr>
            <w:tcW w:type="dxa" w:w="1872"/>
            <w:tcMar>
              <w:top w:w="95" w:type="dxa"/>
              <w:start w:w="120" w:type="dxa"/>
              <w:bottom w:w="95" w:type="dxa"/>
              <w:end w:w="120" w:type="dxa"/>
            </w:tcMar>
            <w:vAlign w:val="center"/>
          </w:tcPr>
          <w:p>
            <w:r>
              <w:rPr>
                <w:sz w:val="15"/>
              </w:rPr>
              <w:t>≤30 s</w:t>
            </w:r>
          </w:p>
        </w:tc>
        <w:tc>
          <w:tcPr>
            <w:tcW w:type="dxa" w:w="3240"/>
            <w:tcMar>
              <w:top w:w="95" w:type="dxa"/>
              <w:start w:w="120" w:type="dxa"/>
              <w:bottom w:w="95" w:type="dxa"/>
              <w:end w:w="120" w:type="dxa"/>
            </w:tcMar>
            <w:vAlign w:val="center"/>
          </w:tcPr>
          <w:p>
            <w:r>
              <w:rPr>
                <w:sz w:val="15"/>
              </w:rPr>
              <w:t>Event-validated by zone</w:t>
            </w:r>
          </w:p>
        </w:tc>
        <w:tc>
          <w:tcPr>
            <w:tcW w:type="dxa" w:w="2160"/>
            <w:tcMar>
              <w:top w:w="95" w:type="dxa"/>
              <w:start w:w="120" w:type="dxa"/>
              <w:bottom w:w="95" w:type="dxa"/>
              <w:end w:w="120" w:type="dxa"/>
            </w:tcMar>
            <w:vAlign w:val="center"/>
          </w:tcPr>
          <w:p>
            <w:r>
              <w:rPr>
                <w:sz w:val="15"/>
              </w:rPr>
              <w:t>Every 3 min</w:t>
            </w:r>
          </w:p>
        </w:tc>
      </w:tr>
      <w:tr>
        <w:tc>
          <w:tcPr>
            <w:tcW w:type="dxa" w:w="2088"/>
            <w:tcMar>
              <w:top w:w="95" w:type="dxa"/>
              <w:start w:w="120" w:type="dxa"/>
              <w:bottom w:w="95" w:type="dxa"/>
              <w:end w:w="120" w:type="dxa"/>
            </w:tcMar>
            <w:vAlign w:val="center"/>
            <w:shd w:fill="F3F0EB"/>
          </w:tcPr>
          <w:p>
            <w:r>
              <w:rPr>
                <w:sz w:val="15"/>
              </w:rPr>
              <w:t>Hospitality/technical handoff</w:t>
            </w:r>
          </w:p>
        </w:tc>
        <w:tc>
          <w:tcPr>
            <w:tcW w:type="dxa" w:w="1872"/>
            <w:tcMar>
              <w:top w:w="95" w:type="dxa"/>
              <w:start w:w="120" w:type="dxa"/>
              <w:bottom w:w="95" w:type="dxa"/>
              <w:end w:w="120" w:type="dxa"/>
            </w:tcMar>
            <w:vAlign w:val="center"/>
            <w:shd w:fill="F3F0EB"/>
          </w:tcPr>
          <w:p>
            <w:r>
              <w:rPr>
                <w:sz w:val="15"/>
              </w:rPr>
              <w:t>≤30 s</w:t>
            </w:r>
          </w:p>
        </w:tc>
        <w:tc>
          <w:tcPr>
            <w:tcW w:type="dxa" w:w="3240"/>
            <w:tcMar>
              <w:top w:w="95" w:type="dxa"/>
              <w:start w:w="120" w:type="dxa"/>
              <w:bottom w:w="95" w:type="dxa"/>
              <w:end w:w="120" w:type="dxa"/>
            </w:tcMar>
            <w:vAlign w:val="center"/>
            <w:shd w:fill="F3F0EB"/>
          </w:tcPr>
          <w:p>
            <w:r>
              <w:rPr>
                <w:sz w:val="15"/>
              </w:rPr>
              <w:t>Service SLA</w:t>
            </w:r>
          </w:p>
        </w:tc>
        <w:tc>
          <w:tcPr>
            <w:tcW w:type="dxa" w:w="2160"/>
            <w:tcMar>
              <w:top w:w="95" w:type="dxa"/>
              <w:start w:w="120" w:type="dxa"/>
              <w:bottom w:w="95" w:type="dxa"/>
              <w:end w:w="120" w:type="dxa"/>
            </w:tcMar>
            <w:vAlign w:val="center"/>
            <w:shd w:fill="F3F0EB"/>
          </w:tcPr>
          <w:p>
            <w:r>
              <w:rPr>
                <w:sz w:val="15"/>
              </w:rPr>
              <w:t>Every 3 min</w:t>
            </w:r>
          </w:p>
        </w:tc>
      </w:tr>
    </w:tbl>
    <w:p/>
    <w:p>
      <w:r>
        <w:t>Targets are proposed starting standards, not proven guarantees. Pilot evidence must validate them by event type, geometry and staffing. The guest’s perceived ownership and update matter more than an artificial resolution promise.</w:t>
      </w:r>
    </w:p>
    <w:p>
      <w:pPr>
        <w:pStyle w:val="Heading1"/>
      </w:pPr>
      <w:r>
        <w:t>3. Core metrics</w:t>
      </w:r>
    </w:p>
    <w:p>
      <w:pPr>
        <w:pStyle w:val="ListBullet"/>
      </w:pPr>
      <w:r>
        <w:t>Critical-post coverage percentage and uncovered minutes.</w:t>
      </w:r>
    </w:p>
    <w:p>
      <w:pPr>
        <w:pStyle w:val="ListBullet"/>
      </w:pPr>
      <w:r>
        <w:t>Arrival throughput, queue length and exception rate by interval.</w:t>
      </w:r>
    </w:p>
    <w:p>
      <w:pPr>
        <w:pStyle w:val="ListBullet"/>
      </w:pPr>
      <w:r>
        <w:t>Acknowledgement, first-contact, correct-owner and resolution distributions—not averages alone.</w:t>
      </w:r>
    </w:p>
    <w:p>
      <w:pPr>
        <w:pStyle w:val="ListBullet"/>
      </w:pPr>
      <w:r>
        <w:t>Requests per zone/category/moment and repeat-call rate.</w:t>
      </w:r>
    </w:p>
    <w:p>
      <w:pPr>
        <w:pStyle w:val="ListBullet"/>
      </w:pPr>
      <w:r>
        <w:t>Handoff failure, escalation, reopened request and abandoned request.</w:t>
      </w:r>
    </w:p>
    <w:p>
      <w:pPr>
        <w:pStyle w:val="ListBullet"/>
      </w:pPr>
      <w:r>
        <w:t>Seat/identity exception and correction error.</w:t>
      </w:r>
    </w:p>
    <w:p>
      <w:pPr>
        <w:pStyle w:val="ListBullet"/>
      </w:pPr>
      <w:r>
        <w:t>Accessibility assistance wait and guest-reported outcome.</w:t>
      </w:r>
    </w:p>
    <w:p>
      <w:pPr>
        <w:pStyle w:val="ListBullet"/>
      </w:pPr>
      <w:r>
        <w:t>Complaint, recovery and unresolved-at-close rate.</w:t>
      </w:r>
    </w:p>
    <w:p>
      <w:pPr>
        <w:pStyle w:val="ListBullet"/>
      </w:pPr>
      <w:r>
        <w:t>Radio/pager/device failure and fallback activation.</w:t>
      </w:r>
    </w:p>
    <w:p>
      <w:pPr>
        <w:pStyle w:val="ListBullet"/>
      </w:pPr>
      <w:r>
        <w:t>Staff breaks, overtime, absence and workload concentration.</w:t>
      </w:r>
    </w:p>
    <w:p>
      <w:pPr>
        <w:pStyle w:val="Heading1"/>
      </w:pPr>
      <w:r>
        <w:t>4. Quality observation</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1800"/>
            <w:shd w:fill="18202A"/>
            <w:tcMar>
              <w:top w:w="95" w:type="dxa"/>
              <w:start w:w="120" w:type="dxa"/>
              <w:bottom w:w="95" w:type="dxa"/>
              <w:end w:w="120" w:type="dxa"/>
            </w:tcMar>
          </w:tcPr>
          <w:p>
            <w:r>
              <w:rPr>
                <w:b/>
                <w:color w:val="FFFFFF"/>
                <w:sz w:val="16"/>
              </w:rPr>
              <w:t>Dimension</w:t>
            </w:r>
          </w:p>
        </w:tc>
        <w:tc>
          <w:tcPr>
            <w:tcW w:type="dxa" w:w="7560"/>
            <w:shd w:fill="18202A"/>
            <w:tcMar>
              <w:top w:w="95" w:type="dxa"/>
              <w:start w:w="120" w:type="dxa"/>
              <w:bottom w:w="95" w:type="dxa"/>
              <w:end w:w="120" w:type="dxa"/>
            </w:tcMar>
          </w:tcPr>
          <w:p>
            <w:r>
              <w:rPr>
                <w:b/>
                <w:color w:val="FFFFFF"/>
                <w:sz w:val="16"/>
              </w:rPr>
              <w:t>Observer checks</w:t>
            </w:r>
          </w:p>
        </w:tc>
      </w:tr>
      <w:tr>
        <w:tc>
          <w:tcPr>
            <w:tcW w:type="dxa" w:w="1800"/>
            <w:tcMar>
              <w:top w:w="95" w:type="dxa"/>
              <w:start w:w="120" w:type="dxa"/>
              <w:bottom w:w="95" w:type="dxa"/>
              <w:end w:w="120" w:type="dxa"/>
            </w:tcMar>
            <w:vAlign w:val="center"/>
          </w:tcPr>
          <w:p>
            <w:r>
              <w:rPr>
                <w:sz w:val="16"/>
              </w:rPr>
              <w:t>Presence</w:t>
            </w:r>
          </w:p>
        </w:tc>
        <w:tc>
          <w:tcPr>
            <w:tcW w:type="dxa" w:w="7560"/>
            <w:tcMar>
              <w:top w:w="95" w:type="dxa"/>
              <w:start w:w="120" w:type="dxa"/>
              <w:bottom w:w="95" w:type="dxa"/>
              <w:end w:w="120" w:type="dxa"/>
            </w:tcMar>
            <w:vAlign w:val="center"/>
          </w:tcPr>
          <w:p>
            <w:r>
              <w:rPr>
                <w:sz w:val="16"/>
              </w:rPr>
              <w:t>Post occupied, alert, approachable and not clustered</w:t>
            </w:r>
          </w:p>
        </w:tc>
      </w:tr>
      <w:tr>
        <w:tc>
          <w:tcPr>
            <w:tcW w:type="dxa" w:w="1800"/>
            <w:tcMar>
              <w:top w:w="95" w:type="dxa"/>
              <w:start w:w="120" w:type="dxa"/>
              <w:bottom w:w="95" w:type="dxa"/>
              <w:end w:w="120" w:type="dxa"/>
            </w:tcMar>
            <w:vAlign w:val="center"/>
            <w:shd w:fill="F3F0EB"/>
          </w:tcPr>
          <w:p>
            <w:r>
              <w:rPr>
                <w:sz w:val="16"/>
              </w:rPr>
              <w:t>Interaction</w:t>
            </w:r>
          </w:p>
        </w:tc>
        <w:tc>
          <w:tcPr>
            <w:tcW w:type="dxa" w:w="7560"/>
            <w:tcMar>
              <w:top w:w="95" w:type="dxa"/>
              <w:start w:w="120" w:type="dxa"/>
              <w:bottom w:w="95" w:type="dxa"/>
              <w:end w:w="120" w:type="dxa"/>
            </w:tcMar>
            <w:vAlign w:val="center"/>
            <w:shd w:fill="F3F0EB"/>
          </w:tcPr>
          <w:p>
            <w:r>
              <w:rPr>
                <w:sz w:val="16"/>
              </w:rPr>
              <w:t>Greeting, listening, pace, language, privacy and closure</w:t>
            </w:r>
          </w:p>
        </w:tc>
      </w:tr>
      <w:tr>
        <w:tc>
          <w:tcPr>
            <w:tcW w:type="dxa" w:w="1800"/>
            <w:tcMar>
              <w:top w:w="95" w:type="dxa"/>
              <w:start w:w="120" w:type="dxa"/>
              <w:bottom w:w="95" w:type="dxa"/>
              <w:end w:w="120" w:type="dxa"/>
            </w:tcMar>
            <w:vAlign w:val="center"/>
          </w:tcPr>
          <w:p>
            <w:r>
              <w:rPr>
                <w:sz w:val="16"/>
              </w:rPr>
              <w:t>Accuracy</w:t>
            </w:r>
          </w:p>
        </w:tc>
        <w:tc>
          <w:tcPr>
            <w:tcW w:type="dxa" w:w="7560"/>
            <w:tcMar>
              <w:top w:w="95" w:type="dxa"/>
              <w:start w:w="120" w:type="dxa"/>
              <w:bottom w:w="95" w:type="dxa"/>
              <w:end w:w="120" w:type="dxa"/>
            </w:tcMar>
            <w:vAlign w:val="center"/>
          </w:tcPr>
          <w:p>
            <w:r>
              <w:rPr>
                <w:sz w:val="16"/>
              </w:rPr>
              <w:t>Correct destination, current information, no invention</w:t>
            </w:r>
          </w:p>
        </w:tc>
      </w:tr>
      <w:tr>
        <w:tc>
          <w:tcPr>
            <w:tcW w:type="dxa" w:w="1800"/>
            <w:tcMar>
              <w:top w:w="95" w:type="dxa"/>
              <w:start w:w="120" w:type="dxa"/>
              <w:bottom w:w="95" w:type="dxa"/>
              <w:end w:w="120" w:type="dxa"/>
            </w:tcMar>
            <w:vAlign w:val="center"/>
            <w:shd w:fill="F3F0EB"/>
          </w:tcPr>
          <w:p>
            <w:r>
              <w:rPr>
                <w:sz w:val="16"/>
              </w:rPr>
              <w:t>Ownership</w:t>
            </w:r>
          </w:p>
        </w:tc>
        <w:tc>
          <w:tcPr>
            <w:tcW w:type="dxa" w:w="7560"/>
            <w:tcMar>
              <w:top w:w="95" w:type="dxa"/>
              <w:start w:w="120" w:type="dxa"/>
              <w:bottom w:w="95" w:type="dxa"/>
              <w:end w:w="120" w:type="dxa"/>
            </w:tcMar>
            <w:vAlign w:val="center"/>
            <w:shd w:fill="F3F0EB"/>
          </w:tcPr>
          <w:p>
            <w:r>
              <w:rPr>
                <w:sz w:val="16"/>
              </w:rPr>
              <w:t>Request followed through and handoff accepted</w:t>
            </w:r>
          </w:p>
        </w:tc>
      </w:tr>
      <w:tr>
        <w:tc>
          <w:tcPr>
            <w:tcW w:type="dxa" w:w="1800"/>
            <w:tcMar>
              <w:top w:w="95" w:type="dxa"/>
              <w:start w:w="120" w:type="dxa"/>
              <w:bottom w:w="95" w:type="dxa"/>
              <w:end w:w="120" w:type="dxa"/>
            </w:tcMar>
            <w:vAlign w:val="center"/>
          </w:tcPr>
          <w:p>
            <w:r>
              <w:rPr>
                <w:sz w:val="16"/>
              </w:rPr>
              <w:t>Dignity</w:t>
            </w:r>
          </w:p>
        </w:tc>
        <w:tc>
          <w:tcPr>
            <w:tcW w:type="dxa" w:w="7560"/>
            <w:tcMar>
              <w:top w:w="95" w:type="dxa"/>
              <w:start w:w="120" w:type="dxa"/>
              <w:bottom w:w="95" w:type="dxa"/>
              <w:end w:w="120" w:type="dxa"/>
            </w:tcMar>
            <w:vAlign w:val="center"/>
          </w:tcPr>
          <w:p>
            <w:r>
              <w:rPr>
                <w:sz w:val="16"/>
              </w:rPr>
              <w:t>No public dispute, status theatre or intrusive assistance</w:t>
            </w:r>
          </w:p>
        </w:tc>
      </w:tr>
      <w:tr>
        <w:tc>
          <w:tcPr>
            <w:tcW w:type="dxa" w:w="1800"/>
            <w:tcMar>
              <w:top w:w="95" w:type="dxa"/>
              <w:start w:w="120" w:type="dxa"/>
              <w:bottom w:w="95" w:type="dxa"/>
              <w:end w:w="120" w:type="dxa"/>
            </w:tcMar>
            <w:vAlign w:val="center"/>
            <w:shd w:fill="F3F0EB"/>
          </w:tcPr>
          <w:p>
            <w:r>
              <w:rPr>
                <w:sz w:val="16"/>
              </w:rPr>
              <w:t>Command</w:t>
            </w:r>
          </w:p>
        </w:tc>
        <w:tc>
          <w:tcPr>
            <w:tcW w:type="dxa" w:w="7560"/>
            <w:tcMar>
              <w:top w:w="95" w:type="dxa"/>
              <w:start w:w="120" w:type="dxa"/>
              <w:bottom w:w="95" w:type="dxa"/>
              <w:end w:w="120" w:type="dxa"/>
            </w:tcMar>
            <w:vAlign w:val="center"/>
            <w:shd w:fill="F3F0EB"/>
          </w:tcPr>
          <w:p>
            <w:r>
              <w:rPr>
                <w:sz w:val="16"/>
              </w:rPr>
              <w:t>Clear calls, correct escalation, board/log updated</w:t>
            </w:r>
          </w:p>
        </w:tc>
      </w:tr>
      <w:tr>
        <w:tc>
          <w:tcPr>
            <w:tcW w:type="dxa" w:w="1800"/>
            <w:tcMar>
              <w:top w:w="95" w:type="dxa"/>
              <w:start w:w="120" w:type="dxa"/>
              <w:bottom w:w="95" w:type="dxa"/>
              <w:end w:w="120" w:type="dxa"/>
            </w:tcMar>
            <w:vAlign w:val="center"/>
          </w:tcPr>
          <w:p>
            <w:r>
              <w:rPr>
                <w:sz w:val="16"/>
              </w:rPr>
              <w:t>Resilience</w:t>
            </w:r>
          </w:p>
        </w:tc>
        <w:tc>
          <w:tcPr>
            <w:tcW w:type="dxa" w:w="7560"/>
            <w:tcMar>
              <w:top w:w="95" w:type="dxa"/>
              <w:start w:w="120" w:type="dxa"/>
              <w:bottom w:w="95" w:type="dxa"/>
              <w:end w:w="120" w:type="dxa"/>
            </w:tcMar>
            <w:vAlign w:val="center"/>
          </w:tcPr>
          <w:p>
            <w:r>
              <w:rPr>
                <w:sz w:val="16"/>
              </w:rPr>
              <w:t>Fallback used without visible chaos</w:t>
            </w:r>
          </w:p>
        </w:tc>
      </w:tr>
    </w:tbl>
    <w:p/>
    <w:p>
      <w:pPr>
        <w:pStyle w:val="Heading1"/>
      </w:pPr>
      <w:r>
        <w:t>5. Review cadence</w:t>
      </w:r>
    </w:p>
    <w:p>
      <w:pPr>
        <w:pStyle w:val="ListBullet"/>
      </w:pPr>
      <w:r>
        <w:t>Live: supervisor observes and corrects immediately.</w:t>
      </w:r>
    </w:p>
    <w:p>
      <w:pPr>
        <w:pStyle w:val="ListBullet"/>
      </w:pPr>
      <w:r>
        <w:t>Hot debrief: facts and urgent containment within 15–30 minutes of close.</w:t>
      </w:r>
    </w:p>
    <w:p>
      <w:pPr>
        <w:pStyle w:val="ListBullet"/>
      </w:pPr>
      <w:r>
        <w:t>T+24/48: incident, metric and equipment reconciliation.</w:t>
      </w:r>
    </w:p>
    <w:p>
      <w:pPr>
        <w:pStyle w:val="ListBullet"/>
      </w:pPr>
      <w:r>
        <w:t>T+7: improvement review, doctrine/training change proposal and owner.</w:t>
      </w:r>
    </w:p>
    <w:p>
      <w:pPr>
        <w:pStyle w:val="ListBullet"/>
      </w:pPr>
      <w:r>
        <w:t>Quarterly: cross-event staffing, venue, supplier and training calibration.</w:t>
      </w:r>
    </w:p>
    <w:p>
      <w:r>
        <w:br w:type="page"/>
      </w:r>
    </w:p>
    <w:p>
      <w:pPr>
        <w:pStyle w:val="Heading1"/>
      </w:pPr>
      <w:r>
        <w:t>Detailed controlled operating annex</w:t>
      </w:r>
    </w:p>
    <w:p>
      <w:r>
        <w:t>This annex expands the governing requirements into operational design, verification and evidence. It is normative only after ratification with the parent document.</w:t>
      </w:r>
    </w:p>
    <w:p>
      <w:pPr>
        <w:pStyle w:val="Heading2"/>
      </w:pPr>
      <w:r>
        <w:t>Metric definitions</w:t>
      </w:r>
    </w:p>
    <w:p>
      <w:r>
        <w:t>Each metric has formula, event grain, start/stop rules, authoritative source, exclusions, freshness and owner. Averages are accompanied by percentiles or distributions where peaks matter.</w:t>
      </w:r>
    </w:p>
    <w:p>
      <w:r>
        <w:t>Required practice. Manual estimates are labelled and cannot be combined with timestamped system records without a reconciliation method.</w:t>
      </w:r>
    </w:p>
    <w:p>
      <w:r>
        <w:t>Acceptance evidence. Metric changes are versioned so cross-event comparisons remain honest.</w:t>
      </w:r>
    </w:p>
    <w:p>
      <w:pPr>
        <w:pStyle w:val="Heading2"/>
      </w:pPr>
      <w:r>
        <w:t>Observation design</w:t>
      </w:r>
    </w:p>
    <w:p>
      <w:r>
        <w:t>Observers are positioned not to interfere and use consistent criteria. They sample arrival, seating, quiet periods, transitions and departure rather than watching only peak activity.</w:t>
      </w:r>
    </w:p>
    <w:p>
      <w:r>
        <w:t>Required practice. Observation records distinguish system causes from individual behaviour and include context such as obstruction, conflicting instruction or equipment failure.</w:t>
      </w:r>
    </w:p>
    <w:p>
      <w:r>
        <w:t>Acceptance evidence. Feedback is specific, private and linked to remediation or design change.</w:t>
      </w:r>
    </w:p>
    <w:p>
      <w:pPr>
        <w:pStyle w:val="Heading2"/>
      </w:pPr>
      <w:r>
        <w:t>Guest feedback</w:t>
      </w:r>
    </w:p>
    <w:p>
      <w:r>
        <w:t>Use brief, proportionate methods and do not survey guests during service recovery unless appropriate. Ask about ease of finding help, courtesy, confidence, waiting and resolution.</w:t>
      </w:r>
    </w:p>
    <w:p>
      <w:r>
        <w:t>Required practice. Separate direct guest feedback from staff interpretation. Protect confidentiality and marketing-consent boundaries.</w:t>
      </w:r>
    </w:p>
    <w:p>
      <w:r>
        <w:t>Acceptance evidence. A small or self-selected sample is reported as such and does not become a universal claim.</w:t>
      </w:r>
    </w:p>
    <w:p>
      <w:pPr>
        <w:pStyle w:val="Heading2"/>
      </w:pPr>
      <w:r>
        <w:t>Performance review</w:t>
      </w:r>
    </w:p>
    <w:p>
      <w:r>
        <w:t>The Event Director reviews outcome, demand, capacity, failures, near misses and unresolved matters. Strong results do not erase a critical safety or dignity failure.</w:t>
      </w:r>
    </w:p>
    <w:p>
      <w:r>
        <w:t>Required practice. Repeated issues create named corrective actions with owner, date and verification method.</w:t>
      </w:r>
    </w:p>
    <w:p>
      <w:r>
        <w:t>Acceptance evidence. Lessons become doctrine or training only after review and ratification, preserving the original event evidence.</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MD-USH-QA-008  •  </w:t>
    </w:r>
    <w:r>
      <w:fldChar w:fldCharType="begin"/>
    </w:r>
    <w:r>
      <w:instrText xml:space="preserve">PAGE</w:instrText>
    </w:r>
    <w:r>
      <w:fldChar w:fldCharType="end"/>
    </w:r>
    <w:r>
      <w:t xml:space="preserve"> of </w:t>
    </w:r>
    <w:r>
      <w:fldChar w:fldCharType="begin"/>
    </w:r>
    <w:r>
      <w:instrText xml:space="preserve">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D6670"/>
        <w:sz w:val="14"/>
      </w:rPr>
      <w:t>MAISON DOCLAR  |  PREMIUM USHERING SYSTEM  |  MD-USH-QA-008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64" w:lineRule="auto"/>
    </w:pPr>
    <w:rPr>
      <w:rFonts w:ascii="Aptos" w:hAnsi="Aptos"/>
      <w:b w:val="0"/>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40" w:lineRule="auto"/>
      <w:outlineLvl w:val="0"/>
    </w:pPr>
    <w:rPr>
      <w:rFonts w:asciiTheme="majorHAnsi" w:eastAsiaTheme="majorEastAsia" w:hAnsiTheme="majorHAnsi" w:cstheme="majorBidi" w:ascii="Aptos Display" w:hAnsi="Aptos Display"/>
      <w:b/>
      <w:bCs/>
      <w:color w:val="18202A"/>
      <w:sz w:val="34"/>
      <w:szCs w:val="28"/>
    </w:rPr>
  </w:style>
  <w:style w:type="paragraph" w:styleId="Heading2">
    <w:name w:val="heading 2"/>
    <w:basedOn w:val="Normal"/>
    <w:next w:val="Normal"/>
    <w:link w:val="Heading2Char"/>
    <w:uiPriority w:val="9"/>
    <w:unhideWhenUsed/>
    <w:qFormat/>
    <w:rsid w:val="00FC693F"/>
    <w:pPr>
      <w:keepNext/>
      <w:keepLines/>
      <w:spacing w:before="240" w:after="100" w:line="240" w:lineRule="auto"/>
      <w:outlineLvl w:val="1"/>
    </w:pPr>
    <w:rPr>
      <w:rFonts w:asciiTheme="majorHAnsi" w:eastAsiaTheme="majorEastAsia" w:hAnsiTheme="majorHAnsi" w:cstheme="majorBidi" w:ascii="Aptos Display" w:hAnsi="Aptos Display"/>
      <w:b/>
      <w:bCs/>
      <w:color w:val="B79F85"/>
      <w:sz w:val="27"/>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Aptos Display" w:hAnsi="Aptos Display"/>
      <w:b/>
      <w:bCs/>
      <w:color w:val="1820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820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180" w:line="240" w:lineRule="auto"/>
    </w:pPr>
    <w:rPr>
      <w:rFonts w:asciiTheme="majorHAnsi" w:eastAsiaTheme="majorEastAsia" w:hAnsiTheme="majorHAnsi" w:cstheme="majorBidi" w:ascii="Aptos Display" w:hAnsi="Aptos Display"/>
      <w:b w:val="0"/>
      <w:i/>
      <w:iCs/>
      <w:color w:val="5D66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