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Ushering Incident, Service-Recovery and Escalation System</w:t>
      </w:r>
    </w:p>
    <w:p>
      <w:pPr>
        <w:pStyle w:val="Subtitle"/>
        <w:jc w:val="center"/>
      </w:pPr>
      <w:r>
        <w:t>Severity, specialist handoff, guest updates, evidence and 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MD-USH-INC-009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Doctrine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Every Guest, Considered.</w:t>
            </w:r>
          </w:p>
        </w:tc>
      </w:tr>
      <w:tr>
        <w:tc>
          <w:tcPr>
            <w:tcW w:type="dxa" w:w="2232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0EB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 xml:space="preserve">Authority: </w:t>
            </w:r>
            <w:r>
              <w:t>This document becomes Maison Doclar authority only after CEO ratification. Legal, radio-spectrum, equipment type approval, medical, security, accessibility, cultural and protocol determinations remain subject to the named competent authority. Vendor specifications are claims until verified.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</w:t>
      </w:r>
    </w:p>
    <w:p>
      <w:r>
        <w:t>1. Severity</w:t>
      </w:r>
    </w:p>
    <w:p>
      <w:r>
        <w:t>2. Escalation method</w:t>
      </w:r>
    </w:p>
    <w:p>
      <w:r>
        <w:t>3. Recovery authority ladder</w:t>
      </w:r>
    </w:p>
    <w:p>
      <w:r>
        <w:t>4. Special incidents</w:t>
      </w:r>
    </w:p>
    <w:p>
      <w:r>
        <w:t>Medical</w:t>
      </w:r>
    </w:p>
    <w:p>
      <w:r>
        <w:t>Missing child/vulnerable person</w:t>
      </w:r>
    </w:p>
    <w:p>
      <w:r>
        <w:t>Aggression</w:t>
      </w:r>
    </w:p>
    <w:p>
      <w:r>
        <w:t>Discrimination allegation</w:t>
      </w:r>
    </w:p>
    <w:p>
      <w:r>
        <w:t>Media/legal threat</w:t>
      </w:r>
    </w:p>
    <w:p>
      <w:r>
        <w:t>Data loss</w:t>
      </w:r>
    </w:p>
    <w:p>
      <w:r>
        <w:t>5. Closure</w:t>
      </w:r>
    </w:p>
    <w:p/>
    <w:p>
      <w:pPr>
        <w:pStyle w:val="Heading1"/>
      </w:pPr>
      <w:r>
        <w:t>1. Severity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489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02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Response</w:t>
            </w:r>
          </w:p>
        </w:tc>
      </w:tr>
      <w:tr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S0 Service</w:t>
            </w:r>
          </w:p>
        </w:tc>
        <w:tc>
          <w:tcPr>
            <w:tcW w:type="dxa" w:w="48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Routine request within normal authority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Usher owns and closes</w:t>
            </w:r>
          </w:p>
        </w:tc>
      </w:tr>
      <w:tr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S1 Concern</w:t>
            </w:r>
          </w:p>
        </w:tc>
        <w:tc>
          <w:tcPr>
            <w:tcW w:type="dxa" w:w="48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Delay, confusion or minor dissatisfaction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Supervisor informed; update and recover</w:t>
            </w:r>
          </w:p>
        </w:tc>
      </w:tr>
      <w:tr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S2 Material</w:t>
            </w:r>
          </w:p>
        </w:tc>
        <w:tc>
          <w:tcPr>
            <w:tcW w:type="dxa" w:w="48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Repeated failure, public complaint, significant seat/protocol issue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FOH owns; Event Director notified</w:t>
            </w:r>
          </w:p>
        </w:tc>
      </w:tr>
      <w:tr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S3 Critical</w:t>
            </w:r>
          </w:p>
        </w:tc>
        <w:tc>
          <w:tcPr>
            <w:tcW w:type="dxa" w:w="48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Safety, medical, safeguarding, aggression, discrimination, legal/media risk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Specialist immediate; Event Director command</w:t>
            </w:r>
          </w:p>
        </w:tc>
      </w:tr>
      <w:tr>
        <w:tc>
          <w:tcPr>
            <w:tcW w:type="dxa" w:w="144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S4 Major incident</w:t>
            </w:r>
          </w:p>
        </w:tc>
        <w:tc>
          <w:tcPr>
            <w:tcW w:type="dxa" w:w="489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Threat to multiple guests/event continuation</w:t>
            </w:r>
          </w:p>
        </w:tc>
        <w:tc>
          <w:tcPr>
            <w:tcW w:type="dxa" w:w="302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Venue emergency/major incident plan</w:t>
            </w:r>
          </w:p>
        </w:tc>
      </w:tr>
    </w:tbl>
    <w:p/>
    <w:p>
      <w:pPr>
        <w:pStyle w:val="Heading1"/>
      </w:pPr>
      <w:r>
        <w:t>2. Escalation method</w:t>
      </w:r>
    </w:p>
    <w:p>
      <w:pPr>
        <w:pStyle w:val="ListBullet"/>
      </w:pPr>
      <w:r>
        <w:t>State exact location first.</w:t>
      </w:r>
    </w:p>
    <w:p>
      <w:pPr>
        <w:pStyle w:val="ListBullet"/>
      </w:pPr>
      <w:r>
        <w:t>Describe observed facts, not diagnosis or blame.</w:t>
      </w:r>
    </w:p>
    <w:p>
      <w:pPr>
        <w:pStyle w:val="ListBullet"/>
      </w:pPr>
      <w:r>
        <w:t>State immediate safety/dignity action already taken.</w:t>
      </w:r>
    </w:p>
    <w:p>
      <w:pPr>
        <w:pStyle w:val="ListBullet"/>
      </w:pPr>
      <w:r>
        <w:t>Name severity and specialist required.</w:t>
      </w:r>
    </w:p>
    <w:p>
      <w:pPr>
        <w:pStyle w:val="ListBullet"/>
      </w:pPr>
      <w:r>
        <w:t>State whether the guest is supported and whether a post has been vacated.</w:t>
      </w:r>
    </w:p>
    <w:p>
      <w:pPr>
        <w:pStyle w:val="ListBullet"/>
      </w:pPr>
      <w:r>
        <w:t>Remain owner until named handoff acceptance.</w:t>
      </w:r>
    </w:p>
    <w:p>
      <w:pPr>
        <w:pStyle w:val="ListBullet"/>
      </w:pPr>
      <w:r>
        <w:t>Record notifications, decisions and update times.</w:t>
      </w:r>
    </w:p>
    <w:p>
      <w:pPr>
        <w:pStyle w:val="Heading1"/>
      </w:pPr>
      <w:r>
        <w:t>3. Recovery authority ladder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345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656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Usher</w:t>
            </w:r>
          </w:p>
        </w:tc>
        <w:tc>
          <w:tcPr>
            <w:tcW w:type="dxa" w:w="194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Supervisor</w:t>
            </w:r>
          </w:p>
        </w:tc>
        <w:tc>
          <w:tcPr>
            <w:tcW w:type="dxa" w:w="2304"/>
            <w:shd w:fill="18202A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FOH/Event Director</w:t>
            </w:r>
          </w:p>
        </w:tc>
      </w:tr>
      <w:t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Apology/acknowledgement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Yes within script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Alternative route/seat within pre-approved set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If trained/current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Complimentary item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No unless policy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Within limit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Above limit</w:t>
            </w:r>
          </w:p>
        </w:tc>
      </w:tr>
      <w:t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Admission/credential exception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Recommend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3F0EB"/>
          </w:tcPr>
          <w:p>
            <w:r>
              <w:rPr>
                <w:sz w:val="15"/>
              </w:rPr>
              <w:t>Authorised guest intelligence/ED</w:t>
            </w:r>
          </w:p>
        </w:tc>
      </w:tr>
      <w:tr>
        <w:tc>
          <w:tcPr>
            <w:tcW w:type="dxa" w:w="34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Public statement/refund/contract promise</w:t>
            </w:r>
          </w:p>
        </w:tc>
        <w:tc>
          <w:tcPr>
            <w:tcW w:type="dxa" w:w="1656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194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2304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sz w:val="15"/>
              </w:rPr>
              <w:t>Named executive/legal authority</w:t>
            </w:r>
          </w:p>
        </w:tc>
      </w:tr>
    </w:tbl>
    <w:p/>
    <w:p>
      <w:pPr>
        <w:pStyle w:val="Heading1"/>
      </w:pPr>
      <w:r>
        <w:t>4. Special incidents</w:t>
      </w:r>
    </w:p>
    <w:p>
      <w:pPr>
        <w:pStyle w:val="Heading2"/>
      </w:pPr>
      <w:r>
        <w:t>Medical</w:t>
      </w:r>
    </w:p>
    <w:p>
      <w:r>
        <w:t>Call specialist, give location and observed condition, clear route, protect privacy, do not administer beyond training.</w:t>
      </w:r>
    </w:p>
    <w:p>
      <w:pPr>
        <w:pStyle w:val="Heading2"/>
      </w:pPr>
      <w:r>
        <w:t>Missing child/vulnerable person</w:t>
      </w:r>
    </w:p>
    <w:p>
      <w:r>
        <w:t>Keep reporter supported, notify security/safeguarding, preserve description privately, control exits only under authorised plan.</w:t>
      </w:r>
    </w:p>
    <w:p>
      <w:pPr>
        <w:pStyle w:val="Heading2"/>
      </w:pPr>
      <w:r>
        <w:t>Aggression</w:t>
      </w:r>
    </w:p>
    <w:p>
      <w:r>
        <w:t>Do not argue or crowd; create distance, call security, protect nearby guests, preserve facts.</w:t>
      </w:r>
    </w:p>
    <w:p>
      <w:pPr>
        <w:pStyle w:val="Heading2"/>
      </w:pPr>
      <w:r>
        <w:t>Discrimination allegation</w:t>
      </w:r>
    </w:p>
    <w:p>
      <w:r>
        <w:t>Listen, protect complainant, do not debate intent, escalate to senior authority, preserve evidence and confidentiality.</w:t>
      </w:r>
    </w:p>
    <w:p>
      <w:pPr>
        <w:pStyle w:val="Heading2"/>
      </w:pPr>
      <w:r>
        <w:t>Media/legal threat</w:t>
      </w:r>
    </w:p>
    <w:p>
      <w:r>
        <w:t>Do not comment; record contact and words, route to Event Director/legal/communications.</w:t>
      </w:r>
    </w:p>
    <w:p>
      <w:pPr>
        <w:pStyle w:val="Heading2"/>
      </w:pPr>
      <w:r>
        <w:t>Data loss</w:t>
      </w:r>
    </w:p>
    <w:p>
      <w:r>
        <w:t>Report lost list/device immediately, identify scope, contain access, activate privacy incident process.</w:t>
      </w:r>
    </w:p>
    <w:p>
      <w:pPr>
        <w:pStyle w:val="Heading1"/>
      </w:pPr>
      <w:r>
        <w:t>5. Closure</w:t>
      </w:r>
    </w:p>
    <w:p>
      <w:pPr>
        <w:pStyle w:val="ListBullet"/>
      </w:pPr>
      <w:r>
        <w:t>Guest outcome confirmed where appropriate.</w:t>
      </w:r>
    </w:p>
    <w:p>
      <w:pPr>
        <w:pStyle w:val="ListBullet"/>
      </w:pPr>
      <w:r>
        <w:t>Specialist and command records reconciled.</w:t>
      </w:r>
    </w:p>
    <w:p>
      <w:pPr>
        <w:pStyle w:val="ListBullet"/>
      </w:pPr>
      <w:r>
        <w:t>Evidence preserved proportionately.</w:t>
      </w:r>
    </w:p>
    <w:p>
      <w:pPr>
        <w:pStyle w:val="ListBullet"/>
      </w:pPr>
      <w:r>
        <w:t>Outstanding action, owner and deadline recorded.</w:t>
      </w:r>
    </w:p>
    <w:p>
      <w:pPr>
        <w:pStyle w:val="ListBullet"/>
      </w:pPr>
      <w:r>
        <w:t>Staff welfare/debrief addressed.</w:t>
      </w:r>
    </w:p>
    <w:p>
      <w:pPr>
        <w:pStyle w:val="ListBullet"/>
      </w:pPr>
      <w:r>
        <w:t>Training, staffing, venue or doctrine change assessed.</w:t>
      </w:r>
    </w:p>
    <w:p>
      <w:pPr>
        <w:pStyle w:val="ListBullet"/>
      </w:pPr>
      <w:r>
        <w:t>Marketing/case-study use prohibited unless separately authorised.</w:t>
      </w:r>
    </w:p>
    <w:p>
      <w:r>
        <w:br w:type="page"/>
      </w:r>
    </w:p>
    <w:p>
      <w:pPr>
        <w:pStyle w:val="Heading1"/>
      </w:pPr>
      <w:r>
        <w:t>Detailed controlled operating annex</w:t>
      </w:r>
    </w:p>
    <w:p>
      <w:r>
        <w:t>This annex expands the governing requirements into operational design, verification and evidence. It is normative only after ratification with the parent document.</w:t>
      </w:r>
    </w:p>
    <w:p>
      <w:pPr>
        <w:pStyle w:val="Heading2"/>
      </w:pPr>
      <w:r>
        <w:t>Incident ownership</w:t>
      </w:r>
    </w:p>
    <w:p>
      <w:r>
        <w:t>The first receiver owns immediate support and escalation until the named specialist accepts. Ownership includes protecting location, updating command and preventing the guest from being passed repeatedly.</w:t>
      </w:r>
    </w:p>
    <w:p>
      <w:r>
        <w:t>Required practice. The Event Director retains event command while the specialist leads technical resolution.</w:t>
      </w:r>
    </w:p>
    <w:p>
      <w:r>
        <w:t>Acceptance evidence. The incident log records transfer time and authority; absence of explicit acceptance means ownership has not transferred.</w:t>
      </w:r>
    </w:p>
    <w:p>
      <w:pPr>
        <w:pStyle w:val="Heading2"/>
      </w:pPr>
      <w:r>
        <w:t>Preserving dignity during recovery</w:t>
      </w:r>
    </w:p>
    <w:p>
      <w:r>
        <w:t>Move discussion away from an audience where safe, offer seating or accompaniment, avoid blaming hosts or colleagues, and explain the next step.</w:t>
      </w:r>
    </w:p>
    <w:p>
      <w:r>
        <w:t>Required practice. A remedy must be within the person’s authority. If approval is pending, say so and give an update time.</w:t>
      </w:r>
    </w:p>
    <w:p>
      <w:r>
        <w:t>Acceptance evidence. Recovery is not complete merely because compensation was offered; confirm whether the practical and relational problem was addressed.</w:t>
      </w:r>
    </w:p>
    <w:p>
      <w:pPr>
        <w:pStyle w:val="Heading2"/>
      </w:pPr>
      <w:r>
        <w:t>Evidence discipline</w:t>
      </w:r>
    </w:p>
    <w:p>
      <w:r>
        <w:t>Record observed facts, exact words where material, actions, times, witnesses and decision authorities. Separate inference and later correction.</w:t>
      </w:r>
    </w:p>
    <w:p>
      <w:r>
        <w:t>Required practice. Preserve relevant documents/equipment without excessive collection of personal data.</w:t>
      </w:r>
    </w:p>
    <w:p>
      <w:r>
        <w:t>Acceptance evidence. No social-media post, internal gossip or retrospective beautification replaces the controlled record.</w:t>
      </w:r>
    </w:p>
    <w:p>
      <w:pPr>
        <w:pStyle w:val="Heading2"/>
      </w:pPr>
      <w:r>
        <w:t>Return to service</w:t>
      </w:r>
    </w:p>
    <w:p>
      <w:r>
        <w:t>After containment, command decides whether the affected route, zone, person or equipment may return.</w:t>
      </w:r>
    </w:p>
    <w:p>
      <w:r>
        <w:t>Required practice. Readiness includes root-cause containment, replacement/relief, briefing and guest impact.</w:t>
      </w:r>
    </w:p>
    <w:p>
      <w:r>
        <w:t>Acceptance evidence. A critical incident may trigger suspension from role pending welfare, investigation, remediation or reassessment; this is not presumed guilt.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MD-USH-INC-009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PREMIUM USHERING SYSTEM  |  MD-USH-INC-009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64" w:lineRule="auto"/>
    </w:pPr>
    <w:rPr>
      <w:rFonts w:ascii="Aptos" w:hAnsi="Aptos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8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