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Ushering Event OS Integration and Knowledge Traceability Register</w:t>
      </w:r>
    </w:p>
    <w:p>
      <w:pPr>
        <w:pStyle w:val="Subtitle"/>
        <w:jc w:val="center"/>
      </w:pPr>
      <w:r>
        <w:t>Doctrine, system ownership, Academy competence, field evidence and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MD-USH-TRC-012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Source-of-truth allocation</w:t>
      </w:r>
    </w:p>
    <w:p>
      <w:r>
        <w:t>2. Event contracts</w:t>
      </w:r>
    </w:p>
    <w:p>
      <w:r>
        <w:t>3. Traceability register</w:t>
      </w:r>
    </w:p>
    <w:p>
      <w:r>
        <w:t>4. Release gates</w:t>
      </w:r>
    </w:p>
    <w:p>
      <w:r>
        <w:t>5. Change propagation</w:t>
      </w:r>
    </w:p>
    <w:p/>
    <w:p>
      <w:pPr>
        <w:pStyle w:val="Heading1"/>
      </w:pPr>
      <w:r>
        <w:t>1. Source-of-truth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302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24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Usher projection/use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Event/client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 OS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 scope and restrictions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Guest/household/seat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Event OS guest intelligence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Minimum role-filtered lookup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Live command decision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 Director command log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Authoritative for live change until reconciled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Staff identity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Estate identity/HR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Assignment reference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Competence/certificate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Academy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Deployment gate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Ushering doctrine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CEO canonical system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Rules and change propagation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Marketing consent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Marketing OS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Not inferred or created by ushering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Incident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Event OS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Usher observation/handoff evidence</w:t>
            </w:r>
          </w:p>
        </w:tc>
      </w:tr>
      <w:tr>
        <w:tc>
          <w:tcPr>
            <w:tcW w:type="dxa" w:w="208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Equipment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Event OS asset/control module or ratified register</w:t>
            </w:r>
          </w:p>
        </w:tc>
        <w:tc>
          <w:tcPr>
            <w:tcW w:type="dxa" w:w="424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Custody and readiness</w:t>
            </w:r>
          </w:p>
        </w:tc>
      </w:tr>
    </w:tbl>
    <w:p/>
    <w:p>
      <w:pPr>
        <w:pStyle w:val="Heading1"/>
      </w:pPr>
      <w:r>
        <w:t>2. Event contracts</w:t>
      </w:r>
    </w:p>
    <w:p>
      <w:pPr>
        <w:ind w:left="216"/>
        <w:shd w:fill="F5F5F5"/>
      </w:pPr>
      <w:r>
        <w:rPr>
          <w:rFonts w:ascii="Consolas" w:hAnsi="Consolas"/>
          <w:sz w:val="14"/>
        </w:rPr>
        <w:t>export const UsheringReadinessSchema=z.object({eventId:z.string().uuid(),version:z.number().int().positive(),state:z.enum(['GREEN','AMBER','RED','UNKNOWN']),zones:z.array(z.object({zoneId:z.string(),supervisorId:z.string().uuid().nullable(),criticalPostsReady:z.boolean(),communications:z.enum(['PRIMARY','FALLBACK','FAILED','UNKNOWN']),blockers:z.array(z.string())})),issuedAt:z.string().datetime(),issuedBy:z.string()});</w:t>
        <w:br/>
        <w:t>export const UsherAssignmentSchema=z.object({eventId:z.string().uuid(),actorId:z.string().uuid(),role:z.string(),zoneId:z.string(),postId:z.string().nullable(),authorizationEvidenceId:z.string().uuid(),startsAt:z.string().datetime(),endsAt:z.string().datetime(),status:z.enum(['PLANNED','BRIEFED','DEPLOYED','RELIEVED','SUSPENDED'])});</w:t>
      </w:r>
    </w:p>
    <w:p>
      <w:pPr>
        <w:pStyle w:val="Heading1"/>
      </w:pPr>
      <w:r>
        <w:t>3. Traceability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22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Doctrine</w:t>
            </w:r>
          </w:p>
        </w:tc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180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Event OS</w:t>
            </w:r>
          </w:p>
        </w:tc>
        <w:tc>
          <w:tcPr>
            <w:tcW w:type="dxa" w:w="144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Academy</w:t>
            </w:r>
          </w:p>
        </w:tc>
        <w:tc>
          <w:tcPr>
            <w:tcW w:type="dxa" w:w="16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Field evidence</w:t>
            </w:r>
          </w:p>
        </w:tc>
        <w:tc>
          <w:tcPr>
            <w:tcW w:type="dxa" w:w="129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Acceptance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USH-DOC-001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Human-first/offline-first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Readiness, fallback plan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U01/U11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T01/T02/T17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Offline drill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USH-DOC-002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 post relief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Assignment/relief state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U02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T04/T14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abandonment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USH-DOC-003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Guest dignity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Interaction standard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U01/U03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T09/T12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Observed rubric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USH-DOC-004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Seat conflict authority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Seat version/change log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U04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T08/T10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Scenario S02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USH-DOC-005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Accessible assistance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Route and preference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U05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T02/T11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Scenario S03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USH-DOC-006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Least radio information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Communication policy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U06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T11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 Q04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USH-DOC-007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One-owner handoff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Request state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U07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T09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Handoff test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USH-DOC-008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Protocol verification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Authority/source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U08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T17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Scenario S04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USH-DOC-009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Immediate specialist escalation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Incident severity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U09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T11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Scenario S05/S06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USH-DOC-010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Service recovery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Recovery authority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U10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T12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Role-play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USH-DOC-011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Transition readiness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Transition state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U11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T13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Team drill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USH-DOC-012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Equipment verified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Asset/verification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U12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T03/T15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Walk test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USH-DOC-013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App is non-critical aid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Pack/sync state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U11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T06–T09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3"/>
              </w:rPr>
              <w:t>App-down drill</w:t>
            </w:r>
          </w:p>
        </w:tc>
      </w:tr>
      <w:tr>
        <w:tc>
          <w:tcPr>
            <w:tcW w:type="dxa" w:w="12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USH-DOC-014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No marketing implication</w:t>
            </w:r>
          </w:p>
        </w:tc>
        <w:tc>
          <w:tcPr>
            <w:tcW w:type="dxa" w:w="18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Purpose boundary</w:t>
            </w:r>
          </w:p>
        </w:tc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U01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Pack control</w:t>
            </w:r>
          </w:p>
        </w:tc>
        <w:tc>
          <w:tcPr>
            <w:tcW w:type="dxa" w:w="12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3"/>
              </w:rPr>
              <w:t>Critical Q10</w:t>
            </w:r>
          </w:p>
        </w:tc>
      </w:tr>
    </w:tbl>
    <w:p/>
    <w:p>
      <w:pPr>
        <w:pStyle w:val="Heading1"/>
      </w:pPr>
      <w:r>
        <w:t>4. Release gates</w:t>
      </w:r>
    </w:p>
    <w:p>
      <w:pPr>
        <w:pStyle w:val="ListBullet"/>
      </w:pPr>
      <w:r>
        <w:t>Canonical system ratified.</w:t>
      </w:r>
    </w:p>
    <w:p>
      <w:pPr>
        <w:pStyle w:val="ListBullet"/>
      </w:pPr>
      <w:r>
        <w:t>All event-critical roles and authorities assigned.</w:t>
      </w:r>
    </w:p>
    <w:p>
      <w:pPr>
        <w:pStyle w:val="ListBullet"/>
      </w:pPr>
      <w:r>
        <w:t>Only Academy-authorised staff deployed to controlled roles, or CEO-approved exception recorded.</w:t>
      </w:r>
    </w:p>
    <w:p>
      <w:pPr>
        <w:pStyle w:val="ListBullet"/>
      </w:pPr>
      <w:r>
        <w:t>Venue, route, crowd, radio and pager tests complete.</w:t>
      </w:r>
    </w:p>
    <w:p>
      <w:pPr>
        <w:pStyle w:val="ListBullet"/>
      </w:pPr>
      <w:r>
        <w:t>Offline pack current and issued.</w:t>
      </w:r>
    </w:p>
    <w:p>
      <w:pPr>
        <w:pStyle w:val="ListBullet"/>
      </w:pPr>
      <w:r>
        <w:t>Safety/accessibility/security/medical dependencies accepted by competent authorities.</w:t>
      </w:r>
    </w:p>
    <w:p>
      <w:pPr>
        <w:pStyle w:val="ListBullet"/>
      </w:pPr>
      <w:r>
        <w:t>Pilot service targets validated or explicitly provisional.</w:t>
      </w:r>
    </w:p>
    <w:p>
      <w:pPr>
        <w:pStyle w:val="ListBullet"/>
      </w:pPr>
      <w:r>
        <w:t>App, if used, passes offline and failure drills.</w:t>
      </w:r>
    </w:p>
    <w:p>
      <w:pPr>
        <w:pStyle w:val="ListBullet"/>
      </w:pPr>
      <w:r>
        <w:t>Independent event/rehearsal acceptance evidence attached.</w:t>
      </w:r>
    </w:p>
    <w:p>
      <w:pPr>
        <w:pStyle w:val="ListBullet"/>
      </w:pPr>
      <w:r>
        <w:t>Event Director signs go/conditional-go/no-go.</w:t>
      </w:r>
    </w:p>
    <w:p>
      <w:pPr>
        <w:pStyle w:val="Heading1"/>
      </w:pPr>
      <w:r>
        <w:t>5. Change propagation</w:t>
      </w:r>
    </w:p>
    <w:p>
      <w:pPr>
        <w:pStyle w:val="ListBullet"/>
      </w:pPr>
      <w:r>
        <w:t>Doctrine change identifies Event OS rules, templates, app contracts, lessons, questions, certificates and active event packs.</w:t>
      </w:r>
    </w:p>
    <w:p>
      <w:pPr>
        <w:pStyle w:val="ListBullet"/>
      </w:pPr>
      <w:r>
        <w:t>Critical change blocks affected deployment until briefing/reassessment.</w:t>
      </w:r>
    </w:p>
    <w:p>
      <w:pPr>
        <w:pStyle w:val="ListBullet"/>
      </w:pPr>
      <w:r>
        <w:t>Superseded documents remain archived with effective dates.</w:t>
      </w:r>
    </w:p>
    <w:p>
      <w:pPr>
        <w:pStyle w:val="ListBullet"/>
      </w:pPr>
      <w:r>
        <w:t>Event learning does not become doctrine until reviewed and ratified.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Event projection minimisation</w:t>
      </w:r>
    </w:p>
    <w:p>
      <w:r>
        <w:t>Marketing and Academy data are not copied into the usher module without a defined use. Event OS provides only current event, guest, seat, rights, assignment and readiness information required by the role.</w:t>
      </w:r>
    </w:p>
    <w:p>
      <w:r>
        <w:t>Required practice. Projection records state source version, received time and freshness.</w:t>
      </w:r>
    </w:p>
    <w:p>
      <w:r>
        <w:t>Acceptance evidence. When a source is unavailable or stale, the interface and command board show that state and apply the approved fallback.</w:t>
      </w:r>
    </w:p>
    <w:p>
      <w:pPr>
        <w:pStyle w:val="Heading2"/>
      </w:pPr>
      <w:r>
        <w:t>Cross-system event semantics</w:t>
      </w:r>
    </w:p>
    <w:p>
      <w:r>
        <w:t>Consequential events use stable event ID, schema version, producer, organisation/event scope, occurrence/record time, correlation and classification.</w:t>
      </w:r>
    </w:p>
    <w:p>
      <w:r>
        <w:t>Required practice. Consumers deduplicate and preserve processing outcome; stale sequence cannot overwrite newer truth silently.</w:t>
      </w:r>
    </w:p>
    <w:p>
      <w:r>
        <w:t>Acceptance evidence. Failed or poison events enter visible reconciliation with owner and consequence.</w:t>
      </w:r>
    </w:p>
    <w:p>
      <w:pPr>
        <w:pStyle w:val="Heading2"/>
      </w:pPr>
      <w:r>
        <w:t>Doctrine impact</w:t>
      </w:r>
    </w:p>
    <w:p>
      <w:r>
        <w:t>A proposed change identifies affected Event OS rules, offline templates, app contracts, Academy lessons/questions/certificates, hardware procedures and active event packs.</w:t>
      </w:r>
    </w:p>
    <w:p>
      <w:r>
        <w:t>Required practice. Urgent safety change may suspend deployment immediately while full publication follows controlled procedure.</w:t>
      </w:r>
    </w:p>
    <w:p>
      <w:r>
        <w:t>Acceptance evidence. No event lesson becomes global doctrine automatically; CEO or delegated authority ratifies it.</w:t>
      </w:r>
    </w:p>
    <w:p>
      <w:pPr>
        <w:pStyle w:val="Heading2"/>
      </w:pPr>
      <w:r>
        <w:t>Release evidence</w:t>
      </w:r>
    </w:p>
    <w:p>
      <w:r>
        <w:t>Designed, built, tested, validated and released remain distinct. A matching heading or implemented screen is not proof of operational competence.</w:t>
      </w:r>
    </w:p>
    <w:p>
      <w:r>
        <w:t>Required practice. Release evidence includes rehearsal, equipment/venue walk, authorised roster, offline drill, critical scenario pass and Event Director decision.</w:t>
      </w:r>
    </w:p>
    <w:p>
      <w:r>
        <w:t>Acceptance evidence. Independent acceptance and CEO release cannot be generated by Cursor or the systems themselves.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MD-USH-TRC-012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MD-USH-TRC-012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