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B79F85"/>
          <w:sz w:val="32"/>
        </w:rPr>
        <w:t>MAISON DOCLAR</w:t>
      </w:r>
    </w:p>
    <w:p>
      <w:pPr>
        <w:spacing w:before="280"/>
        <w:jc w:val="center"/>
      </w:pPr>
      <w:r>
        <w:rPr>
          <w:b/>
          <w:sz w:val="60"/>
        </w:rPr>
        <w:t>Strategic Business Definition</w:t>
        <w:br/>
        <w:t>and Five-Year Enterprise Plan</w:t>
      </w:r>
    </w:p>
    <w:p>
      <w:pPr>
        <w:jc w:val="center"/>
      </w:pPr>
      <w:r>
        <w:rPr>
          <w:i/>
        </w:rPr>
        <w:t>A complete CEO decision draft answering the seven-part strategic framework</w:t>
      </w:r>
    </w:p>
    <w:p>
      <w:pPr>
        <w:spacing w:before="680"/>
        <w:jc w:val="center"/>
      </w:pPr>
      <w:r>
        <w:t>Version 1.0  |  Draft for ratification</w:t>
        <w:br/>
        <w:t>Planning horizon: 2027–2031  |  Base market: Lagos, Nigeria</w:t>
        <w:br/>
        <w:t>Currency: Nigerian naira unless stated otherwise</w:t>
      </w:r>
    </w:p>
    <w:p>
      <w:pPr>
        <w:spacing w:before="1480"/>
        <w:jc w:val="center"/>
      </w:pPr>
      <w:r>
        <w:rPr>
          <w:b/>
          <w:color w:val="B79F85"/>
        </w:rPr>
        <w:t>EVERY GUEST, CONSIDERED.</w:t>
      </w:r>
    </w:p>
    <w:p>
      <w:r>
        <w:br w:type="page"/>
      </w:r>
    </w:p>
    <w:p>
      <w:pPr>
        <w:pStyle w:val="Heading1"/>
        <w:keepNext/>
      </w:pPr>
      <w:r>
        <w:t>Document control</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520"/>
            <w:shd w:fill="B79F85"/>
            <w:tcMar>
              <w:top w:w="70" w:type="dxa"/>
              <w:start w:w="100" w:type="dxa"/>
              <w:bottom w:w="70" w:type="dxa"/>
              <w:end w:w="100" w:type="dxa"/>
            </w:tcMar>
          </w:tcPr>
          <w:p>
            <w:r>
              <w:rPr>
                <w:b/>
                <w:sz w:val="16"/>
              </w:rPr>
              <w:t>Field</w:t>
            </w:r>
          </w:p>
        </w:tc>
        <w:tc>
          <w:tcPr>
            <w:tcW w:type="dxa" w:w="6840"/>
            <w:shd w:fill="B79F85"/>
            <w:tcMar>
              <w:top w:w="70" w:type="dxa"/>
              <w:start w:w="100" w:type="dxa"/>
              <w:bottom w:w="70" w:type="dxa"/>
              <w:end w:w="100" w:type="dxa"/>
            </w:tcMar>
          </w:tcPr>
          <w:p>
            <w:r>
              <w:rPr>
                <w:b/>
                <w:sz w:val="16"/>
              </w:rPr>
              <w:t>Controlled value</w:t>
            </w:r>
          </w:p>
        </w:tc>
      </w:tr>
      <w:tr>
        <w:trPr>
          <w:cantSplit/>
        </w:trPr>
        <w:tc>
          <w:tcPr>
            <w:tcW w:type="dxa" w:w="2520"/>
            <w:tcMar>
              <w:top w:w="70" w:type="dxa"/>
              <w:start w:w="100" w:type="dxa"/>
              <w:bottom w:w="70" w:type="dxa"/>
              <w:end w:w="100" w:type="dxa"/>
            </w:tcMar>
            <w:vAlign w:val="top"/>
          </w:tcPr>
          <w:p>
            <w:pPr>
              <w:spacing w:after="40"/>
            </w:pPr>
            <w:r>
              <w:rPr>
                <w:sz w:val="16"/>
              </w:rPr>
              <w:t>Document owner</w:t>
            </w:r>
          </w:p>
        </w:tc>
        <w:tc>
          <w:tcPr>
            <w:tcW w:type="dxa" w:w="6840"/>
            <w:tcMar>
              <w:top w:w="70" w:type="dxa"/>
              <w:start w:w="100" w:type="dxa"/>
              <w:bottom w:w="70" w:type="dxa"/>
              <w:end w:w="100" w:type="dxa"/>
            </w:tcMar>
            <w:vAlign w:val="top"/>
          </w:tcPr>
          <w:p>
            <w:pPr>
              <w:spacing w:after="40"/>
            </w:pPr>
            <w:r>
              <w:rPr>
                <w:sz w:val="16"/>
              </w:rPr>
              <w:t>CEO, Maison Doclar</w:t>
            </w:r>
          </w:p>
        </w:tc>
      </w:tr>
      <w:tr>
        <w:trPr>
          <w:cantSplit/>
        </w:trPr>
        <w:tc>
          <w:tcPr>
            <w:tcW w:type="dxa" w:w="2520"/>
            <w:tcMar>
              <w:top w:w="70" w:type="dxa"/>
              <w:start w:w="100" w:type="dxa"/>
              <w:bottom w:w="70" w:type="dxa"/>
              <w:end w:w="100" w:type="dxa"/>
            </w:tcMar>
            <w:vAlign w:val="top"/>
            <w:shd w:fill="FAF8F6"/>
          </w:tcPr>
          <w:p>
            <w:pPr>
              <w:spacing w:after="40"/>
            </w:pPr>
            <w:r>
              <w:rPr>
                <w:sz w:val="16"/>
              </w:rPr>
              <w:t>Status</w:t>
            </w:r>
          </w:p>
        </w:tc>
        <w:tc>
          <w:tcPr>
            <w:tcW w:type="dxa" w:w="6840"/>
            <w:tcMar>
              <w:top w:w="70" w:type="dxa"/>
              <w:start w:w="100" w:type="dxa"/>
              <w:bottom w:w="70" w:type="dxa"/>
              <w:end w:w="100" w:type="dxa"/>
            </w:tcMar>
            <w:vAlign w:val="top"/>
            <w:shd w:fill="FAF8F6"/>
          </w:tcPr>
          <w:p>
            <w:pPr>
              <w:spacing w:after="40"/>
            </w:pPr>
            <w:r>
              <w:rPr>
                <w:sz w:val="16"/>
              </w:rPr>
              <w:t>Complete management recommendation; not effective until CEO ratification</w:t>
            </w:r>
          </w:p>
        </w:tc>
      </w:tr>
      <w:tr>
        <w:trPr>
          <w:cantSplit/>
        </w:trPr>
        <w:tc>
          <w:tcPr>
            <w:tcW w:type="dxa" w:w="2520"/>
            <w:tcMar>
              <w:top w:w="70" w:type="dxa"/>
              <w:start w:w="100" w:type="dxa"/>
              <w:bottom w:w="70" w:type="dxa"/>
              <w:end w:w="100" w:type="dxa"/>
            </w:tcMar>
            <w:vAlign w:val="top"/>
          </w:tcPr>
          <w:p>
            <w:pPr>
              <w:spacing w:after="40"/>
            </w:pPr>
            <w:r>
              <w:rPr>
                <w:sz w:val="16"/>
              </w:rPr>
              <w:t>Purpose</w:t>
            </w:r>
          </w:p>
        </w:tc>
        <w:tc>
          <w:tcPr>
            <w:tcW w:type="dxa" w:w="6840"/>
            <w:tcMar>
              <w:top w:w="70" w:type="dxa"/>
              <w:start w:w="100" w:type="dxa"/>
              <w:bottom w:w="70" w:type="dxa"/>
              <w:end w:w="100" w:type="dxa"/>
            </w:tcMar>
            <w:vAlign w:val="top"/>
          </w:tcPr>
          <w:p>
            <w:pPr>
              <w:spacing w:after="40"/>
            </w:pPr>
            <w:r>
              <w:rPr>
                <w:sz w:val="16"/>
              </w:rPr>
              <w:t>Define the business, market, delivery model, economics, growth path and control environment</w:t>
            </w:r>
          </w:p>
        </w:tc>
      </w:tr>
      <w:tr>
        <w:trPr>
          <w:cantSplit/>
        </w:trPr>
        <w:tc>
          <w:tcPr>
            <w:tcW w:type="dxa" w:w="2520"/>
            <w:tcMar>
              <w:top w:w="70" w:type="dxa"/>
              <w:start w:w="100" w:type="dxa"/>
              <w:bottom w:w="70" w:type="dxa"/>
              <w:end w:w="100" w:type="dxa"/>
            </w:tcMar>
            <w:vAlign w:val="top"/>
            <w:shd w:fill="FAF8F6"/>
          </w:tcPr>
          <w:p>
            <w:pPr>
              <w:spacing w:after="40"/>
            </w:pPr>
            <w:r>
              <w:rPr>
                <w:sz w:val="16"/>
              </w:rPr>
              <w:t>Doctrine inputs</w:t>
            </w:r>
          </w:p>
        </w:tc>
        <w:tc>
          <w:tcPr>
            <w:tcW w:type="dxa" w:w="6840"/>
            <w:tcMar>
              <w:top w:w="70" w:type="dxa"/>
              <w:start w:w="100" w:type="dxa"/>
              <w:bottom w:w="70" w:type="dxa"/>
              <w:end w:w="100" w:type="dxa"/>
            </w:tcMar>
            <w:vAlign w:val="top"/>
            <w:shd w:fill="FAF8F6"/>
          </w:tcPr>
          <w:p>
            <w:pPr>
              <w:spacing w:after="40"/>
            </w:pPr>
            <w:r>
              <w:rPr>
                <w:sz w:val="16"/>
              </w:rPr>
              <w:t>Ratified Maison Doclar CEO Handbook v2.0; Intelligence Specification; OS and Academy blueprints</w:t>
            </w:r>
          </w:p>
        </w:tc>
      </w:tr>
      <w:tr>
        <w:trPr>
          <w:cantSplit/>
        </w:trPr>
        <w:tc>
          <w:tcPr>
            <w:tcW w:type="dxa" w:w="2520"/>
            <w:tcMar>
              <w:top w:w="70" w:type="dxa"/>
              <w:start w:w="100" w:type="dxa"/>
              <w:bottom w:w="70" w:type="dxa"/>
              <w:end w:w="100" w:type="dxa"/>
            </w:tcMar>
            <w:vAlign w:val="top"/>
          </w:tcPr>
          <w:p>
            <w:pPr>
              <w:spacing w:after="40"/>
            </w:pPr>
            <w:r>
              <w:rPr>
                <w:sz w:val="16"/>
              </w:rPr>
              <w:t>External facts</w:t>
            </w:r>
          </w:p>
        </w:tc>
        <w:tc>
          <w:tcPr>
            <w:tcW w:type="dxa" w:w="6840"/>
            <w:tcMar>
              <w:top w:w="70" w:type="dxa"/>
              <w:start w:w="100" w:type="dxa"/>
              <w:bottom w:w="70" w:type="dxa"/>
              <w:end w:w="100" w:type="dxa"/>
            </w:tcMar>
            <w:vAlign w:val="top"/>
          </w:tcPr>
          <w:p>
            <w:pPr>
              <w:spacing w:after="40"/>
            </w:pPr>
            <w:r>
              <w:rPr>
                <w:sz w:val="16"/>
              </w:rPr>
              <w:t>Cited only in Appendix E; legal, tax, safety and cultural matters require qualified review</w:t>
            </w:r>
          </w:p>
        </w:tc>
      </w:tr>
      <w:tr>
        <w:trPr>
          <w:cantSplit/>
        </w:trPr>
        <w:tc>
          <w:tcPr>
            <w:tcW w:type="dxa" w:w="2520"/>
            <w:tcMar>
              <w:top w:w="70" w:type="dxa"/>
              <w:start w:w="100" w:type="dxa"/>
              <w:bottom w:w="70" w:type="dxa"/>
              <w:end w:w="100" w:type="dxa"/>
            </w:tcMar>
            <w:vAlign w:val="top"/>
            <w:shd w:fill="FAF8F6"/>
          </w:tcPr>
          <w:p>
            <w:pPr>
              <w:spacing w:after="40"/>
            </w:pPr>
            <w:r>
              <w:rPr>
                <w:sz w:val="16"/>
              </w:rPr>
              <w:t>Planning convention</w:t>
            </w:r>
          </w:p>
        </w:tc>
        <w:tc>
          <w:tcPr>
            <w:tcW w:type="dxa" w:w="6840"/>
            <w:tcMar>
              <w:top w:w="70" w:type="dxa"/>
              <w:start w:w="100" w:type="dxa"/>
              <w:bottom w:w="70" w:type="dxa"/>
              <w:end w:w="100" w:type="dxa"/>
            </w:tcMar>
            <w:vAlign w:val="top"/>
            <w:shd w:fill="FAF8F6"/>
          </w:tcPr>
          <w:p>
            <w:pPr>
              <w:spacing w:after="40"/>
            </w:pPr>
            <w:r>
              <w:rPr>
                <w:sz w:val="16"/>
              </w:rPr>
              <w:t>Revenue means Maison Doclar net fees, excluding client pass-through supplier spend</w:t>
            </w:r>
          </w:p>
        </w:tc>
      </w:tr>
      <w:tr>
        <w:trPr>
          <w:cantSplit/>
        </w:trPr>
        <w:tc>
          <w:tcPr>
            <w:tcW w:type="dxa" w:w="2520"/>
            <w:tcMar>
              <w:top w:w="70" w:type="dxa"/>
              <w:start w:w="100" w:type="dxa"/>
              <w:bottom w:w="70" w:type="dxa"/>
              <w:end w:w="100" w:type="dxa"/>
            </w:tcMar>
            <w:vAlign w:val="top"/>
          </w:tcPr>
          <w:p>
            <w:pPr>
              <w:spacing w:after="40"/>
            </w:pPr>
            <w:r>
              <w:rPr>
                <w:sz w:val="16"/>
              </w:rPr>
              <w:t>Unknown current-state facts</w:t>
            </w:r>
          </w:p>
        </w:tc>
        <w:tc>
          <w:tcPr>
            <w:tcW w:type="dxa" w:w="6840"/>
            <w:tcMar>
              <w:top w:w="70" w:type="dxa"/>
              <w:start w:w="100" w:type="dxa"/>
              <w:bottom w:w="70" w:type="dxa"/>
              <w:end w:w="100" w:type="dxa"/>
            </w:tcMar>
            <w:vAlign w:val="top"/>
          </w:tcPr>
          <w:p>
            <w:pPr>
              <w:spacing w:after="40"/>
            </w:pPr>
            <w:r>
              <w:rPr>
                <w:sz w:val="16"/>
              </w:rPr>
              <w:t>Not fabricated; treated as evidence gaps with a named closure action</w:t>
            </w:r>
          </w:p>
        </w:tc>
      </w:tr>
      <w:tr>
        <w:trPr>
          <w:cantSplit/>
        </w:trPr>
        <w:tc>
          <w:tcPr>
            <w:tcW w:type="dxa" w:w="2520"/>
            <w:tcMar>
              <w:top w:w="70" w:type="dxa"/>
              <w:start w:w="100" w:type="dxa"/>
              <w:bottom w:w="70" w:type="dxa"/>
              <w:end w:w="100" w:type="dxa"/>
            </w:tcMar>
            <w:vAlign w:val="top"/>
            <w:shd w:fill="FAF8F6"/>
          </w:tcPr>
          <w:p>
            <w:pPr>
              <w:spacing w:after="40"/>
            </w:pPr>
            <w:r>
              <w:rPr>
                <w:sz w:val="16"/>
              </w:rPr>
              <w:t>Review cycle</w:t>
            </w:r>
          </w:p>
        </w:tc>
        <w:tc>
          <w:tcPr>
            <w:tcW w:type="dxa" w:w="6840"/>
            <w:tcMar>
              <w:top w:w="70" w:type="dxa"/>
              <w:start w:w="100" w:type="dxa"/>
              <w:bottom w:w="70" w:type="dxa"/>
              <w:end w:w="100" w:type="dxa"/>
            </w:tcMar>
            <w:vAlign w:val="top"/>
            <w:shd w:fill="FAF8F6"/>
          </w:tcPr>
          <w:p>
            <w:pPr>
              <w:spacing w:after="40"/>
            </w:pPr>
            <w:r>
              <w:rPr>
                <w:sz w:val="16"/>
              </w:rPr>
              <w:t>Quarterly strategy review; annual plan refresh; immediate review after a material event or regulatory change</w:t>
            </w:r>
          </w:p>
        </w:tc>
      </w:tr>
    </w:tbl>
    <w:p>
      <w:pPr>
        <w:spacing w:after="20"/>
      </w:pP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RATIFICATION RULE  </w:t>
            </w:r>
            <w:r>
              <w:t>Ratification should be line-by-line for the Decision Register, financial assumptions and risk appetite. Until then, all numbers and strategic choices are proposed management policy.</w:t>
            </w:r>
          </w:p>
        </w:tc>
      </w:tr>
    </w:tbl>
    <w:p>
      <w:pPr>
        <w:pStyle w:val="Heading2"/>
        <w:keepNext/>
      </w:pPr>
      <w:r>
        <w:t>How to use and search this document</w:t>
      </w:r>
    </w:p>
    <w:p>
      <w:pPr>
        <w:pStyle w:val="ListBullet"/>
      </w:pPr>
      <w:r>
        <w:t>Use Word Navigation to search headings and IDs. Every originating question appears in Appendix A with a unique SBF identifier.</w:t>
      </w:r>
    </w:p>
    <w:p>
      <w:pPr>
        <w:pStyle w:val="ListBullet"/>
      </w:pPr>
      <w:r>
        <w:t>Use the CEO Decision Register for choices; the Assumption Register for hypotheses; the Evidence-Gap Register for facts still to be proven.</w:t>
      </w:r>
    </w:p>
    <w:p>
      <w:pPr>
        <w:pStyle w:val="ListBullet"/>
      </w:pPr>
      <w:r>
        <w:t>A statement marked REQUIRED REVIEW is not delegated judgment: it identifies legal, tax, protocol, safety or cultural authority that must validate the operating rule.</w:t>
      </w:r>
    </w:p>
    <w:p>
      <w:pPr>
        <w:pStyle w:val="ListBullet"/>
      </w:pPr>
      <w:r>
        <w:t>This plan is a commercial companion to the CEO Handbook, Event OS and Academy. It does not replace their detailed doctrine or build specifications.</w:t>
      </w:r>
    </w:p>
    <w:p>
      <w:pPr>
        <w:pStyle w:val="Heading1"/>
        <w:keepNext/>
      </w:pPr>
      <w:r>
        <w:t>Executive decision</w:t>
      </w: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CORE ANSWER  </w:t>
            </w:r>
            <w:r>
              <w:t>Maison Doclar should be built as a scalable, software-enabled premium service enterprise: the trusted guest-experience, protocol and event-command partner for consequential events. It should not compete as a general event planner, décor company or staffing agency.</w:t>
            </w:r>
          </w:p>
        </w:tc>
      </w:tr>
    </w:tbl>
    <w:p>
      <w:r>
        <w:t>Maison Doclar makes important events feel effortless for every guest while protecting the host’s reputation. It combines human hospitality, cultural and protocol judgment, operational command, and event-scoped intelligence. The company can lead the guest-experience workstream or integrate with a client’s planner, venue, producer or family office.</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448"/>
            <w:shd w:fill="B79F85"/>
            <w:tcMar>
              <w:top w:w="70" w:type="dxa"/>
              <w:start w:w="100" w:type="dxa"/>
              <w:bottom w:w="70" w:type="dxa"/>
              <w:end w:w="100" w:type="dxa"/>
            </w:tcMar>
          </w:tcPr>
          <w:p>
            <w:r>
              <w:rPr>
                <w:b/>
                <w:sz w:val="16"/>
              </w:rPr>
              <w:t>Decision</w:t>
            </w:r>
          </w:p>
        </w:tc>
        <w:tc>
          <w:tcPr>
            <w:tcW w:type="dxa" w:w="6912"/>
            <w:shd w:fill="B79F85"/>
            <w:tcMar>
              <w:top w:w="70" w:type="dxa"/>
              <w:start w:w="100" w:type="dxa"/>
              <w:bottom w:w="70" w:type="dxa"/>
              <w:end w:w="100" w:type="dxa"/>
            </w:tcMar>
          </w:tcPr>
          <w:p>
            <w:r>
              <w:rPr>
                <w:b/>
                <w:sz w:val="16"/>
              </w:rPr>
              <w:t>Recommended position</w:t>
            </w:r>
          </w:p>
        </w:tc>
      </w:tr>
      <w:tr>
        <w:trPr>
          <w:cantSplit/>
        </w:trPr>
        <w:tc>
          <w:tcPr>
            <w:tcW w:type="dxa" w:w="2448"/>
            <w:tcMar>
              <w:top w:w="70" w:type="dxa"/>
              <w:start w:w="100" w:type="dxa"/>
              <w:bottom w:w="70" w:type="dxa"/>
              <w:end w:w="100" w:type="dxa"/>
            </w:tcMar>
            <w:vAlign w:val="top"/>
          </w:tcPr>
          <w:p>
            <w:pPr>
              <w:spacing w:after="40"/>
            </w:pPr>
            <w:r>
              <w:rPr>
                <w:sz w:val="16"/>
              </w:rPr>
              <w:t>Category</w:t>
            </w:r>
          </w:p>
        </w:tc>
        <w:tc>
          <w:tcPr>
            <w:tcW w:type="dxa" w:w="6912"/>
            <w:tcMar>
              <w:top w:w="70" w:type="dxa"/>
              <w:start w:w="100" w:type="dxa"/>
              <w:bottom w:w="70" w:type="dxa"/>
              <w:end w:w="100" w:type="dxa"/>
            </w:tcMar>
            <w:vAlign w:val="top"/>
          </w:tcPr>
          <w:p>
            <w:pPr>
              <w:spacing w:after="40"/>
            </w:pPr>
            <w:r>
              <w:rPr>
                <w:sz w:val="16"/>
              </w:rPr>
              <w:t>White-glove Guest Experience, Protocol &amp; Event Operations</w:t>
            </w:r>
          </w:p>
        </w:tc>
      </w:tr>
      <w:tr>
        <w:trPr>
          <w:cantSplit/>
        </w:trPr>
        <w:tc>
          <w:tcPr>
            <w:tcW w:type="dxa" w:w="2448"/>
            <w:tcMar>
              <w:top w:w="70" w:type="dxa"/>
              <w:start w:w="100" w:type="dxa"/>
              <w:bottom w:w="70" w:type="dxa"/>
              <w:end w:w="100" w:type="dxa"/>
            </w:tcMar>
            <w:vAlign w:val="top"/>
            <w:shd w:fill="FAF8F6"/>
          </w:tcPr>
          <w:p>
            <w:pPr>
              <w:spacing w:after="40"/>
            </w:pPr>
            <w:r>
              <w:rPr>
                <w:sz w:val="16"/>
              </w:rPr>
              <w:t>Primary buyer</w:t>
            </w:r>
          </w:p>
        </w:tc>
        <w:tc>
          <w:tcPr>
            <w:tcW w:type="dxa" w:w="6912"/>
            <w:tcMar>
              <w:top w:w="70" w:type="dxa"/>
              <w:start w:w="100" w:type="dxa"/>
              <w:bottom w:w="70" w:type="dxa"/>
              <w:end w:w="100" w:type="dxa"/>
            </w:tcMar>
            <w:vAlign w:val="top"/>
            <w:shd w:fill="FAF8F6"/>
          </w:tcPr>
          <w:p>
            <w:pPr>
              <w:spacing w:after="40"/>
            </w:pPr>
            <w:r>
              <w:rPr>
                <w:sz w:val="16"/>
              </w:rPr>
              <w:t>HNW/UHNW principals, families and family offices; reputation-sensitive organisations</w:t>
            </w:r>
          </w:p>
        </w:tc>
      </w:tr>
      <w:tr>
        <w:trPr>
          <w:cantSplit/>
        </w:trPr>
        <w:tc>
          <w:tcPr>
            <w:tcW w:type="dxa" w:w="2448"/>
            <w:tcMar>
              <w:top w:w="70" w:type="dxa"/>
              <w:start w:w="100" w:type="dxa"/>
              <w:bottom w:w="70" w:type="dxa"/>
              <w:end w:w="100" w:type="dxa"/>
            </w:tcMar>
            <w:vAlign w:val="top"/>
          </w:tcPr>
          <w:p>
            <w:pPr>
              <w:spacing w:after="40"/>
            </w:pPr>
            <w:r>
              <w:rPr>
                <w:sz w:val="16"/>
              </w:rPr>
              <w:t>Secondary buyer</w:t>
            </w:r>
          </w:p>
        </w:tc>
        <w:tc>
          <w:tcPr>
            <w:tcW w:type="dxa" w:w="6912"/>
            <w:tcMar>
              <w:top w:w="70" w:type="dxa"/>
              <w:start w:w="100" w:type="dxa"/>
              <w:bottom w:w="70" w:type="dxa"/>
              <w:end w:w="100" w:type="dxa"/>
            </w:tcMar>
            <w:vAlign w:val="top"/>
          </w:tcPr>
          <w:p>
            <w:pPr>
              <w:spacing w:after="40"/>
            </w:pPr>
            <w:r>
              <w:rPr>
                <w:sz w:val="16"/>
              </w:rPr>
              <w:t>Premium event organisers, venues, hotels and corporate/diplomatic hosts needing a specialist layer</w:t>
            </w:r>
          </w:p>
        </w:tc>
      </w:tr>
      <w:tr>
        <w:trPr>
          <w:cantSplit/>
        </w:trPr>
        <w:tc>
          <w:tcPr>
            <w:tcW w:type="dxa" w:w="2448"/>
            <w:tcMar>
              <w:top w:w="70" w:type="dxa"/>
              <w:start w:w="100" w:type="dxa"/>
              <w:bottom w:w="70" w:type="dxa"/>
              <w:end w:w="100" w:type="dxa"/>
            </w:tcMar>
            <w:vAlign w:val="top"/>
            <w:shd w:fill="FAF8F6"/>
          </w:tcPr>
          <w:p>
            <w:pPr>
              <w:spacing w:after="40"/>
            </w:pPr>
            <w:r>
              <w:rPr>
                <w:sz w:val="16"/>
              </w:rPr>
              <w:t>Business model</w:t>
            </w:r>
          </w:p>
        </w:tc>
        <w:tc>
          <w:tcPr>
            <w:tcW w:type="dxa" w:w="6912"/>
            <w:tcMar>
              <w:top w:w="70" w:type="dxa"/>
              <w:start w:w="100" w:type="dxa"/>
              <w:bottom w:w="70" w:type="dxa"/>
              <w:end w:w="100" w:type="dxa"/>
            </w:tcMar>
            <w:vAlign w:val="top"/>
            <w:shd w:fill="FAF8F6"/>
          </w:tcPr>
          <w:p>
            <w:pPr>
              <w:spacing w:after="40"/>
            </w:pPr>
            <w:r>
              <w:rPr>
                <w:sz w:val="16"/>
              </w:rPr>
              <w:t>Productised service with bespoke judgment; project fees + retainers + advisory + Academy; managed technology later</w:t>
            </w:r>
          </w:p>
        </w:tc>
      </w:tr>
      <w:tr>
        <w:trPr>
          <w:cantSplit/>
        </w:trPr>
        <w:tc>
          <w:tcPr>
            <w:tcW w:type="dxa" w:w="2448"/>
            <w:tcMar>
              <w:top w:w="70" w:type="dxa"/>
              <w:start w:w="100" w:type="dxa"/>
              <w:bottom w:w="70" w:type="dxa"/>
              <w:end w:w="100" w:type="dxa"/>
            </w:tcMar>
            <w:vAlign w:val="top"/>
          </w:tcPr>
          <w:p>
            <w:pPr>
              <w:spacing w:after="40"/>
            </w:pPr>
            <w:r>
              <w:rPr>
                <w:sz w:val="16"/>
              </w:rPr>
              <w:t>Geography</w:t>
            </w:r>
          </w:p>
        </w:tc>
        <w:tc>
          <w:tcPr>
            <w:tcW w:type="dxa" w:w="6912"/>
            <w:tcMar>
              <w:top w:w="70" w:type="dxa"/>
              <w:start w:w="100" w:type="dxa"/>
              <w:bottom w:w="70" w:type="dxa"/>
              <w:end w:w="100" w:type="dxa"/>
            </w:tcMar>
            <w:vAlign w:val="top"/>
          </w:tcPr>
          <w:p>
            <w:pPr>
              <w:spacing w:after="40"/>
            </w:pPr>
            <w:r>
              <w:rPr>
                <w:sz w:val="16"/>
              </w:rPr>
              <w:t>Lagos first; Nigeria next; remote/destination capability through validated local partners</w:t>
            </w:r>
          </w:p>
        </w:tc>
      </w:tr>
      <w:tr>
        <w:trPr>
          <w:cantSplit/>
        </w:trPr>
        <w:tc>
          <w:tcPr>
            <w:tcW w:type="dxa" w:w="2448"/>
            <w:tcMar>
              <w:top w:w="70" w:type="dxa"/>
              <w:start w:w="100" w:type="dxa"/>
              <w:bottom w:w="70" w:type="dxa"/>
              <w:end w:w="100" w:type="dxa"/>
            </w:tcMar>
            <w:vAlign w:val="top"/>
            <w:shd w:fill="FAF8F6"/>
          </w:tcPr>
          <w:p>
            <w:pPr>
              <w:spacing w:after="40"/>
            </w:pPr>
            <w:r>
              <w:rPr>
                <w:sz w:val="16"/>
              </w:rPr>
              <w:t>Promise</w:t>
            </w:r>
          </w:p>
        </w:tc>
        <w:tc>
          <w:tcPr>
            <w:tcW w:type="dxa" w:w="6912"/>
            <w:tcMar>
              <w:top w:w="70" w:type="dxa"/>
              <w:start w:w="100" w:type="dxa"/>
              <w:bottom w:w="70" w:type="dxa"/>
              <w:end w:w="100" w:type="dxa"/>
            </w:tcMar>
            <w:vAlign w:val="top"/>
            <w:shd w:fill="FAF8F6"/>
          </w:tcPr>
          <w:p>
            <w:pPr>
              <w:spacing w:after="40"/>
            </w:pPr>
            <w:r>
              <w:rPr>
                <w:sz w:val="16"/>
              </w:rPr>
              <w:t>Every guest is considered; every critical hand-off is owned; every important decision is controlled</w:t>
            </w:r>
          </w:p>
        </w:tc>
      </w:tr>
      <w:tr>
        <w:trPr>
          <w:cantSplit/>
        </w:trPr>
        <w:tc>
          <w:tcPr>
            <w:tcW w:type="dxa" w:w="2448"/>
            <w:tcMar>
              <w:top w:w="70" w:type="dxa"/>
              <w:start w:w="100" w:type="dxa"/>
              <w:bottom w:w="70" w:type="dxa"/>
              <w:end w:w="100" w:type="dxa"/>
            </w:tcMar>
            <w:vAlign w:val="top"/>
          </w:tcPr>
          <w:p>
            <w:pPr>
              <w:spacing w:after="40"/>
            </w:pPr>
            <w:r>
              <w:rPr>
                <w:sz w:val="16"/>
              </w:rPr>
              <w:t>Tagline</w:t>
            </w:r>
          </w:p>
        </w:tc>
        <w:tc>
          <w:tcPr>
            <w:tcW w:type="dxa" w:w="6912"/>
            <w:tcMar>
              <w:top w:w="70" w:type="dxa"/>
              <w:start w:w="100" w:type="dxa"/>
              <w:bottom w:w="70" w:type="dxa"/>
              <w:end w:w="100" w:type="dxa"/>
            </w:tcMar>
            <w:vAlign w:val="top"/>
          </w:tcPr>
          <w:p>
            <w:pPr>
              <w:spacing w:after="40"/>
            </w:pPr>
            <w:r>
              <w:rPr>
                <w:sz w:val="16"/>
              </w:rPr>
              <w:t>Every Guest, Considered.</w:t>
            </w:r>
          </w:p>
        </w:tc>
      </w:tr>
      <w:tr>
        <w:trPr>
          <w:cantSplit/>
        </w:trPr>
        <w:tc>
          <w:tcPr>
            <w:tcW w:type="dxa" w:w="2448"/>
            <w:tcMar>
              <w:top w:w="70" w:type="dxa"/>
              <w:start w:w="100" w:type="dxa"/>
              <w:bottom w:w="70" w:type="dxa"/>
              <w:end w:w="100" w:type="dxa"/>
            </w:tcMar>
            <w:vAlign w:val="top"/>
            <w:shd w:fill="FAF8F6"/>
          </w:tcPr>
          <w:p>
            <w:pPr>
              <w:spacing w:after="40"/>
            </w:pPr>
            <w:r>
              <w:rPr>
                <w:sz w:val="16"/>
              </w:rPr>
              <w:t>Five-year outcome</w:t>
            </w:r>
          </w:p>
        </w:tc>
        <w:tc>
          <w:tcPr>
            <w:tcW w:type="dxa" w:w="6912"/>
            <w:tcMar>
              <w:top w:w="70" w:type="dxa"/>
              <w:start w:w="100" w:type="dxa"/>
              <w:bottom w:w="70" w:type="dxa"/>
              <w:end w:w="100" w:type="dxa"/>
            </w:tcMar>
            <w:vAlign w:val="top"/>
            <w:shd w:fill="FAF8F6"/>
          </w:tcPr>
          <w:p>
            <w:pPr>
              <w:spacing w:after="40"/>
            </w:pPr>
            <w:r>
              <w:rPr>
                <w:sz w:val="16"/>
              </w:rPr>
              <w:t>₦360m net revenue, ~₦101m EBITDA, founder-independent leadership and evidence capable of supporting a ₦500m planning valuation</w:t>
            </w:r>
          </w:p>
        </w:tc>
      </w:tr>
      <w:tr>
        <w:trPr>
          <w:cantSplit/>
        </w:trPr>
        <w:tc>
          <w:tcPr>
            <w:tcW w:type="dxa" w:w="2448"/>
            <w:tcMar>
              <w:top w:w="70" w:type="dxa"/>
              <w:start w:w="100" w:type="dxa"/>
              <w:bottom w:w="70" w:type="dxa"/>
              <w:end w:w="100" w:type="dxa"/>
            </w:tcMar>
            <w:vAlign w:val="top"/>
          </w:tcPr>
          <w:p>
            <w:pPr>
              <w:spacing w:after="40"/>
            </w:pPr>
            <w:r>
              <w:rPr>
                <w:sz w:val="16"/>
              </w:rPr>
              <w:t>Capital posture</w:t>
            </w:r>
          </w:p>
        </w:tc>
        <w:tc>
          <w:tcPr>
            <w:tcW w:type="dxa" w:w="6912"/>
            <w:tcMar>
              <w:top w:w="70" w:type="dxa"/>
              <w:start w:w="100" w:type="dxa"/>
              <w:bottom w:w="70" w:type="dxa"/>
              <w:end w:w="100" w:type="dxa"/>
            </w:tcMar>
            <w:vAlign w:val="top"/>
          </w:tcPr>
          <w:p>
            <w:pPr>
              <w:spacing w:after="40"/>
            </w:pPr>
            <w:r>
              <w:rPr>
                <w:sz w:val="16"/>
              </w:rPr>
              <w:t>Client-funded and bootstrapped first; working-capital debt only after predictable cash conversion; equity only for proven scalable expansion</w:t>
            </w:r>
          </w:p>
        </w:tc>
      </w:tr>
    </w:tbl>
    <w:p>
      <w:pPr>
        <w:spacing w:after="20"/>
      </w:pPr>
    </w:p>
    <w:p>
      <w:pPr>
        <w:pStyle w:val="Heading1"/>
        <w:keepNext/>
      </w:pPr>
      <w:r>
        <w:t>The ₦500 million question</w:t>
      </w:r>
    </w:p>
    <w:p>
      <w:r>
        <w:t>For Maison Doclar to be worth ₦500m in five years, the following must all be true. “Worth” is treated as an enterprise-value planning objective, not a promise or professional valuation.</w:t>
      </w:r>
    </w:p>
    <w:p>
      <w:pPr>
        <w:pStyle w:val="ListBullet"/>
      </w:pPr>
      <w:r>
        <w:t>Net revenue reaches about ₦360m in Year 5 without counting supplier pass-through funds.</w:t>
      </w:r>
    </w:p>
    <w:p>
      <w:pPr>
        <w:pStyle w:val="ListBullet"/>
      </w:pPr>
      <w:r>
        <w:t>EBITDA reaches approximately ₦101m, or 28% of net revenue, through pricing discipline, repeatable delivery and controlled staffing.</w:t>
      </w:r>
    </w:p>
    <w:p>
      <w:pPr>
        <w:pStyle w:val="ListBullet"/>
      </w:pPr>
      <w:r>
        <w:t>At a planning multiple of 5× EBITDA, the enterprise-value hypothesis is approximately ₦504m. A qualified valuer and market evidence must determine any actual valuation.</w:t>
      </w:r>
    </w:p>
    <w:p>
      <w:pPr>
        <w:pStyle w:val="ListBullet"/>
      </w:pPr>
      <w:r>
        <w:t>At least 40% of revenue is repeat, retained or otherwise predictable; no client supplies more than 20% of annual revenue.</w:t>
      </w:r>
    </w:p>
    <w:p>
      <w:pPr>
        <w:pStyle w:val="ListBullet"/>
      </w:pPr>
      <w:r>
        <w:t>The CEO is no longer the operational bottleneck: an Event Director and certified leaders can deliver to standard under delegated authority.</w:t>
      </w:r>
    </w:p>
    <w:p>
      <w:pPr>
        <w:pStyle w:val="ListBullet"/>
      </w:pPr>
      <w:r>
        <w:t>The Event OS provides auditable, event-scoped control and the Academy produces deployable, certified people. Both are validated in rehearsals and real events.</w:t>
      </w:r>
    </w:p>
    <w:p>
      <w:pPr>
        <w:pStyle w:val="ListBullet"/>
      </w:pPr>
      <w:r>
        <w:t>The business holds defensible brand/IP, clean contracts, reliable financial records, verified case studies, a supplier network and measurable client outcomes.</w:t>
      </w:r>
    </w:p>
    <w:tbl>
      <w:tblPr>
        <w:tblStyle w:val="TableGrid"/>
        <w:tblW w:type="auto" w:w="0"/>
        <w:jc w:val="left"/>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92"/>
            <w:shd w:fill="B79F85"/>
            <w:tcMar>
              <w:top w:w="70" w:type="dxa"/>
              <w:start w:w="100" w:type="dxa"/>
              <w:bottom w:w="70" w:type="dxa"/>
              <w:end w:w="100" w:type="dxa"/>
            </w:tcMar>
          </w:tcPr>
          <w:p>
            <w:r>
              <w:rPr>
                <w:b/>
                <w:sz w:val="16"/>
              </w:rPr>
              <w:t>Year</w:t>
            </w:r>
          </w:p>
        </w:tc>
        <w:tc>
          <w:tcPr>
            <w:tcW w:type="dxa" w:w="1512"/>
            <w:shd w:fill="B79F85"/>
            <w:tcMar>
              <w:top w:w="70" w:type="dxa"/>
              <w:start w:w="100" w:type="dxa"/>
              <w:bottom w:w="70" w:type="dxa"/>
              <w:end w:w="100" w:type="dxa"/>
            </w:tcMar>
          </w:tcPr>
          <w:p>
            <w:r>
              <w:rPr>
                <w:b/>
                <w:sz w:val="16"/>
              </w:rPr>
              <w:t>Net revenue</w:t>
            </w:r>
          </w:p>
        </w:tc>
        <w:tc>
          <w:tcPr>
            <w:tcW w:type="dxa" w:w="1440"/>
            <w:shd w:fill="B79F85"/>
            <w:tcMar>
              <w:top w:w="70" w:type="dxa"/>
              <w:start w:w="100" w:type="dxa"/>
              <w:bottom w:w="70" w:type="dxa"/>
              <w:end w:w="100" w:type="dxa"/>
            </w:tcMar>
          </w:tcPr>
          <w:p>
            <w:r>
              <w:rPr>
                <w:b/>
                <w:sz w:val="16"/>
              </w:rPr>
              <w:t>Gross margin</w:t>
            </w:r>
          </w:p>
        </w:tc>
        <w:tc>
          <w:tcPr>
            <w:tcW w:type="dxa" w:w="1512"/>
            <w:shd w:fill="B79F85"/>
            <w:tcMar>
              <w:top w:w="70" w:type="dxa"/>
              <w:start w:w="100" w:type="dxa"/>
              <w:bottom w:w="70" w:type="dxa"/>
              <w:end w:w="100" w:type="dxa"/>
            </w:tcMar>
          </w:tcPr>
          <w:p>
            <w:r>
              <w:rPr>
                <w:b/>
                <w:sz w:val="16"/>
              </w:rPr>
              <w:t>EBITDA margin</w:t>
            </w:r>
          </w:p>
        </w:tc>
        <w:tc>
          <w:tcPr>
            <w:tcW w:type="dxa" w:w="1440"/>
            <w:shd w:fill="B79F85"/>
            <w:tcMar>
              <w:top w:w="70" w:type="dxa"/>
              <w:start w:w="100" w:type="dxa"/>
              <w:bottom w:w="70" w:type="dxa"/>
              <w:end w:w="100" w:type="dxa"/>
            </w:tcMar>
          </w:tcPr>
          <w:p>
            <w:r>
              <w:rPr>
                <w:b/>
                <w:sz w:val="16"/>
              </w:rPr>
              <w:t>EBITDA</w:t>
            </w:r>
          </w:p>
        </w:tc>
        <w:tc>
          <w:tcPr>
            <w:tcW w:type="dxa" w:w="3024"/>
            <w:shd w:fill="B79F85"/>
            <w:tcMar>
              <w:top w:w="70" w:type="dxa"/>
              <w:start w:w="100" w:type="dxa"/>
              <w:bottom w:w="70" w:type="dxa"/>
              <w:end w:w="100" w:type="dxa"/>
            </w:tcMar>
          </w:tcPr>
          <w:p>
            <w:r>
              <w:rPr>
                <w:b/>
                <w:sz w:val="16"/>
              </w:rPr>
              <w:t>Primary proof</w:t>
            </w:r>
          </w:p>
        </w:tc>
      </w:tr>
      <w:tr>
        <w:trPr>
          <w:cantSplit/>
        </w:trPr>
        <w:tc>
          <w:tcPr>
            <w:tcW w:type="dxa" w:w="792"/>
            <w:tcMar>
              <w:top w:w="70" w:type="dxa"/>
              <w:start w:w="100" w:type="dxa"/>
              <w:bottom w:w="70" w:type="dxa"/>
              <w:end w:w="100" w:type="dxa"/>
            </w:tcMar>
            <w:vAlign w:val="top"/>
          </w:tcPr>
          <w:p>
            <w:pPr>
              <w:spacing w:after="40"/>
            </w:pPr>
            <w:r>
              <w:rPr>
                <w:sz w:val="16"/>
              </w:rPr>
              <w:t>Y1</w:t>
            </w:r>
          </w:p>
        </w:tc>
        <w:tc>
          <w:tcPr>
            <w:tcW w:type="dxa" w:w="1512"/>
            <w:tcMar>
              <w:top w:w="70" w:type="dxa"/>
              <w:start w:w="100" w:type="dxa"/>
              <w:bottom w:w="70" w:type="dxa"/>
              <w:end w:w="100" w:type="dxa"/>
            </w:tcMar>
            <w:vAlign w:val="top"/>
          </w:tcPr>
          <w:p>
            <w:pPr>
              <w:spacing w:after="40"/>
            </w:pPr>
            <w:r>
              <w:rPr>
                <w:sz w:val="16"/>
              </w:rPr>
              <w:t>₦60m</w:t>
            </w:r>
          </w:p>
        </w:tc>
        <w:tc>
          <w:tcPr>
            <w:tcW w:type="dxa" w:w="1440"/>
            <w:tcMar>
              <w:top w:w="70" w:type="dxa"/>
              <w:start w:w="100" w:type="dxa"/>
              <w:bottom w:w="70" w:type="dxa"/>
              <w:end w:w="100" w:type="dxa"/>
            </w:tcMar>
            <w:vAlign w:val="top"/>
          </w:tcPr>
          <w:p>
            <w:pPr>
              <w:spacing w:after="40"/>
            </w:pPr>
            <w:r>
              <w:rPr>
                <w:sz w:val="16"/>
              </w:rPr>
              <w:t>55%</w:t>
            </w:r>
          </w:p>
        </w:tc>
        <w:tc>
          <w:tcPr>
            <w:tcW w:type="dxa" w:w="1512"/>
            <w:tcMar>
              <w:top w:w="70" w:type="dxa"/>
              <w:start w:w="100" w:type="dxa"/>
              <w:bottom w:w="70" w:type="dxa"/>
              <w:end w:w="100" w:type="dxa"/>
            </w:tcMar>
            <w:vAlign w:val="top"/>
          </w:tcPr>
          <w:p>
            <w:pPr>
              <w:spacing w:after="40"/>
            </w:pPr>
            <w:r>
              <w:rPr>
                <w:sz w:val="16"/>
              </w:rPr>
              <w:t>3%</w:t>
            </w:r>
          </w:p>
        </w:tc>
        <w:tc>
          <w:tcPr>
            <w:tcW w:type="dxa" w:w="1440"/>
            <w:tcMar>
              <w:top w:w="70" w:type="dxa"/>
              <w:start w:w="100" w:type="dxa"/>
              <w:bottom w:w="70" w:type="dxa"/>
              <w:end w:w="100" w:type="dxa"/>
            </w:tcMar>
            <w:vAlign w:val="top"/>
          </w:tcPr>
          <w:p>
            <w:pPr>
              <w:spacing w:after="40"/>
            </w:pPr>
            <w:r>
              <w:rPr>
                <w:sz w:val="16"/>
              </w:rPr>
              <w:t>₦1.8m</w:t>
            </w:r>
          </w:p>
        </w:tc>
        <w:tc>
          <w:tcPr>
            <w:tcW w:type="dxa" w:w="3024"/>
            <w:tcMar>
              <w:top w:w="70" w:type="dxa"/>
              <w:start w:w="100" w:type="dxa"/>
              <w:bottom w:w="70" w:type="dxa"/>
              <w:end w:w="100" w:type="dxa"/>
            </w:tcMar>
            <w:vAlign w:val="top"/>
          </w:tcPr>
          <w:p>
            <w:pPr>
              <w:spacing w:after="40"/>
            </w:pPr>
            <w:r>
              <w:rPr>
                <w:sz w:val="16"/>
              </w:rPr>
              <w:t>Product–market evidence; 6–8 paid engagements</w:t>
            </w:r>
          </w:p>
        </w:tc>
      </w:tr>
      <w:tr>
        <w:trPr>
          <w:cantSplit/>
        </w:trPr>
        <w:tc>
          <w:tcPr>
            <w:tcW w:type="dxa" w:w="792"/>
            <w:tcMar>
              <w:top w:w="70" w:type="dxa"/>
              <w:start w:w="100" w:type="dxa"/>
              <w:bottom w:w="70" w:type="dxa"/>
              <w:end w:w="100" w:type="dxa"/>
            </w:tcMar>
            <w:vAlign w:val="top"/>
            <w:shd w:fill="FAF8F6"/>
          </w:tcPr>
          <w:p>
            <w:pPr>
              <w:spacing w:after="40"/>
            </w:pPr>
            <w:r>
              <w:rPr>
                <w:sz w:val="16"/>
              </w:rPr>
              <w:t>Y2</w:t>
            </w:r>
          </w:p>
        </w:tc>
        <w:tc>
          <w:tcPr>
            <w:tcW w:type="dxa" w:w="1512"/>
            <w:tcMar>
              <w:top w:w="70" w:type="dxa"/>
              <w:start w:w="100" w:type="dxa"/>
              <w:bottom w:w="70" w:type="dxa"/>
              <w:end w:w="100" w:type="dxa"/>
            </w:tcMar>
            <w:vAlign w:val="top"/>
            <w:shd w:fill="FAF8F6"/>
          </w:tcPr>
          <w:p>
            <w:pPr>
              <w:spacing w:after="40"/>
            </w:pPr>
            <w:r>
              <w:rPr>
                <w:sz w:val="16"/>
              </w:rPr>
              <w:t>₦110m</w:t>
            </w:r>
          </w:p>
        </w:tc>
        <w:tc>
          <w:tcPr>
            <w:tcW w:type="dxa" w:w="1440"/>
            <w:tcMar>
              <w:top w:w="70" w:type="dxa"/>
              <w:start w:w="100" w:type="dxa"/>
              <w:bottom w:w="70" w:type="dxa"/>
              <w:end w:w="100" w:type="dxa"/>
            </w:tcMar>
            <w:vAlign w:val="top"/>
            <w:shd w:fill="FAF8F6"/>
          </w:tcPr>
          <w:p>
            <w:pPr>
              <w:spacing w:after="40"/>
            </w:pPr>
            <w:r>
              <w:rPr>
                <w:sz w:val="16"/>
              </w:rPr>
              <w:t>57%</w:t>
            </w:r>
          </w:p>
        </w:tc>
        <w:tc>
          <w:tcPr>
            <w:tcW w:type="dxa" w:w="1512"/>
            <w:tcMar>
              <w:top w:w="70" w:type="dxa"/>
              <w:start w:w="100" w:type="dxa"/>
              <w:bottom w:w="70" w:type="dxa"/>
              <w:end w:w="100" w:type="dxa"/>
            </w:tcMar>
            <w:vAlign w:val="top"/>
            <w:shd w:fill="FAF8F6"/>
          </w:tcPr>
          <w:p>
            <w:pPr>
              <w:spacing w:after="40"/>
            </w:pPr>
            <w:r>
              <w:rPr>
                <w:sz w:val="16"/>
              </w:rPr>
              <w:t>10%</w:t>
            </w:r>
          </w:p>
        </w:tc>
        <w:tc>
          <w:tcPr>
            <w:tcW w:type="dxa" w:w="1440"/>
            <w:tcMar>
              <w:top w:w="70" w:type="dxa"/>
              <w:start w:w="100" w:type="dxa"/>
              <w:bottom w:w="70" w:type="dxa"/>
              <w:end w:w="100" w:type="dxa"/>
            </w:tcMar>
            <w:vAlign w:val="top"/>
            <w:shd w:fill="FAF8F6"/>
          </w:tcPr>
          <w:p>
            <w:pPr>
              <w:spacing w:after="40"/>
            </w:pPr>
            <w:r>
              <w:rPr>
                <w:sz w:val="16"/>
              </w:rPr>
              <w:t>₦11.0m</w:t>
            </w:r>
          </w:p>
        </w:tc>
        <w:tc>
          <w:tcPr>
            <w:tcW w:type="dxa" w:w="3024"/>
            <w:tcMar>
              <w:top w:w="70" w:type="dxa"/>
              <w:start w:w="100" w:type="dxa"/>
              <w:bottom w:w="70" w:type="dxa"/>
              <w:end w:w="100" w:type="dxa"/>
            </w:tcMar>
            <w:vAlign w:val="top"/>
            <w:shd w:fill="FAF8F6"/>
          </w:tcPr>
          <w:p>
            <w:pPr>
              <w:spacing w:after="40"/>
            </w:pPr>
            <w:r>
              <w:rPr>
                <w:sz w:val="16"/>
              </w:rPr>
              <w:t>Repeat clients; Event Director; controlled supplier bench</w:t>
            </w:r>
          </w:p>
        </w:tc>
      </w:tr>
      <w:tr>
        <w:trPr>
          <w:cantSplit/>
        </w:trPr>
        <w:tc>
          <w:tcPr>
            <w:tcW w:type="dxa" w:w="792"/>
            <w:tcMar>
              <w:top w:w="70" w:type="dxa"/>
              <w:start w:w="100" w:type="dxa"/>
              <w:bottom w:w="70" w:type="dxa"/>
              <w:end w:w="100" w:type="dxa"/>
            </w:tcMar>
            <w:vAlign w:val="top"/>
          </w:tcPr>
          <w:p>
            <w:pPr>
              <w:spacing w:after="40"/>
            </w:pPr>
            <w:r>
              <w:rPr>
                <w:sz w:val="16"/>
              </w:rPr>
              <w:t>Y3</w:t>
            </w:r>
          </w:p>
        </w:tc>
        <w:tc>
          <w:tcPr>
            <w:tcW w:type="dxa" w:w="1512"/>
            <w:tcMar>
              <w:top w:w="70" w:type="dxa"/>
              <w:start w:w="100" w:type="dxa"/>
              <w:bottom w:w="70" w:type="dxa"/>
              <w:end w:w="100" w:type="dxa"/>
            </w:tcMar>
            <w:vAlign w:val="top"/>
          </w:tcPr>
          <w:p>
            <w:pPr>
              <w:spacing w:after="40"/>
            </w:pPr>
            <w:r>
              <w:rPr>
                <w:sz w:val="16"/>
              </w:rPr>
              <w:t>₦180m</w:t>
            </w:r>
          </w:p>
        </w:tc>
        <w:tc>
          <w:tcPr>
            <w:tcW w:type="dxa" w:w="1440"/>
            <w:tcMar>
              <w:top w:w="70" w:type="dxa"/>
              <w:start w:w="100" w:type="dxa"/>
              <w:bottom w:w="70" w:type="dxa"/>
              <w:end w:w="100" w:type="dxa"/>
            </w:tcMar>
            <w:vAlign w:val="top"/>
          </w:tcPr>
          <w:p>
            <w:pPr>
              <w:spacing w:after="40"/>
            </w:pPr>
            <w:r>
              <w:rPr>
                <w:sz w:val="16"/>
              </w:rPr>
              <w:t>60%</w:t>
            </w:r>
          </w:p>
        </w:tc>
        <w:tc>
          <w:tcPr>
            <w:tcW w:type="dxa" w:w="1512"/>
            <w:tcMar>
              <w:top w:w="70" w:type="dxa"/>
              <w:start w:w="100" w:type="dxa"/>
              <w:bottom w:w="70" w:type="dxa"/>
              <w:end w:w="100" w:type="dxa"/>
            </w:tcMar>
            <w:vAlign w:val="top"/>
          </w:tcPr>
          <w:p>
            <w:pPr>
              <w:spacing w:after="40"/>
            </w:pPr>
            <w:r>
              <w:rPr>
                <w:sz w:val="16"/>
              </w:rPr>
              <w:t>18%</w:t>
            </w:r>
          </w:p>
        </w:tc>
        <w:tc>
          <w:tcPr>
            <w:tcW w:type="dxa" w:w="1440"/>
            <w:tcMar>
              <w:top w:w="70" w:type="dxa"/>
              <w:start w:w="100" w:type="dxa"/>
              <w:bottom w:w="70" w:type="dxa"/>
              <w:end w:w="100" w:type="dxa"/>
            </w:tcMar>
            <w:vAlign w:val="top"/>
          </w:tcPr>
          <w:p>
            <w:pPr>
              <w:spacing w:after="40"/>
            </w:pPr>
            <w:r>
              <w:rPr>
                <w:sz w:val="16"/>
              </w:rPr>
              <w:t>₦32.4m</w:t>
            </w:r>
          </w:p>
        </w:tc>
        <w:tc>
          <w:tcPr>
            <w:tcW w:type="dxa" w:w="3024"/>
            <w:tcMar>
              <w:top w:w="70" w:type="dxa"/>
              <w:start w:w="100" w:type="dxa"/>
              <w:bottom w:w="70" w:type="dxa"/>
              <w:end w:w="100" w:type="dxa"/>
            </w:tcMar>
            <w:vAlign w:val="top"/>
          </w:tcPr>
          <w:p>
            <w:pPr>
              <w:spacing w:after="40"/>
            </w:pPr>
            <w:r>
              <w:rPr>
                <w:sz w:val="16"/>
              </w:rPr>
              <w:t>12–16 flagship engagements; retainers; Lagos leadership evidence</w:t>
            </w:r>
          </w:p>
        </w:tc>
      </w:tr>
      <w:tr>
        <w:trPr>
          <w:cantSplit/>
        </w:trPr>
        <w:tc>
          <w:tcPr>
            <w:tcW w:type="dxa" w:w="792"/>
            <w:tcMar>
              <w:top w:w="70" w:type="dxa"/>
              <w:start w:w="100" w:type="dxa"/>
              <w:bottom w:w="70" w:type="dxa"/>
              <w:end w:w="100" w:type="dxa"/>
            </w:tcMar>
            <w:vAlign w:val="top"/>
            <w:shd w:fill="FAF8F6"/>
          </w:tcPr>
          <w:p>
            <w:pPr>
              <w:spacing w:after="40"/>
            </w:pPr>
            <w:r>
              <w:rPr>
                <w:sz w:val="16"/>
              </w:rPr>
              <w:t>Y4</w:t>
            </w:r>
          </w:p>
        </w:tc>
        <w:tc>
          <w:tcPr>
            <w:tcW w:type="dxa" w:w="1512"/>
            <w:tcMar>
              <w:top w:w="70" w:type="dxa"/>
              <w:start w:w="100" w:type="dxa"/>
              <w:bottom w:w="70" w:type="dxa"/>
              <w:end w:w="100" w:type="dxa"/>
            </w:tcMar>
            <w:vAlign w:val="top"/>
            <w:shd w:fill="FAF8F6"/>
          </w:tcPr>
          <w:p>
            <w:pPr>
              <w:spacing w:after="40"/>
            </w:pPr>
            <w:r>
              <w:rPr>
                <w:sz w:val="16"/>
              </w:rPr>
              <w:t>₦260m</w:t>
            </w:r>
          </w:p>
        </w:tc>
        <w:tc>
          <w:tcPr>
            <w:tcW w:type="dxa" w:w="1440"/>
            <w:tcMar>
              <w:top w:w="70" w:type="dxa"/>
              <w:start w:w="100" w:type="dxa"/>
              <w:bottom w:w="70" w:type="dxa"/>
              <w:end w:w="100" w:type="dxa"/>
            </w:tcMar>
            <w:vAlign w:val="top"/>
            <w:shd w:fill="FAF8F6"/>
          </w:tcPr>
          <w:p>
            <w:pPr>
              <w:spacing w:after="40"/>
            </w:pPr>
            <w:r>
              <w:rPr>
                <w:sz w:val="16"/>
              </w:rPr>
              <w:t>62%</w:t>
            </w:r>
          </w:p>
        </w:tc>
        <w:tc>
          <w:tcPr>
            <w:tcW w:type="dxa" w:w="1512"/>
            <w:tcMar>
              <w:top w:w="70" w:type="dxa"/>
              <w:start w:w="100" w:type="dxa"/>
              <w:bottom w:w="70" w:type="dxa"/>
              <w:end w:w="100" w:type="dxa"/>
            </w:tcMar>
            <w:vAlign w:val="top"/>
            <w:shd w:fill="FAF8F6"/>
          </w:tcPr>
          <w:p>
            <w:pPr>
              <w:spacing w:after="40"/>
            </w:pPr>
            <w:r>
              <w:rPr>
                <w:sz w:val="16"/>
              </w:rPr>
              <w:t>24%</w:t>
            </w:r>
          </w:p>
        </w:tc>
        <w:tc>
          <w:tcPr>
            <w:tcW w:type="dxa" w:w="1440"/>
            <w:tcMar>
              <w:top w:w="70" w:type="dxa"/>
              <w:start w:w="100" w:type="dxa"/>
              <w:bottom w:w="70" w:type="dxa"/>
              <w:end w:w="100" w:type="dxa"/>
            </w:tcMar>
            <w:vAlign w:val="top"/>
            <w:shd w:fill="FAF8F6"/>
          </w:tcPr>
          <w:p>
            <w:pPr>
              <w:spacing w:after="40"/>
            </w:pPr>
            <w:r>
              <w:rPr>
                <w:sz w:val="16"/>
              </w:rPr>
              <w:t>₦62.4m</w:t>
            </w:r>
          </w:p>
        </w:tc>
        <w:tc>
          <w:tcPr>
            <w:tcW w:type="dxa" w:w="3024"/>
            <w:tcMar>
              <w:top w:w="70" w:type="dxa"/>
              <w:start w:w="100" w:type="dxa"/>
              <w:bottom w:w="70" w:type="dxa"/>
              <w:end w:w="100" w:type="dxa"/>
            </w:tcMar>
            <w:vAlign w:val="top"/>
            <w:shd w:fill="FAF8F6"/>
          </w:tcPr>
          <w:p>
            <w:pPr>
              <w:spacing w:after="40"/>
            </w:pPr>
            <w:r>
              <w:rPr>
                <w:sz w:val="16"/>
              </w:rPr>
              <w:t>Nigeria/destination partner model; Academy external revenue</w:t>
            </w:r>
          </w:p>
        </w:tc>
      </w:tr>
      <w:tr>
        <w:trPr>
          <w:cantSplit/>
        </w:trPr>
        <w:tc>
          <w:tcPr>
            <w:tcW w:type="dxa" w:w="792"/>
            <w:tcMar>
              <w:top w:w="70" w:type="dxa"/>
              <w:start w:w="100" w:type="dxa"/>
              <w:bottom w:w="70" w:type="dxa"/>
              <w:end w:w="100" w:type="dxa"/>
            </w:tcMar>
            <w:vAlign w:val="top"/>
          </w:tcPr>
          <w:p>
            <w:pPr>
              <w:spacing w:after="40"/>
            </w:pPr>
            <w:r>
              <w:rPr>
                <w:sz w:val="16"/>
              </w:rPr>
              <w:t>Y5</w:t>
            </w:r>
          </w:p>
        </w:tc>
        <w:tc>
          <w:tcPr>
            <w:tcW w:type="dxa" w:w="1512"/>
            <w:tcMar>
              <w:top w:w="70" w:type="dxa"/>
              <w:start w:w="100" w:type="dxa"/>
              <w:bottom w:w="70" w:type="dxa"/>
              <w:end w:w="100" w:type="dxa"/>
            </w:tcMar>
            <w:vAlign w:val="top"/>
          </w:tcPr>
          <w:p>
            <w:pPr>
              <w:spacing w:after="40"/>
            </w:pPr>
            <w:r>
              <w:rPr>
                <w:sz w:val="16"/>
              </w:rPr>
              <w:t>₦360m</w:t>
            </w:r>
          </w:p>
        </w:tc>
        <w:tc>
          <w:tcPr>
            <w:tcW w:type="dxa" w:w="1440"/>
            <w:tcMar>
              <w:top w:w="70" w:type="dxa"/>
              <w:start w:w="100" w:type="dxa"/>
              <w:bottom w:w="70" w:type="dxa"/>
              <w:end w:w="100" w:type="dxa"/>
            </w:tcMar>
            <w:vAlign w:val="top"/>
          </w:tcPr>
          <w:p>
            <w:pPr>
              <w:spacing w:after="40"/>
            </w:pPr>
            <w:r>
              <w:rPr>
                <w:sz w:val="16"/>
              </w:rPr>
              <w:t>64%</w:t>
            </w:r>
          </w:p>
        </w:tc>
        <w:tc>
          <w:tcPr>
            <w:tcW w:type="dxa" w:w="1512"/>
            <w:tcMar>
              <w:top w:w="70" w:type="dxa"/>
              <w:start w:w="100" w:type="dxa"/>
              <w:bottom w:w="70" w:type="dxa"/>
              <w:end w:w="100" w:type="dxa"/>
            </w:tcMar>
            <w:vAlign w:val="top"/>
          </w:tcPr>
          <w:p>
            <w:pPr>
              <w:spacing w:after="40"/>
            </w:pPr>
            <w:r>
              <w:rPr>
                <w:sz w:val="16"/>
              </w:rPr>
              <w:t>28%</w:t>
            </w:r>
          </w:p>
        </w:tc>
        <w:tc>
          <w:tcPr>
            <w:tcW w:type="dxa" w:w="1440"/>
            <w:tcMar>
              <w:top w:w="70" w:type="dxa"/>
              <w:start w:w="100" w:type="dxa"/>
              <w:bottom w:w="70" w:type="dxa"/>
              <w:end w:w="100" w:type="dxa"/>
            </w:tcMar>
            <w:vAlign w:val="top"/>
          </w:tcPr>
          <w:p>
            <w:pPr>
              <w:spacing w:after="40"/>
            </w:pPr>
            <w:r>
              <w:rPr>
                <w:sz w:val="16"/>
              </w:rPr>
              <w:t>₦100.8m</w:t>
            </w:r>
          </w:p>
        </w:tc>
        <w:tc>
          <w:tcPr>
            <w:tcW w:type="dxa" w:w="3024"/>
            <w:tcMar>
              <w:top w:w="70" w:type="dxa"/>
              <w:start w:w="100" w:type="dxa"/>
              <w:bottom w:w="70" w:type="dxa"/>
              <w:end w:w="100" w:type="dxa"/>
            </w:tcMar>
            <w:vAlign w:val="top"/>
          </w:tcPr>
          <w:p>
            <w:pPr>
              <w:spacing w:after="40"/>
            </w:pPr>
            <w:r>
              <w:rPr>
                <w:sz w:val="16"/>
              </w:rPr>
              <w:t>24 flagship engagements; recurring revenue; founder independence</w:t>
            </w:r>
          </w:p>
        </w:tc>
      </w:tr>
    </w:tbl>
    <w:p>
      <w:pPr>
        <w:spacing w:after="20"/>
      </w:pP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NON-NEGOTIABLE  </w:t>
            </w:r>
            <w:r>
              <w:t>If verified sales evidence after twelve months does not support pricing, close rate or delivery margin, revise the path—not the truth. The valuation target must never encourage unsafe scale, poor treatment of guests, hidden supplier mark-ups or invented proof.</w:t>
            </w:r>
          </w:p>
        </w:tc>
      </w:tr>
    </w:tbl>
    <w:p>
      <w:pPr>
        <w:pStyle w:val="Heading1"/>
        <w:keepNext/>
      </w:pPr>
      <w:r>
        <w:t>Part 1 — Business definition and identity</w:t>
      </w:r>
    </w:p>
    <w:p>
      <w:pPr>
        <w:pStyle w:val="Heading2"/>
        <w:keepNext/>
      </w:pPr>
      <w:r>
        <w:t>1.1 What business Maison Doclar is in</w:t>
      </w:r>
    </w:p>
    <w:p>
      <w:r>
        <w:t>Maison Doclar is in the business of protecting host intention and guest dignity under complexity. Events create reputational, human and operational exposure: people can feel unseen, protocol can be mishandled, information can be wrong, queues can become humiliating, suppliers can fail and hosts can be forced into firefighting. Maison Doclar converts those risks into a designed guest journey, controlled decisions and calm recovery.</w:t>
      </w:r>
    </w:p>
    <w:p>
      <w:r>
        <w:t>The core value is confidence: the host can be present, guests feel recognised and cared for, and organisers can see what is ready, at risk, owned or unresolved. Beauty may be part of the environment, but the company’s primary output is not décor; it is an experience system delivered by trained people.</w:t>
      </w:r>
    </w:p>
    <w:p>
      <w:pPr>
        <w:pStyle w:val="Heading2"/>
        <w:keepNext/>
      </w:pPr>
      <w:r>
        <w:t>1.2 Offer portfolio and boundaries</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1800"/>
            <w:shd w:fill="B79F85"/>
            <w:tcMar>
              <w:top w:w="70" w:type="dxa"/>
              <w:start w:w="100" w:type="dxa"/>
              <w:bottom w:w="70" w:type="dxa"/>
              <w:end w:w="100" w:type="dxa"/>
            </w:tcMar>
          </w:tcPr>
          <w:p>
            <w:r>
              <w:rPr>
                <w:b/>
                <w:sz w:val="15"/>
              </w:rPr>
              <w:t>Offer</w:t>
            </w:r>
          </w:p>
        </w:tc>
        <w:tc>
          <w:tcPr>
            <w:tcW w:type="dxa" w:w="2232"/>
            <w:shd w:fill="B79F85"/>
            <w:tcMar>
              <w:top w:w="70" w:type="dxa"/>
              <w:start w:w="100" w:type="dxa"/>
              <w:bottom w:w="70" w:type="dxa"/>
              <w:end w:w="100" w:type="dxa"/>
            </w:tcMar>
          </w:tcPr>
          <w:p>
            <w:r>
              <w:rPr>
                <w:b/>
                <w:sz w:val="15"/>
              </w:rPr>
              <w:t>Buyer outcome</w:t>
            </w:r>
          </w:p>
        </w:tc>
        <w:tc>
          <w:tcPr>
            <w:tcW w:type="dxa" w:w="1728"/>
            <w:shd w:fill="B79F85"/>
            <w:tcMar>
              <w:top w:w="70" w:type="dxa"/>
              <w:start w:w="100" w:type="dxa"/>
              <w:bottom w:w="70" w:type="dxa"/>
              <w:end w:w="100" w:type="dxa"/>
            </w:tcMar>
          </w:tcPr>
          <w:p>
            <w:r>
              <w:rPr>
                <w:b/>
                <w:sz w:val="15"/>
              </w:rPr>
              <w:t>Commercial form</w:t>
            </w:r>
          </w:p>
        </w:tc>
        <w:tc>
          <w:tcPr>
            <w:tcW w:type="dxa" w:w="3600"/>
            <w:shd w:fill="B79F85"/>
            <w:tcMar>
              <w:top w:w="70" w:type="dxa"/>
              <w:start w:w="100" w:type="dxa"/>
              <w:bottom w:w="70" w:type="dxa"/>
              <w:end w:w="100" w:type="dxa"/>
            </w:tcMar>
          </w:tcPr>
          <w:p>
            <w:r>
              <w:rPr>
                <w:b/>
                <w:sz w:val="15"/>
              </w:rPr>
              <w:t>Boundary</w:t>
            </w:r>
          </w:p>
        </w:tc>
      </w:tr>
      <w:tr>
        <w:trPr>
          <w:cantSplit/>
        </w:trPr>
        <w:tc>
          <w:tcPr>
            <w:tcW w:type="dxa" w:w="1800"/>
            <w:tcMar>
              <w:top w:w="70" w:type="dxa"/>
              <w:start w:w="100" w:type="dxa"/>
              <w:bottom w:w="70" w:type="dxa"/>
              <w:end w:w="100" w:type="dxa"/>
            </w:tcMar>
            <w:vAlign w:val="top"/>
          </w:tcPr>
          <w:p>
            <w:pPr>
              <w:spacing w:after="40"/>
            </w:pPr>
            <w:r>
              <w:rPr>
                <w:sz w:val="15"/>
              </w:rPr>
              <w:t>Guest Experience Direction</w:t>
            </w:r>
          </w:p>
        </w:tc>
        <w:tc>
          <w:tcPr>
            <w:tcW w:type="dxa" w:w="2232"/>
            <w:tcMar>
              <w:top w:w="70" w:type="dxa"/>
              <w:start w:w="100" w:type="dxa"/>
              <w:bottom w:w="70" w:type="dxa"/>
              <w:end w:w="100" w:type="dxa"/>
            </w:tcMar>
            <w:vAlign w:val="top"/>
          </w:tcPr>
          <w:p>
            <w:pPr>
              <w:spacing w:after="40"/>
            </w:pPr>
            <w:r>
              <w:rPr>
                <w:sz w:val="15"/>
              </w:rPr>
              <w:t>End-to-end guest journey, standards and command</w:t>
            </w:r>
          </w:p>
        </w:tc>
        <w:tc>
          <w:tcPr>
            <w:tcW w:type="dxa" w:w="1728"/>
            <w:tcMar>
              <w:top w:w="70" w:type="dxa"/>
              <w:start w:w="100" w:type="dxa"/>
              <w:bottom w:w="70" w:type="dxa"/>
              <w:end w:w="100" w:type="dxa"/>
            </w:tcMar>
            <w:vAlign w:val="top"/>
          </w:tcPr>
          <w:p>
            <w:pPr>
              <w:spacing w:after="40"/>
            </w:pPr>
            <w:r>
              <w:rPr>
                <w:sz w:val="15"/>
              </w:rPr>
              <w:t>Fixed project fee + complexity premium</w:t>
            </w:r>
          </w:p>
        </w:tc>
        <w:tc>
          <w:tcPr>
            <w:tcW w:type="dxa" w:w="3600"/>
            <w:tcMar>
              <w:top w:w="70" w:type="dxa"/>
              <w:start w:w="100" w:type="dxa"/>
              <w:bottom w:w="70" w:type="dxa"/>
              <w:end w:w="100" w:type="dxa"/>
            </w:tcMar>
            <w:vAlign w:val="top"/>
          </w:tcPr>
          <w:p>
            <w:pPr>
              <w:spacing w:after="40"/>
            </w:pPr>
            <w:r>
              <w:rPr>
                <w:sz w:val="15"/>
              </w:rPr>
              <w:t>Does not replace licensed security, medical, legal or venue authority</w:t>
            </w:r>
          </w:p>
        </w:tc>
      </w:tr>
      <w:tr>
        <w:trPr>
          <w:cantSplit/>
        </w:trPr>
        <w:tc>
          <w:tcPr>
            <w:tcW w:type="dxa" w:w="1800"/>
            <w:tcMar>
              <w:top w:w="70" w:type="dxa"/>
              <w:start w:w="100" w:type="dxa"/>
              <w:bottom w:w="70" w:type="dxa"/>
              <w:end w:w="100" w:type="dxa"/>
            </w:tcMar>
            <w:vAlign w:val="top"/>
            <w:shd w:fill="FAF8F6"/>
          </w:tcPr>
          <w:p>
            <w:pPr>
              <w:spacing w:after="40"/>
            </w:pPr>
            <w:r>
              <w:rPr>
                <w:sz w:val="15"/>
              </w:rPr>
              <w:t>Guest Operations</w:t>
            </w:r>
          </w:p>
        </w:tc>
        <w:tc>
          <w:tcPr>
            <w:tcW w:type="dxa" w:w="2232"/>
            <w:tcMar>
              <w:top w:w="70" w:type="dxa"/>
              <w:start w:w="100" w:type="dxa"/>
              <w:bottom w:w="70" w:type="dxa"/>
              <w:end w:w="100" w:type="dxa"/>
            </w:tcMar>
            <w:vAlign w:val="top"/>
            <w:shd w:fill="FAF8F6"/>
          </w:tcPr>
          <w:p>
            <w:pPr>
              <w:spacing w:after="40"/>
            </w:pPr>
            <w:r>
              <w:rPr>
                <w:sz w:val="15"/>
              </w:rPr>
              <w:t>Intake, RSVP, seating, communications, credentials and check-in</w:t>
            </w:r>
          </w:p>
        </w:tc>
        <w:tc>
          <w:tcPr>
            <w:tcW w:type="dxa" w:w="1728"/>
            <w:tcMar>
              <w:top w:w="70" w:type="dxa"/>
              <w:start w:w="100" w:type="dxa"/>
              <w:bottom w:w="70" w:type="dxa"/>
              <w:end w:w="100" w:type="dxa"/>
            </w:tcMar>
            <w:vAlign w:val="top"/>
            <w:shd w:fill="FAF8F6"/>
          </w:tcPr>
          <w:p>
            <w:pPr>
              <w:spacing w:after="40"/>
            </w:pPr>
            <w:r>
              <w:rPr>
                <w:sz w:val="15"/>
              </w:rPr>
              <w:t>Project fee; per-event technology/service component</w:t>
            </w:r>
          </w:p>
        </w:tc>
        <w:tc>
          <w:tcPr>
            <w:tcW w:type="dxa" w:w="3600"/>
            <w:tcMar>
              <w:top w:w="70" w:type="dxa"/>
              <w:start w:w="100" w:type="dxa"/>
              <w:bottom w:w="70" w:type="dxa"/>
              <w:end w:w="100" w:type="dxa"/>
            </w:tcMar>
            <w:vAlign w:val="top"/>
            <w:shd w:fill="FAF8F6"/>
          </w:tcPr>
          <w:p>
            <w:pPr>
              <w:spacing w:after="40"/>
            </w:pPr>
            <w:r>
              <w:rPr>
                <w:sz w:val="15"/>
              </w:rPr>
              <w:t>No secondary use of guest data; no covert surveillance</w:t>
            </w:r>
          </w:p>
        </w:tc>
      </w:tr>
      <w:tr>
        <w:trPr>
          <w:cantSplit/>
        </w:trPr>
        <w:tc>
          <w:tcPr>
            <w:tcW w:type="dxa" w:w="1800"/>
            <w:tcMar>
              <w:top w:w="70" w:type="dxa"/>
              <w:start w:w="100" w:type="dxa"/>
              <w:bottom w:w="70" w:type="dxa"/>
              <w:end w:w="100" w:type="dxa"/>
            </w:tcMar>
            <w:vAlign w:val="top"/>
          </w:tcPr>
          <w:p>
            <w:pPr>
              <w:spacing w:after="40"/>
            </w:pPr>
            <w:r>
              <w:rPr>
                <w:sz w:val="15"/>
              </w:rPr>
              <w:t>Protocol &amp; Cultural Advisory</w:t>
            </w:r>
          </w:p>
        </w:tc>
        <w:tc>
          <w:tcPr>
            <w:tcW w:type="dxa" w:w="2232"/>
            <w:tcMar>
              <w:top w:w="70" w:type="dxa"/>
              <w:start w:w="100" w:type="dxa"/>
              <w:bottom w:w="70" w:type="dxa"/>
              <w:end w:w="100" w:type="dxa"/>
            </w:tcMar>
            <w:vAlign w:val="top"/>
          </w:tcPr>
          <w:p>
            <w:pPr>
              <w:spacing w:after="40"/>
            </w:pPr>
            <w:r>
              <w:rPr>
                <w:sz w:val="15"/>
              </w:rPr>
              <w:t>Correct precedence, forms of address, customs and VIP movement</w:t>
            </w:r>
          </w:p>
        </w:tc>
        <w:tc>
          <w:tcPr>
            <w:tcW w:type="dxa" w:w="1728"/>
            <w:tcMar>
              <w:top w:w="70" w:type="dxa"/>
              <w:start w:w="100" w:type="dxa"/>
              <w:bottom w:w="70" w:type="dxa"/>
              <w:end w:w="100" w:type="dxa"/>
            </w:tcMar>
            <w:vAlign w:val="top"/>
          </w:tcPr>
          <w:p>
            <w:pPr>
              <w:spacing w:after="40"/>
            </w:pPr>
            <w:r>
              <w:rPr>
                <w:sz w:val="15"/>
              </w:rPr>
              <w:t>Advisory project or retainer</w:t>
            </w:r>
          </w:p>
        </w:tc>
        <w:tc>
          <w:tcPr>
            <w:tcW w:type="dxa" w:w="3600"/>
            <w:tcMar>
              <w:top w:w="70" w:type="dxa"/>
              <w:start w:w="100" w:type="dxa"/>
              <w:bottom w:w="70" w:type="dxa"/>
              <w:end w:w="100" w:type="dxa"/>
            </w:tcMar>
            <w:vAlign w:val="top"/>
          </w:tcPr>
          <w:p>
            <w:pPr>
              <w:spacing w:after="40"/>
            </w:pPr>
            <w:r>
              <w:rPr>
                <w:sz w:val="15"/>
              </w:rPr>
              <w:t>Only verified authorities; uncertainty is disclosed</w:t>
            </w:r>
          </w:p>
        </w:tc>
      </w:tr>
      <w:tr>
        <w:trPr>
          <w:cantSplit/>
        </w:trPr>
        <w:tc>
          <w:tcPr>
            <w:tcW w:type="dxa" w:w="1800"/>
            <w:tcMar>
              <w:top w:w="70" w:type="dxa"/>
              <w:start w:w="100" w:type="dxa"/>
              <w:bottom w:w="70" w:type="dxa"/>
              <w:end w:w="100" w:type="dxa"/>
            </w:tcMar>
            <w:vAlign w:val="top"/>
            <w:shd w:fill="FAF8F6"/>
          </w:tcPr>
          <w:p>
            <w:pPr>
              <w:spacing w:after="40"/>
            </w:pPr>
            <w:r>
              <w:rPr>
                <w:sz w:val="15"/>
              </w:rPr>
              <w:t>Event Command &amp; Recovery</w:t>
            </w:r>
          </w:p>
        </w:tc>
        <w:tc>
          <w:tcPr>
            <w:tcW w:type="dxa" w:w="2232"/>
            <w:tcMar>
              <w:top w:w="70" w:type="dxa"/>
              <w:start w:w="100" w:type="dxa"/>
              <w:bottom w:w="70" w:type="dxa"/>
              <w:end w:w="100" w:type="dxa"/>
            </w:tcMar>
            <w:vAlign w:val="top"/>
            <w:shd w:fill="FAF8F6"/>
          </w:tcPr>
          <w:p>
            <w:pPr>
              <w:spacing w:after="40"/>
            </w:pPr>
            <w:r>
              <w:rPr>
                <w:sz w:val="15"/>
              </w:rPr>
              <w:t>Readiness, run-of-show coordination, escalation and service recovery</w:t>
            </w:r>
          </w:p>
        </w:tc>
        <w:tc>
          <w:tcPr>
            <w:tcW w:type="dxa" w:w="1728"/>
            <w:tcMar>
              <w:top w:w="70" w:type="dxa"/>
              <w:start w:w="100" w:type="dxa"/>
              <w:bottom w:w="70" w:type="dxa"/>
              <w:end w:w="100" w:type="dxa"/>
            </w:tcMar>
            <w:vAlign w:val="top"/>
            <w:shd w:fill="FAF8F6"/>
          </w:tcPr>
          <w:p>
            <w:pPr>
              <w:spacing w:after="40"/>
            </w:pPr>
            <w:r>
              <w:rPr>
                <w:sz w:val="15"/>
              </w:rPr>
              <w:t>Project fee + risk/urgency premium</w:t>
            </w:r>
          </w:p>
        </w:tc>
        <w:tc>
          <w:tcPr>
            <w:tcW w:type="dxa" w:w="3600"/>
            <w:tcMar>
              <w:top w:w="70" w:type="dxa"/>
              <w:start w:w="100" w:type="dxa"/>
              <w:bottom w:w="70" w:type="dxa"/>
              <w:end w:w="100" w:type="dxa"/>
            </w:tcMar>
            <w:vAlign w:val="top"/>
            <w:shd w:fill="FAF8F6"/>
          </w:tcPr>
          <w:p>
            <w:pPr>
              <w:spacing w:after="40"/>
            </w:pPr>
            <w:r>
              <w:rPr>
                <w:sz w:val="15"/>
              </w:rPr>
              <w:t>Maison Doclar may stop or escalate unsafe/unlawful actions</w:t>
            </w:r>
          </w:p>
        </w:tc>
      </w:tr>
      <w:tr>
        <w:trPr>
          <w:cantSplit/>
        </w:trPr>
        <w:tc>
          <w:tcPr>
            <w:tcW w:type="dxa" w:w="1800"/>
            <w:tcMar>
              <w:top w:w="70" w:type="dxa"/>
              <w:start w:w="100" w:type="dxa"/>
              <w:bottom w:w="70" w:type="dxa"/>
              <w:end w:w="100" w:type="dxa"/>
            </w:tcMar>
            <w:vAlign w:val="top"/>
          </w:tcPr>
          <w:p>
            <w:pPr>
              <w:spacing w:after="40"/>
            </w:pPr>
            <w:r>
              <w:rPr>
                <w:sz w:val="15"/>
              </w:rPr>
              <w:t>Private/Corporate Retainer</w:t>
            </w:r>
          </w:p>
        </w:tc>
        <w:tc>
          <w:tcPr>
            <w:tcW w:type="dxa" w:w="2232"/>
            <w:tcMar>
              <w:top w:w="70" w:type="dxa"/>
              <w:start w:w="100" w:type="dxa"/>
              <w:bottom w:w="70" w:type="dxa"/>
              <w:end w:w="100" w:type="dxa"/>
            </w:tcMar>
            <w:vAlign w:val="top"/>
          </w:tcPr>
          <w:p>
            <w:pPr>
              <w:spacing w:after="40"/>
            </w:pPr>
            <w:r>
              <w:rPr>
                <w:sz w:val="15"/>
              </w:rPr>
              <w:t>Ongoing event readiness and guest-experience counsel</w:t>
            </w:r>
          </w:p>
        </w:tc>
        <w:tc>
          <w:tcPr>
            <w:tcW w:type="dxa" w:w="1728"/>
            <w:tcMar>
              <w:top w:w="70" w:type="dxa"/>
              <w:start w:w="100" w:type="dxa"/>
              <w:bottom w:w="70" w:type="dxa"/>
              <w:end w:w="100" w:type="dxa"/>
            </w:tcMar>
            <w:vAlign w:val="top"/>
          </w:tcPr>
          <w:p>
            <w:pPr>
              <w:spacing w:after="40"/>
            </w:pPr>
            <w:r>
              <w:rPr>
                <w:sz w:val="15"/>
              </w:rPr>
              <w:t>Monthly/annual retainer</w:t>
            </w:r>
          </w:p>
        </w:tc>
        <w:tc>
          <w:tcPr>
            <w:tcW w:type="dxa" w:w="3600"/>
            <w:tcMar>
              <w:top w:w="70" w:type="dxa"/>
              <w:start w:w="100" w:type="dxa"/>
              <w:bottom w:w="70" w:type="dxa"/>
              <w:end w:w="100" w:type="dxa"/>
            </w:tcMar>
            <w:vAlign w:val="top"/>
          </w:tcPr>
          <w:p>
            <w:pPr>
              <w:spacing w:after="40"/>
            </w:pPr>
            <w:r>
              <w:rPr>
                <w:sz w:val="15"/>
              </w:rPr>
              <w:t>Defined availability and event allowances</w:t>
            </w:r>
          </w:p>
        </w:tc>
      </w:tr>
      <w:tr>
        <w:trPr>
          <w:cantSplit/>
        </w:trPr>
        <w:tc>
          <w:tcPr>
            <w:tcW w:type="dxa" w:w="1800"/>
            <w:tcMar>
              <w:top w:w="70" w:type="dxa"/>
              <w:start w:w="100" w:type="dxa"/>
              <w:bottom w:w="70" w:type="dxa"/>
              <w:end w:w="100" w:type="dxa"/>
            </w:tcMar>
            <w:vAlign w:val="top"/>
            <w:shd w:fill="FAF8F6"/>
          </w:tcPr>
          <w:p>
            <w:pPr>
              <w:spacing w:after="40"/>
            </w:pPr>
            <w:r>
              <w:rPr>
                <w:sz w:val="15"/>
              </w:rPr>
              <w:t>Maison Doclar Academy</w:t>
            </w:r>
          </w:p>
        </w:tc>
        <w:tc>
          <w:tcPr>
            <w:tcW w:type="dxa" w:w="2232"/>
            <w:tcMar>
              <w:top w:w="70" w:type="dxa"/>
              <w:start w:w="100" w:type="dxa"/>
              <w:bottom w:w="70" w:type="dxa"/>
              <w:end w:w="100" w:type="dxa"/>
            </w:tcMar>
            <w:vAlign w:val="top"/>
            <w:shd w:fill="FAF8F6"/>
          </w:tcPr>
          <w:p>
            <w:pPr>
              <w:spacing w:after="40"/>
            </w:pPr>
            <w:r>
              <w:rPr>
                <w:sz w:val="15"/>
              </w:rPr>
              <w:t>Role-gated training, assessment and certification</w:t>
            </w:r>
          </w:p>
        </w:tc>
        <w:tc>
          <w:tcPr>
            <w:tcW w:type="dxa" w:w="1728"/>
            <w:tcMar>
              <w:top w:w="70" w:type="dxa"/>
              <w:start w:w="100" w:type="dxa"/>
              <w:bottom w:w="70" w:type="dxa"/>
              <w:end w:w="100" w:type="dxa"/>
            </w:tcMar>
            <w:vAlign w:val="top"/>
            <w:shd w:fill="FAF8F6"/>
          </w:tcPr>
          <w:p>
            <w:pPr>
              <w:spacing w:after="40"/>
            </w:pPr>
            <w:r>
              <w:rPr>
                <w:sz w:val="15"/>
              </w:rPr>
              <w:t>Internal capability first; B2B cohorts later</w:t>
            </w:r>
          </w:p>
        </w:tc>
        <w:tc>
          <w:tcPr>
            <w:tcW w:type="dxa" w:w="3600"/>
            <w:tcMar>
              <w:top w:w="70" w:type="dxa"/>
              <w:start w:w="100" w:type="dxa"/>
              <w:bottom w:w="70" w:type="dxa"/>
              <w:end w:w="100" w:type="dxa"/>
            </w:tcMar>
            <w:vAlign w:val="top"/>
            <w:shd w:fill="FAF8F6"/>
          </w:tcPr>
          <w:p>
            <w:pPr>
              <w:spacing w:after="40"/>
            </w:pPr>
            <w:r>
              <w:rPr>
                <w:sz w:val="15"/>
              </w:rPr>
              <w:t>Certification does not replace regulated qualifications</w:t>
            </w:r>
          </w:p>
        </w:tc>
      </w:tr>
      <w:tr>
        <w:trPr>
          <w:cantSplit/>
        </w:trPr>
        <w:tc>
          <w:tcPr>
            <w:tcW w:type="dxa" w:w="1800"/>
            <w:tcMar>
              <w:top w:w="70" w:type="dxa"/>
              <w:start w:w="100" w:type="dxa"/>
              <w:bottom w:w="70" w:type="dxa"/>
              <w:end w:w="100" w:type="dxa"/>
            </w:tcMar>
            <w:vAlign w:val="top"/>
          </w:tcPr>
          <w:p>
            <w:pPr>
              <w:spacing w:after="40"/>
            </w:pPr>
            <w:r>
              <w:rPr>
                <w:sz w:val="15"/>
              </w:rPr>
              <w:t>Managed Event OS</w:t>
            </w:r>
          </w:p>
        </w:tc>
        <w:tc>
          <w:tcPr>
            <w:tcW w:type="dxa" w:w="2232"/>
            <w:tcMar>
              <w:top w:w="70" w:type="dxa"/>
              <w:start w:w="100" w:type="dxa"/>
              <w:bottom w:w="70" w:type="dxa"/>
              <w:end w:w="100" w:type="dxa"/>
            </w:tcMar>
            <w:vAlign w:val="top"/>
          </w:tcPr>
          <w:p>
            <w:pPr>
              <w:spacing w:after="40"/>
            </w:pPr>
            <w:r>
              <w:rPr>
                <w:sz w:val="15"/>
              </w:rPr>
              <w:t>Controlled workflows and intelligence</w:t>
            </w:r>
          </w:p>
        </w:tc>
        <w:tc>
          <w:tcPr>
            <w:tcW w:type="dxa" w:w="1728"/>
            <w:tcMar>
              <w:top w:w="70" w:type="dxa"/>
              <w:start w:w="100" w:type="dxa"/>
              <w:bottom w:w="70" w:type="dxa"/>
              <w:end w:w="100" w:type="dxa"/>
            </w:tcMar>
            <w:vAlign w:val="top"/>
          </w:tcPr>
          <w:p>
            <w:pPr>
              <w:spacing w:after="40"/>
            </w:pPr>
            <w:r>
              <w:rPr>
                <w:sz w:val="15"/>
              </w:rPr>
              <w:t>Bundled initially; licensed/managed only after validation</w:t>
            </w:r>
          </w:p>
        </w:tc>
        <w:tc>
          <w:tcPr>
            <w:tcW w:type="dxa" w:w="3600"/>
            <w:tcMar>
              <w:top w:w="70" w:type="dxa"/>
              <w:start w:w="100" w:type="dxa"/>
              <w:bottom w:w="70" w:type="dxa"/>
              <w:end w:w="100" w:type="dxa"/>
            </w:tcMar>
            <w:vAlign w:val="top"/>
          </w:tcPr>
          <w:p>
            <w:pPr>
              <w:spacing w:after="40"/>
            </w:pPr>
            <w:r>
              <w:rPr>
                <w:sz w:val="15"/>
              </w:rPr>
              <w:t>Not sold as autonomous decision-maker</w:t>
            </w:r>
          </w:p>
        </w:tc>
      </w:tr>
    </w:tbl>
    <w:p>
      <w:pPr>
        <w:spacing w:after="20"/>
      </w:pPr>
    </w:p>
    <w:p>
      <w:r>
        <w:t>Maison Doclar will refuse décor-only briefs, commodity usher supply, unsegregated custody of large vendor funds, kickback-driven procurement, unsafe work, unlawful discrimination, deceptive guest practices, unconsented biometric use, politically or culturally manipulative conduct, and any engagement where the client rejects minimum readiness, privacy or dignity controls.</w:t>
      </w:r>
    </w:p>
    <w:p>
      <w:pPr>
        <w:pStyle w:val="Heading2"/>
        <w:keepNext/>
      </w:pPr>
      <w:r>
        <w:t>1.3 Vision, mission and promises</w:t>
      </w: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VISION  </w:t>
            </w:r>
            <w:r>
              <w:t>By 2031, Maison Doclar is the most trusted African-origin standard for consequential guest experiences: Lagos-proven, globally credible, technology-enabled and human-led.</w:t>
            </w:r>
          </w:p>
        </w:tc>
      </w:tr>
    </w:tbl>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MISSION  </w:t>
            </w:r>
            <w:r>
              <w:t>To make important gatherings feel personal, dignified and effortless by combining anticipatory hospitality, verified protocol, disciplined operations and accountable intelligence.</w:t>
            </w:r>
          </w:p>
        </w:tc>
      </w:tr>
    </w:tbl>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592"/>
            <w:shd w:fill="B79F85"/>
            <w:tcMar>
              <w:top w:w="70" w:type="dxa"/>
              <w:start w:w="100" w:type="dxa"/>
              <w:bottom w:w="70" w:type="dxa"/>
              <w:end w:w="100" w:type="dxa"/>
            </w:tcMar>
          </w:tcPr>
          <w:p>
            <w:r>
              <w:rPr>
                <w:b/>
                <w:sz w:val="16"/>
              </w:rPr>
              <w:t>Promise</w:t>
            </w:r>
          </w:p>
        </w:tc>
        <w:tc>
          <w:tcPr>
            <w:tcW w:type="dxa" w:w="6768"/>
            <w:shd w:fill="B79F85"/>
            <w:tcMar>
              <w:top w:w="70" w:type="dxa"/>
              <w:start w:w="100" w:type="dxa"/>
              <w:bottom w:w="70" w:type="dxa"/>
              <w:end w:w="100" w:type="dxa"/>
            </w:tcMar>
          </w:tcPr>
          <w:p>
            <w:r>
              <w:rPr>
                <w:b/>
                <w:sz w:val="16"/>
              </w:rPr>
              <w:t>Observable meaning</w:t>
            </w:r>
          </w:p>
        </w:tc>
      </w:tr>
      <w:tr>
        <w:trPr>
          <w:cantSplit/>
        </w:trPr>
        <w:tc>
          <w:tcPr>
            <w:tcW w:type="dxa" w:w="2592"/>
            <w:tcMar>
              <w:top w:w="70" w:type="dxa"/>
              <w:start w:w="100" w:type="dxa"/>
              <w:bottom w:w="70" w:type="dxa"/>
              <w:end w:w="100" w:type="dxa"/>
            </w:tcMar>
            <w:vAlign w:val="top"/>
          </w:tcPr>
          <w:p>
            <w:pPr>
              <w:spacing w:after="40"/>
            </w:pPr>
            <w:r>
              <w:rPr>
                <w:sz w:val="16"/>
              </w:rPr>
              <w:t>Every guest is considered</w:t>
            </w:r>
          </w:p>
        </w:tc>
        <w:tc>
          <w:tcPr>
            <w:tcW w:type="dxa" w:w="6768"/>
            <w:tcMar>
              <w:top w:w="70" w:type="dxa"/>
              <w:start w:w="100" w:type="dxa"/>
              <w:bottom w:w="70" w:type="dxa"/>
              <w:end w:w="100" w:type="dxa"/>
            </w:tcMar>
            <w:vAlign w:val="top"/>
          </w:tcPr>
          <w:p>
            <w:pPr>
              <w:spacing w:after="40"/>
            </w:pPr>
            <w:r>
              <w:rPr>
                <w:sz w:val="16"/>
              </w:rPr>
              <w:t>Relevant needs are captured lawfully; no guest is reduced to status or category.</w:t>
            </w:r>
          </w:p>
        </w:tc>
      </w:tr>
      <w:tr>
        <w:trPr>
          <w:cantSplit/>
        </w:trPr>
        <w:tc>
          <w:tcPr>
            <w:tcW w:type="dxa" w:w="2592"/>
            <w:tcMar>
              <w:top w:w="70" w:type="dxa"/>
              <w:start w:w="100" w:type="dxa"/>
              <w:bottom w:w="70" w:type="dxa"/>
              <w:end w:w="100" w:type="dxa"/>
            </w:tcMar>
            <w:vAlign w:val="top"/>
            <w:shd w:fill="FAF8F6"/>
          </w:tcPr>
          <w:p>
            <w:pPr>
              <w:spacing w:after="40"/>
            </w:pPr>
            <w:r>
              <w:rPr>
                <w:sz w:val="16"/>
              </w:rPr>
              <w:t>Calm is engineered</w:t>
            </w:r>
          </w:p>
        </w:tc>
        <w:tc>
          <w:tcPr>
            <w:tcW w:type="dxa" w:w="6768"/>
            <w:tcMar>
              <w:top w:w="70" w:type="dxa"/>
              <w:start w:w="100" w:type="dxa"/>
              <w:bottom w:w="70" w:type="dxa"/>
              <w:end w:w="100" w:type="dxa"/>
            </w:tcMar>
            <w:vAlign w:val="top"/>
            <w:shd w:fill="FAF8F6"/>
          </w:tcPr>
          <w:p>
            <w:pPr>
              <w:spacing w:after="40"/>
            </w:pPr>
            <w:r>
              <w:rPr>
                <w:sz w:val="16"/>
              </w:rPr>
              <w:t>Plans, rehearsals, capacity, offline fallbacks and escalation exist before the room fills.</w:t>
            </w:r>
          </w:p>
        </w:tc>
      </w:tr>
      <w:tr>
        <w:trPr>
          <w:cantSplit/>
        </w:trPr>
        <w:tc>
          <w:tcPr>
            <w:tcW w:type="dxa" w:w="2592"/>
            <w:tcMar>
              <w:top w:w="70" w:type="dxa"/>
              <w:start w:w="100" w:type="dxa"/>
              <w:bottom w:w="70" w:type="dxa"/>
              <w:end w:w="100" w:type="dxa"/>
            </w:tcMar>
            <w:vAlign w:val="top"/>
          </w:tcPr>
          <w:p>
            <w:pPr>
              <w:spacing w:after="40"/>
            </w:pPr>
            <w:r>
              <w:rPr>
                <w:sz w:val="16"/>
              </w:rPr>
              <w:t>Discretion is operational</w:t>
            </w:r>
          </w:p>
        </w:tc>
        <w:tc>
          <w:tcPr>
            <w:tcW w:type="dxa" w:w="6768"/>
            <w:tcMar>
              <w:top w:w="70" w:type="dxa"/>
              <w:start w:w="100" w:type="dxa"/>
              <w:bottom w:w="70" w:type="dxa"/>
              <w:end w:w="100" w:type="dxa"/>
            </w:tcMar>
            <w:vAlign w:val="top"/>
          </w:tcPr>
          <w:p>
            <w:pPr>
              <w:spacing w:after="40"/>
            </w:pPr>
            <w:r>
              <w:rPr>
                <w:sz w:val="16"/>
              </w:rPr>
              <w:t>Least privilege, minimised data, careful language and controlled disclosure are standard.</w:t>
            </w:r>
          </w:p>
        </w:tc>
      </w:tr>
      <w:tr>
        <w:trPr>
          <w:cantSplit/>
        </w:trPr>
        <w:tc>
          <w:tcPr>
            <w:tcW w:type="dxa" w:w="2592"/>
            <w:tcMar>
              <w:top w:w="70" w:type="dxa"/>
              <w:start w:w="100" w:type="dxa"/>
              <w:bottom w:w="70" w:type="dxa"/>
              <w:end w:w="100" w:type="dxa"/>
            </w:tcMar>
            <w:vAlign w:val="top"/>
            <w:shd w:fill="FAF8F6"/>
          </w:tcPr>
          <w:p>
            <w:pPr>
              <w:spacing w:after="40"/>
            </w:pPr>
            <w:r>
              <w:rPr>
                <w:sz w:val="16"/>
              </w:rPr>
              <w:t>Truth outranks appearance</w:t>
            </w:r>
          </w:p>
        </w:tc>
        <w:tc>
          <w:tcPr>
            <w:tcW w:type="dxa" w:w="6768"/>
            <w:tcMar>
              <w:top w:w="70" w:type="dxa"/>
              <w:start w:w="100" w:type="dxa"/>
              <w:bottom w:w="70" w:type="dxa"/>
              <w:end w:w="100" w:type="dxa"/>
            </w:tcMar>
            <w:vAlign w:val="top"/>
            <w:shd w:fill="FAF8F6"/>
          </w:tcPr>
          <w:p>
            <w:pPr>
              <w:spacing w:after="40"/>
            </w:pPr>
            <w:r>
              <w:rPr>
                <w:sz w:val="16"/>
              </w:rPr>
              <w:t>Uncertainty, gaps and failure are surfaced early; reports and proof are not embellished.</w:t>
            </w:r>
          </w:p>
        </w:tc>
      </w:tr>
      <w:tr>
        <w:trPr>
          <w:cantSplit/>
        </w:trPr>
        <w:tc>
          <w:tcPr>
            <w:tcW w:type="dxa" w:w="2592"/>
            <w:tcMar>
              <w:top w:w="70" w:type="dxa"/>
              <w:start w:w="100" w:type="dxa"/>
              <w:bottom w:w="70" w:type="dxa"/>
              <w:end w:w="100" w:type="dxa"/>
            </w:tcMar>
            <w:vAlign w:val="top"/>
          </w:tcPr>
          <w:p>
            <w:pPr>
              <w:spacing w:after="40"/>
            </w:pPr>
            <w:r>
              <w:rPr>
                <w:sz w:val="16"/>
              </w:rPr>
              <w:t>Culture is respected</w:t>
            </w:r>
          </w:p>
        </w:tc>
        <w:tc>
          <w:tcPr>
            <w:tcW w:type="dxa" w:w="6768"/>
            <w:tcMar>
              <w:top w:w="70" w:type="dxa"/>
              <w:start w:w="100" w:type="dxa"/>
              <w:bottom w:w="70" w:type="dxa"/>
              <w:end w:w="100" w:type="dxa"/>
            </w:tcMar>
            <w:vAlign w:val="top"/>
          </w:tcPr>
          <w:p>
            <w:pPr>
              <w:spacing w:after="40"/>
            </w:pPr>
            <w:r>
              <w:rPr>
                <w:sz w:val="16"/>
              </w:rPr>
              <w:t>Local expertise is verified; custom is not guessed, flattened or commodified.</w:t>
            </w:r>
          </w:p>
        </w:tc>
      </w:tr>
      <w:tr>
        <w:trPr>
          <w:cantSplit/>
        </w:trPr>
        <w:tc>
          <w:tcPr>
            <w:tcW w:type="dxa" w:w="2592"/>
            <w:tcMar>
              <w:top w:w="70" w:type="dxa"/>
              <w:start w:w="100" w:type="dxa"/>
              <w:bottom w:w="70" w:type="dxa"/>
              <w:end w:w="100" w:type="dxa"/>
            </w:tcMar>
            <w:vAlign w:val="top"/>
            <w:shd w:fill="FAF8F6"/>
          </w:tcPr>
          <w:p>
            <w:pPr>
              <w:spacing w:after="40"/>
            </w:pPr>
            <w:r>
              <w:rPr>
                <w:sz w:val="16"/>
              </w:rPr>
              <w:t>Ownership reaches the hand-off</w:t>
            </w:r>
          </w:p>
        </w:tc>
        <w:tc>
          <w:tcPr>
            <w:tcW w:type="dxa" w:w="6768"/>
            <w:tcMar>
              <w:top w:w="70" w:type="dxa"/>
              <w:start w:w="100" w:type="dxa"/>
              <w:bottom w:w="70" w:type="dxa"/>
              <w:end w:w="100" w:type="dxa"/>
            </w:tcMar>
            <w:vAlign w:val="top"/>
            <w:shd w:fill="FAF8F6"/>
          </w:tcPr>
          <w:p>
            <w:pPr>
              <w:spacing w:after="40"/>
            </w:pPr>
            <w:r>
              <w:rPr>
                <w:sz w:val="16"/>
              </w:rPr>
              <w:t>Every critical action has an owner, deadline, evidence and recovery path.</w:t>
            </w:r>
          </w:p>
        </w:tc>
      </w:tr>
    </w:tbl>
    <w:p>
      <w:pPr>
        <w:spacing w:after="20"/>
      </w:pPr>
    </w:p>
    <w:p>
      <w:pPr>
        <w:pStyle w:val="Heading2"/>
        <w:keepNext/>
      </w:pPr>
      <w:r>
        <w:t>1.4 Category, position and brand system</w:t>
      </w:r>
    </w:p>
    <w:p>
      <w:r>
        <w:t>Maison Doclar is a new entrant and category challenger, not yet a market leader. It competes with elite planners for trust and budget, but differentiates as the specialist guest-experience and protocol operating layer. The price position is bespoke premium to ultra-premium. The brand should signal quiet authority rather than spectacle.</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304"/>
            <w:shd w:fill="B79F85"/>
            <w:tcMar>
              <w:top w:w="70" w:type="dxa"/>
              <w:start w:w="100" w:type="dxa"/>
              <w:bottom w:w="70" w:type="dxa"/>
              <w:end w:w="100" w:type="dxa"/>
            </w:tcMar>
          </w:tcPr>
          <w:p>
            <w:r>
              <w:rPr>
                <w:b/>
                <w:sz w:val="16"/>
              </w:rPr>
              <w:t>Brand element</w:t>
            </w:r>
          </w:p>
        </w:tc>
        <w:tc>
          <w:tcPr>
            <w:tcW w:type="dxa" w:w="7056"/>
            <w:shd w:fill="B79F85"/>
            <w:tcMar>
              <w:top w:w="70" w:type="dxa"/>
              <w:start w:w="100" w:type="dxa"/>
              <w:bottom w:w="70" w:type="dxa"/>
              <w:end w:w="100" w:type="dxa"/>
            </w:tcMar>
          </w:tcPr>
          <w:p>
            <w:r>
              <w:rPr>
                <w:b/>
                <w:sz w:val="16"/>
              </w:rPr>
              <w:t>Approved direction</w:t>
            </w:r>
          </w:p>
        </w:tc>
      </w:tr>
      <w:tr>
        <w:trPr>
          <w:cantSplit/>
        </w:trPr>
        <w:tc>
          <w:tcPr>
            <w:tcW w:type="dxa" w:w="2304"/>
            <w:tcMar>
              <w:top w:w="70" w:type="dxa"/>
              <w:start w:w="100" w:type="dxa"/>
              <w:bottom w:w="70" w:type="dxa"/>
              <w:end w:w="100" w:type="dxa"/>
            </w:tcMar>
            <w:vAlign w:val="top"/>
          </w:tcPr>
          <w:p>
            <w:pPr>
              <w:spacing w:after="40"/>
            </w:pPr>
            <w:r>
              <w:rPr>
                <w:sz w:val="16"/>
              </w:rPr>
              <w:t>One-sentence description</w:t>
            </w:r>
          </w:p>
        </w:tc>
        <w:tc>
          <w:tcPr>
            <w:tcW w:type="dxa" w:w="7056"/>
            <w:tcMar>
              <w:top w:w="70" w:type="dxa"/>
              <w:start w:w="100" w:type="dxa"/>
              <w:bottom w:w="70" w:type="dxa"/>
              <w:end w:w="100" w:type="dxa"/>
            </w:tcMar>
            <w:vAlign w:val="top"/>
          </w:tcPr>
          <w:p>
            <w:pPr>
              <w:spacing w:after="40"/>
            </w:pPr>
            <w:r>
              <w:rPr>
                <w:sz w:val="16"/>
              </w:rPr>
              <w:t>Maison Doclar is a white-glove guest-experience and event-operations company for hosts and organisers whose events must be effortless, discreet and protocol-correct.</w:t>
            </w:r>
          </w:p>
        </w:tc>
      </w:tr>
      <w:tr>
        <w:trPr>
          <w:cantSplit/>
        </w:trPr>
        <w:tc>
          <w:tcPr>
            <w:tcW w:type="dxa" w:w="2304"/>
            <w:tcMar>
              <w:top w:w="70" w:type="dxa"/>
              <w:start w:w="100" w:type="dxa"/>
              <w:bottom w:w="70" w:type="dxa"/>
              <w:end w:w="100" w:type="dxa"/>
            </w:tcMar>
            <w:vAlign w:val="top"/>
            <w:shd w:fill="FAF8F6"/>
          </w:tcPr>
          <w:p>
            <w:pPr>
              <w:spacing w:after="40"/>
            </w:pPr>
            <w:r>
              <w:rPr>
                <w:sz w:val="16"/>
              </w:rPr>
              <w:t>USP</w:t>
            </w:r>
          </w:p>
        </w:tc>
        <w:tc>
          <w:tcPr>
            <w:tcW w:type="dxa" w:w="7056"/>
            <w:tcMar>
              <w:top w:w="70" w:type="dxa"/>
              <w:start w:w="100" w:type="dxa"/>
              <w:bottom w:w="70" w:type="dxa"/>
              <w:end w:w="100" w:type="dxa"/>
            </w:tcMar>
            <w:vAlign w:val="top"/>
            <w:shd w:fill="FAF8F6"/>
          </w:tcPr>
          <w:p>
            <w:pPr>
              <w:spacing w:after="40"/>
            </w:pPr>
            <w:r>
              <w:rPr>
                <w:sz w:val="16"/>
              </w:rPr>
              <w:t>We turn complex, high-stakes events into controlled, deeply personal guest journeys—combining human hospitality, protocol judgment and operational intelligence.</w:t>
            </w:r>
          </w:p>
        </w:tc>
      </w:tr>
      <w:tr>
        <w:trPr>
          <w:cantSplit/>
        </w:trPr>
        <w:tc>
          <w:tcPr>
            <w:tcW w:type="dxa" w:w="2304"/>
            <w:tcMar>
              <w:top w:w="70" w:type="dxa"/>
              <w:start w:w="100" w:type="dxa"/>
              <w:bottom w:w="70" w:type="dxa"/>
              <w:end w:w="100" w:type="dxa"/>
            </w:tcMar>
            <w:vAlign w:val="top"/>
          </w:tcPr>
          <w:p>
            <w:pPr>
              <w:spacing w:after="40"/>
            </w:pPr>
            <w:r>
              <w:rPr>
                <w:sz w:val="16"/>
              </w:rPr>
              <w:t>Emotional benefit</w:t>
            </w:r>
          </w:p>
        </w:tc>
        <w:tc>
          <w:tcPr>
            <w:tcW w:type="dxa" w:w="7056"/>
            <w:tcMar>
              <w:top w:w="70" w:type="dxa"/>
              <w:start w:w="100" w:type="dxa"/>
              <w:bottom w:w="70" w:type="dxa"/>
              <w:end w:w="100" w:type="dxa"/>
            </w:tcMar>
            <w:vAlign w:val="top"/>
          </w:tcPr>
          <w:p>
            <w:pPr>
              <w:spacing w:after="40"/>
            </w:pPr>
            <w:r>
              <w:rPr>
                <w:sz w:val="16"/>
              </w:rPr>
              <w:t>Peace of mind, confidence, pride and the freedom to be present.</w:t>
            </w:r>
          </w:p>
        </w:tc>
      </w:tr>
      <w:tr>
        <w:trPr>
          <w:cantSplit/>
        </w:trPr>
        <w:tc>
          <w:tcPr>
            <w:tcW w:type="dxa" w:w="2304"/>
            <w:tcMar>
              <w:top w:w="70" w:type="dxa"/>
              <w:start w:w="100" w:type="dxa"/>
              <w:bottom w:w="70" w:type="dxa"/>
              <w:end w:w="100" w:type="dxa"/>
            </w:tcMar>
            <w:vAlign w:val="top"/>
            <w:shd w:fill="FAF8F6"/>
          </w:tcPr>
          <w:p>
            <w:pPr>
              <w:spacing w:after="40"/>
            </w:pPr>
            <w:r>
              <w:rPr>
                <w:sz w:val="16"/>
              </w:rPr>
              <w:t>Rational benefit</w:t>
            </w:r>
          </w:p>
        </w:tc>
        <w:tc>
          <w:tcPr>
            <w:tcW w:type="dxa" w:w="7056"/>
            <w:tcMar>
              <w:top w:w="70" w:type="dxa"/>
              <w:start w:w="100" w:type="dxa"/>
              <w:bottom w:w="70" w:type="dxa"/>
              <w:end w:w="100" w:type="dxa"/>
            </w:tcMar>
            <w:vAlign w:val="top"/>
            <w:shd w:fill="FAF8F6"/>
          </w:tcPr>
          <w:p>
            <w:pPr>
              <w:spacing w:after="40"/>
            </w:pPr>
            <w:r>
              <w:rPr>
                <w:sz w:val="16"/>
              </w:rPr>
              <w:t>Fewer failures, faster decisions, visible readiness, protected data and better recovery.</w:t>
            </w:r>
          </w:p>
        </w:tc>
      </w:tr>
      <w:tr>
        <w:trPr>
          <w:cantSplit/>
        </w:trPr>
        <w:tc>
          <w:tcPr>
            <w:tcW w:type="dxa" w:w="2304"/>
            <w:tcMar>
              <w:top w:w="70" w:type="dxa"/>
              <w:start w:w="100" w:type="dxa"/>
              <w:bottom w:w="70" w:type="dxa"/>
              <w:end w:w="100" w:type="dxa"/>
            </w:tcMar>
            <w:vAlign w:val="top"/>
          </w:tcPr>
          <w:p>
            <w:pPr>
              <w:spacing w:after="40"/>
            </w:pPr>
            <w:r>
              <w:rPr>
                <w:sz w:val="16"/>
              </w:rPr>
              <w:t>Voice</w:t>
            </w:r>
          </w:p>
        </w:tc>
        <w:tc>
          <w:tcPr>
            <w:tcW w:type="dxa" w:w="7056"/>
            <w:tcMar>
              <w:top w:w="70" w:type="dxa"/>
              <w:start w:w="100" w:type="dxa"/>
              <w:bottom w:w="70" w:type="dxa"/>
              <w:end w:w="100" w:type="dxa"/>
            </w:tcMar>
            <w:vAlign w:val="top"/>
          </w:tcPr>
          <w:p>
            <w:pPr>
              <w:spacing w:after="40"/>
            </w:pPr>
            <w:r>
              <w:rPr>
                <w:sz w:val="16"/>
              </w:rPr>
              <w:t>Warm, precise, discreet, calm, culturally intelligent and direct.</w:t>
            </w:r>
          </w:p>
        </w:tc>
      </w:tr>
      <w:tr>
        <w:trPr>
          <w:cantSplit/>
        </w:trPr>
        <w:tc>
          <w:tcPr>
            <w:tcW w:type="dxa" w:w="2304"/>
            <w:tcMar>
              <w:top w:w="70" w:type="dxa"/>
              <w:start w:w="100" w:type="dxa"/>
              <w:bottom w:w="70" w:type="dxa"/>
              <w:end w:w="100" w:type="dxa"/>
            </w:tcMar>
            <w:vAlign w:val="top"/>
            <w:shd w:fill="FAF8F6"/>
          </w:tcPr>
          <w:p>
            <w:pPr>
              <w:spacing w:after="40"/>
            </w:pPr>
            <w:r>
              <w:rPr>
                <w:sz w:val="16"/>
              </w:rPr>
              <w:t>Preferred words</w:t>
            </w:r>
          </w:p>
        </w:tc>
        <w:tc>
          <w:tcPr>
            <w:tcW w:type="dxa" w:w="7056"/>
            <w:tcMar>
              <w:top w:w="70" w:type="dxa"/>
              <w:start w:w="100" w:type="dxa"/>
              <w:bottom w:w="70" w:type="dxa"/>
              <w:end w:w="100" w:type="dxa"/>
            </w:tcMar>
            <w:vAlign w:val="top"/>
            <w:shd w:fill="FAF8F6"/>
          </w:tcPr>
          <w:p>
            <w:pPr>
              <w:spacing w:after="40"/>
            </w:pPr>
            <w:r>
              <w:rPr>
                <w:sz w:val="16"/>
              </w:rPr>
              <w:t>considered, hosted, assured, discreet, intentional, ready, dignified, verified</w:t>
            </w:r>
          </w:p>
        </w:tc>
      </w:tr>
      <w:tr>
        <w:trPr>
          <w:cantSplit/>
        </w:trPr>
        <w:tc>
          <w:tcPr>
            <w:tcW w:type="dxa" w:w="2304"/>
            <w:tcMar>
              <w:top w:w="70" w:type="dxa"/>
              <w:start w:w="100" w:type="dxa"/>
              <w:bottom w:w="70" w:type="dxa"/>
              <w:end w:w="100" w:type="dxa"/>
            </w:tcMar>
            <w:vAlign w:val="top"/>
          </w:tcPr>
          <w:p>
            <w:pPr>
              <w:spacing w:after="40"/>
            </w:pPr>
            <w:r>
              <w:rPr>
                <w:sz w:val="16"/>
              </w:rPr>
              <w:t>Avoid</w:t>
            </w:r>
          </w:p>
        </w:tc>
        <w:tc>
          <w:tcPr>
            <w:tcW w:type="dxa" w:w="7056"/>
            <w:tcMar>
              <w:top w:w="70" w:type="dxa"/>
              <w:start w:w="100" w:type="dxa"/>
              <w:bottom w:w="70" w:type="dxa"/>
              <w:end w:w="100" w:type="dxa"/>
            </w:tcMar>
            <w:vAlign w:val="top"/>
          </w:tcPr>
          <w:p>
            <w:pPr>
              <w:spacing w:after="40"/>
            </w:pPr>
            <w:r>
              <w:rPr>
                <w:sz w:val="16"/>
              </w:rPr>
              <w:t>cheap, basic, ordinary, party package, guaranteed perfection, VIP treatment as superiority</w:t>
            </w:r>
          </w:p>
        </w:tc>
      </w:tr>
      <w:tr>
        <w:trPr>
          <w:cantSplit/>
        </w:trPr>
        <w:tc>
          <w:tcPr>
            <w:tcW w:type="dxa" w:w="2304"/>
            <w:tcMar>
              <w:top w:w="70" w:type="dxa"/>
              <w:start w:w="100" w:type="dxa"/>
              <w:bottom w:w="70" w:type="dxa"/>
              <w:end w:w="100" w:type="dxa"/>
            </w:tcMar>
            <w:vAlign w:val="top"/>
            <w:shd w:fill="FAF8F6"/>
          </w:tcPr>
          <w:p>
            <w:pPr>
              <w:spacing w:after="40"/>
            </w:pPr>
            <w:r>
              <w:rPr>
                <w:sz w:val="16"/>
              </w:rPr>
              <w:t>Visual system</w:t>
            </w:r>
          </w:p>
        </w:tc>
        <w:tc>
          <w:tcPr>
            <w:tcW w:type="dxa" w:w="7056"/>
            <w:tcMar>
              <w:top w:w="70" w:type="dxa"/>
              <w:start w:w="100" w:type="dxa"/>
              <w:bottom w:w="70" w:type="dxa"/>
              <w:end w:w="100" w:type="dxa"/>
            </w:tcMar>
            <w:vAlign w:val="top"/>
            <w:shd w:fill="FAF8F6"/>
          </w:tcPr>
          <w:p>
            <w:pPr>
              <w:spacing w:after="40"/>
            </w:pPr>
            <w:r>
              <w:rPr>
                <w:sz w:val="16"/>
              </w:rPr>
              <w:t>Black, warm white and restrained gold; editorial typography; real human moments; no visual clutter or status theatre.</w:t>
            </w:r>
          </w:p>
        </w:tc>
      </w:tr>
    </w:tbl>
    <w:p>
      <w:pPr>
        <w:spacing w:after="20"/>
      </w:pPr>
    </w:p>
    <w:p>
      <w:pPr>
        <w:pStyle w:val="Heading1"/>
        <w:keepNext/>
      </w:pPr>
      <w:r>
        <w:t>Part 2 — Market and customer strategy</w:t>
      </w:r>
    </w:p>
    <w:p>
      <w:pPr>
        <w:pStyle w:val="Heading2"/>
        <w:keepNext/>
      </w:pPr>
      <w:r>
        <w:t>2.1 Segments and ideal clients</w:t>
      </w:r>
    </w:p>
    <w:tbl>
      <w:tblPr>
        <w:tblStyle w:val="TableGrid"/>
        <w:tblW w:type="auto" w:w="0"/>
        <w:jc w:val="left"/>
        <w:tblLayout w:type="fixed"/>
        <w:tblLook w:firstColumn="1" w:firstRow="1" w:lastColumn="0" w:lastRow="0" w:noHBand="0" w:noVBand="1" w:val="04A0"/>
      </w:tblPr>
      <w:tblGrid>
        <w:gridCol w:w="1976"/>
        <w:gridCol w:w="1976"/>
        <w:gridCol w:w="1976"/>
        <w:gridCol w:w="1976"/>
        <w:gridCol w:w="1976"/>
      </w:tblGrid>
      <w:tr>
        <w:trPr>
          <w:tblHeader w:val="true"/>
        </w:trPr>
        <w:tc>
          <w:tcPr>
            <w:tcW w:type="dxa" w:w="792"/>
            <w:shd w:fill="B79F85"/>
            <w:tcMar>
              <w:top w:w="70" w:type="dxa"/>
              <w:start w:w="100" w:type="dxa"/>
              <w:bottom w:w="70" w:type="dxa"/>
              <w:end w:w="100" w:type="dxa"/>
            </w:tcMar>
          </w:tcPr>
          <w:p>
            <w:r>
              <w:rPr>
                <w:b/>
                <w:sz w:val="15"/>
              </w:rPr>
              <w:t>Priority</w:t>
            </w:r>
          </w:p>
        </w:tc>
        <w:tc>
          <w:tcPr>
            <w:tcW w:type="dxa" w:w="2160"/>
            <w:shd w:fill="B79F85"/>
            <w:tcMar>
              <w:top w:w="70" w:type="dxa"/>
              <w:start w:w="100" w:type="dxa"/>
              <w:bottom w:w="70" w:type="dxa"/>
              <w:end w:w="100" w:type="dxa"/>
            </w:tcMar>
          </w:tcPr>
          <w:p>
            <w:r>
              <w:rPr>
                <w:b/>
                <w:sz w:val="15"/>
              </w:rPr>
              <w:t>Segment</w:t>
            </w:r>
          </w:p>
        </w:tc>
        <w:tc>
          <w:tcPr>
            <w:tcW w:type="dxa" w:w="2304"/>
            <w:shd w:fill="B79F85"/>
            <w:tcMar>
              <w:top w:w="70" w:type="dxa"/>
              <w:start w:w="100" w:type="dxa"/>
              <w:bottom w:w="70" w:type="dxa"/>
              <w:end w:w="100" w:type="dxa"/>
            </w:tcMar>
          </w:tcPr>
          <w:p>
            <w:r>
              <w:rPr>
                <w:b/>
                <w:sz w:val="15"/>
              </w:rPr>
              <w:t>Need</w:t>
            </w:r>
          </w:p>
        </w:tc>
        <w:tc>
          <w:tcPr>
            <w:tcW w:type="dxa" w:w="2088"/>
            <w:shd w:fill="B79F85"/>
            <w:tcMar>
              <w:top w:w="70" w:type="dxa"/>
              <w:start w:w="100" w:type="dxa"/>
              <w:bottom w:w="70" w:type="dxa"/>
              <w:end w:w="100" w:type="dxa"/>
            </w:tcMar>
          </w:tcPr>
          <w:p>
            <w:r>
              <w:rPr>
                <w:b/>
                <w:sz w:val="15"/>
              </w:rPr>
              <w:t>Entry offer</w:t>
            </w:r>
          </w:p>
        </w:tc>
        <w:tc>
          <w:tcPr>
            <w:tcW w:type="dxa" w:w="2016"/>
            <w:shd w:fill="B79F85"/>
            <w:tcMar>
              <w:top w:w="70" w:type="dxa"/>
              <w:start w:w="100" w:type="dxa"/>
              <w:bottom w:w="70" w:type="dxa"/>
              <w:end w:w="100" w:type="dxa"/>
            </w:tcMar>
          </w:tcPr>
          <w:p>
            <w:r>
              <w:rPr>
                <w:b/>
                <w:sz w:val="15"/>
              </w:rPr>
              <w:t>Disqualifier</w:t>
            </w:r>
          </w:p>
        </w:tc>
      </w:tr>
      <w:tr>
        <w:trPr>
          <w:cantSplit/>
        </w:trPr>
        <w:tc>
          <w:tcPr>
            <w:tcW w:type="dxa" w:w="792"/>
            <w:tcMar>
              <w:top w:w="70" w:type="dxa"/>
              <w:start w:w="100" w:type="dxa"/>
              <w:bottom w:w="70" w:type="dxa"/>
              <w:end w:w="100" w:type="dxa"/>
            </w:tcMar>
            <w:vAlign w:val="top"/>
          </w:tcPr>
          <w:p>
            <w:pPr>
              <w:spacing w:after="40"/>
            </w:pPr>
            <w:r>
              <w:rPr>
                <w:sz w:val="15"/>
              </w:rPr>
              <w:t>1</w:t>
            </w:r>
          </w:p>
        </w:tc>
        <w:tc>
          <w:tcPr>
            <w:tcW w:type="dxa" w:w="2160"/>
            <w:tcMar>
              <w:top w:w="70" w:type="dxa"/>
              <w:start w:w="100" w:type="dxa"/>
              <w:bottom w:w="70" w:type="dxa"/>
              <w:end w:w="100" w:type="dxa"/>
            </w:tcMar>
            <w:vAlign w:val="top"/>
          </w:tcPr>
          <w:p>
            <w:pPr>
              <w:spacing w:after="40"/>
            </w:pPr>
            <w:r>
              <w:rPr>
                <w:sz w:val="15"/>
              </w:rPr>
              <w:t>HNW/UHNW families and principals</w:t>
            </w:r>
          </w:p>
        </w:tc>
        <w:tc>
          <w:tcPr>
            <w:tcW w:type="dxa" w:w="2304"/>
            <w:tcMar>
              <w:top w:w="70" w:type="dxa"/>
              <w:start w:w="100" w:type="dxa"/>
              <w:bottom w:w="70" w:type="dxa"/>
              <w:end w:w="100" w:type="dxa"/>
            </w:tcMar>
            <w:vAlign w:val="top"/>
          </w:tcPr>
          <w:p>
            <w:pPr>
              <w:spacing w:after="40"/>
            </w:pPr>
            <w:r>
              <w:rPr>
                <w:sz w:val="15"/>
              </w:rPr>
              <w:t>High-trust social, milestone, legacy and ceremonial events</w:t>
            </w:r>
          </w:p>
        </w:tc>
        <w:tc>
          <w:tcPr>
            <w:tcW w:type="dxa" w:w="2088"/>
            <w:tcMar>
              <w:top w:w="70" w:type="dxa"/>
              <w:start w:w="100" w:type="dxa"/>
              <w:bottom w:w="70" w:type="dxa"/>
              <w:end w:w="100" w:type="dxa"/>
            </w:tcMar>
            <w:vAlign w:val="top"/>
          </w:tcPr>
          <w:p>
            <w:pPr>
              <w:spacing w:after="40"/>
            </w:pPr>
            <w:r>
              <w:rPr>
                <w:sz w:val="15"/>
              </w:rPr>
              <w:t>Guest Experience Direction</w:t>
            </w:r>
          </w:p>
        </w:tc>
        <w:tc>
          <w:tcPr>
            <w:tcW w:type="dxa" w:w="2016"/>
            <w:tcMar>
              <w:top w:w="70" w:type="dxa"/>
              <w:start w:w="100" w:type="dxa"/>
              <w:bottom w:w="70" w:type="dxa"/>
              <w:end w:w="100" w:type="dxa"/>
            </w:tcMar>
            <w:vAlign w:val="top"/>
          </w:tcPr>
          <w:p>
            <w:pPr>
              <w:spacing w:after="40"/>
            </w:pPr>
            <w:r>
              <w:rPr>
                <w:sz w:val="15"/>
              </w:rPr>
              <w:t>Price-only buying; unwillingness to document decision authority</w:t>
            </w:r>
          </w:p>
        </w:tc>
      </w:tr>
      <w:tr>
        <w:trPr>
          <w:cantSplit/>
        </w:trPr>
        <w:tc>
          <w:tcPr>
            <w:tcW w:type="dxa" w:w="792"/>
            <w:tcMar>
              <w:top w:w="70" w:type="dxa"/>
              <w:start w:w="100" w:type="dxa"/>
              <w:bottom w:w="70" w:type="dxa"/>
              <w:end w:w="100" w:type="dxa"/>
            </w:tcMar>
            <w:vAlign w:val="top"/>
            <w:shd w:fill="FAF8F6"/>
          </w:tcPr>
          <w:p>
            <w:pPr>
              <w:spacing w:after="40"/>
            </w:pPr>
            <w:r>
              <w:rPr>
                <w:sz w:val="15"/>
              </w:rPr>
              <w:t>1</w:t>
            </w:r>
          </w:p>
        </w:tc>
        <w:tc>
          <w:tcPr>
            <w:tcW w:type="dxa" w:w="2160"/>
            <w:tcMar>
              <w:top w:w="70" w:type="dxa"/>
              <w:start w:w="100" w:type="dxa"/>
              <w:bottom w:w="70" w:type="dxa"/>
              <w:end w:w="100" w:type="dxa"/>
            </w:tcMar>
            <w:vAlign w:val="top"/>
            <w:shd w:fill="FAF8F6"/>
          </w:tcPr>
          <w:p>
            <w:pPr>
              <w:spacing w:after="40"/>
            </w:pPr>
            <w:r>
              <w:rPr>
                <w:sz w:val="15"/>
              </w:rPr>
              <w:t>Family offices/executive offices</w:t>
            </w:r>
          </w:p>
        </w:tc>
        <w:tc>
          <w:tcPr>
            <w:tcW w:type="dxa" w:w="2304"/>
            <w:tcMar>
              <w:top w:w="70" w:type="dxa"/>
              <w:start w:w="100" w:type="dxa"/>
              <w:bottom w:w="70" w:type="dxa"/>
              <w:end w:w="100" w:type="dxa"/>
            </w:tcMar>
            <w:vAlign w:val="top"/>
            <w:shd w:fill="FAF8F6"/>
          </w:tcPr>
          <w:p>
            <w:pPr>
              <w:spacing w:after="40"/>
            </w:pPr>
            <w:r>
              <w:rPr>
                <w:sz w:val="15"/>
              </w:rPr>
              <w:t>Repeated confidential events and principal protection</w:t>
            </w:r>
          </w:p>
        </w:tc>
        <w:tc>
          <w:tcPr>
            <w:tcW w:type="dxa" w:w="2088"/>
            <w:tcMar>
              <w:top w:w="70" w:type="dxa"/>
              <w:start w:w="100" w:type="dxa"/>
              <w:bottom w:w="70" w:type="dxa"/>
              <w:end w:w="100" w:type="dxa"/>
            </w:tcMar>
            <w:vAlign w:val="top"/>
            <w:shd w:fill="FAF8F6"/>
          </w:tcPr>
          <w:p>
            <w:pPr>
              <w:spacing w:after="40"/>
            </w:pPr>
            <w:r>
              <w:rPr>
                <w:sz w:val="15"/>
              </w:rPr>
              <w:t>Annual readiness retainer</w:t>
            </w:r>
          </w:p>
        </w:tc>
        <w:tc>
          <w:tcPr>
            <w:tcW w:type="dxa" w:w="2016"/>
            <w:tcMar>
              <w:top w:w="70" w:type="dxa"/>
              <w:start w:w="100" w:type="dxa"/>
              <w:bottom w:w="70" w:type="dxa"/>
              <w:end w:w="100" w:type="dxa"/>
            </w:tcMar>
            <w:vAlign w:val="top"/>
            <w:shd w:fill="FAF8F6"/>
          </w:tcPr>
          <w:p>
            <w:pPr>
              <w:spacing w:after="40"/>
            </w:pPr>
            <w:r>
              <w:rPr>
                <w:sz w:val="15"/>
              </w:rPr>
              <w:t>Uncontrolled access to personal data</w:t>
            </w:r>
          </w:p>
        </w:tc>
      </w:tr>
      <w:tr>
        <w:trPr>
          <w:cantSplit/>
        </w:trPr>
        <w:tc>
          <w:tcPr>
            <w:tcW w:type="dxa" w:w="792"/>
            <w:tcMar>
              <w:top w:w="70" w:type="dxa"/>
              <w:start w:w="100" w:type="dxa"/>
              <w:bottom w:w="70" w:type="dxa"/>
              <w:end w:w="100" w:type="dxa"/>
            </w:tcMar>
            <w:vAlign w:val="top"/>
          </w:tcPr>
          <w:p>
            <w:pPr>
              <w:spacing w:after="40"/>
            </w:pPr>
            <w:r>
              <w:rPr>
                <w:sz w:val="15"/>
              </w:rPr>
              <w:t>1</w:t>
            </w:r>
          </w:p>
        </w:tc>
        <w:tc>
          <w:tcPr>
            <w:tcW w:type="dxa" w:w="2160"/>
            <w:tcMar>
              <w:top w:w="70" w:type="dxa"/>
              <w:start w:w="100" w:type="dxa"/>
              <w:bottom w:w="70" w:type="dxa"/>
              <w:end w:w="100" w:type="dxa"/>
            </w:tcMar>
            <w:vAlign w:val="top"/>
          </w:tcPr>
          <w:p>
            <w:pPr>
              <w:spacing w:after="40"/>
            </w:pPr>
            <w:r>
              <w:rPr>
                <w:sz w:val="15"/>
              </w:rPr>
              <w:t>Premium organisers and producers</w:t>
            </w:r>
          </w:p>
        </w:tc>
        <w:tc>
          <w:tcPr>
            <w:tcW w:type="dxa" w:w="2304"/>
            <w:tcMar>
              <w:top w:w="70" w:type="dxa"/>
              <w:start w:w="100" w:type="dxa"/>
              <w:bottom w:w="70" w:type="dxa"/>
              <w:end w:w="100" w:type="dxa"/>
            </w:tcMar>
            <w:vAlign w:val="top"/>
          </w:tcPr>
          <w:p>
            <w:pPr>
              <w:spacing w:after="40"/>
            </w:pPr>
            <w:r>
              <w:rPr>
                <w:sz w:val="15"/>
              </w:rPr>
              <w:t>Specialist guest layer without replacing lead planner</w:t>
            </w:r>
          </w:p>
        </w:tc>
        <w:tc>
          <w:tcPr>
            <w:tcW w:type="dxa" w:w="2088"/>
            <w:tcMar>
              <w:top w:w="70" w:type="dxa"/>
              <w:start w:w="100" w:type="dxa"/>
              <w:bottom w:w="70" w:type="dxa"/>
              <w:end w:w="100" w:type="dxa"/>
            </w:tcMar>
            <w:vAlign w:val="top"/>
          </w:tcPr>
          <w:p>
            <w:pPr>
              <w:spacing w:after="40"/>
            </w:pPr>
            <w:r>
              <w:rPr>
                <w:sz w:val="15"/>
              </w:rPr>
              <w:t>White-label guest operations</w:t>
            </w:r>
          </w:p>
        </w:tc>
        <w:tc>
          <w:tcPr>
            <w:tcW w:type="dxa" w:w="2016"/>
            <w:tcMar>
              <w:top w:w="70" w:type="dxa"/>
              <w:start w:w="100" w:type="dxa"/>
              <w:bottom w:w="70" w:type="dxa"/>
              <w:end w:w="100" w:type="dxa"/>
            </w:tcMar>
            <w:vAlign w:val="top"/>
          </w:tcPr>
          <w:p>
            <w:pPr>
              <w:spacing w:after="40"/>
            </w:pPr>
            <w:r>
              <w:rPr>
                <w:sz w:val="15"/>
              </w:rPr>
              <w:t>No clear responsibility map</w:t>
            </w:r>
          </w:p>
        </w:tc>
      </w:tr>
      <w:tr>
        <w:trPr>
          <w:cantSplit/>
        </w:trPr>
        <w:tc>
          <w:tcPr>
            <w:tcW w:type="dxa" w:w="792"/>
            <w:tcMar>
              <w:top w:w="70" w:type="dxa"/>
              <w:start w:w="100" w:type="dxa"/>
              <w:bottom w:w="70" w:type="dxa"/>
              <w:end w:w="100" w:type="dxa"/>
            </w:tcMar>
            <w:vAlign w:val="top"/>
            <w:shd w:fill="FAF8F6"/>
          </w:tcPr>
          <w:p>
            <w:pPr>
              <w:spacing w:after="40"/>
            </w:pPr>
            <w:r>
              <w:rPr>
                <w:sz w:val="15"/>
              </w:rPr>
              <w:t>2</w:t>
            </w:r>
          </w:p>
        </w:tc>
        <w:tc>
          <w:tcPr>
            <w:tcW w:type="dxa" w:w="2160"/>
            <w:tcMar>
              <w:top w:w="70" w:type="dxa"/>
              <w:start w:w="100" w:type="dxa"/>
              <w:bottom w:w="70" w:type="dxa"/>
              <w:end w:w="100" w:type="dxa"/>
            </w:tcMar>
            <w:vAlign w:val="top"/>
            <w:shd w:fill="FAF8F6"/>
          </w:tcPr>
          <w:p>
            <w:pPr>
              <w:spacing w:after="40"/>
            </w:pPr>
            <w:r>
              <w:rPr>
                <w:sz w:val="15"/>
              </w:rPr>
              <w:t>Corporate/institutional/diplomatic hosts</w:t>
            </w:r>
          </w:p>
        </w:tc>
        <w:tc>
          <w:tcPr>
            <w:tcW w:type="dxa" w:w="2304"/>
            <w:tcMar>
              <w:top w:w="70" w:type="dxa"/>
              <w:start w:w="100" w:type="dxa"/>
              <w:bottom w:w="70" w:type="dxa"/>
              <w:end w:w="100" w:type="dxa"/>
            </w:tcMar>
            <w:vAlign w:val="top"/>
            <w:shd w:fill="FAF8F6"/>
          </w:tcPr>
          <w:p>
            <w:pPr>
              <w:spacing w:after="40"/>
            </w:pPr>
            <w:r>
              <w:rPr>
                <w:sz w:val="15"/>
              </w:rPr>
              <w:t>Protocol, stakeholders, reputation and auditability</w:t>
            </w:r>
          </w:p>
        </w:tc>
        <w:tc>
          <w:tcPr>
            <w:tcW w:type="dxa" w:w="2088"/>
            <w:tcMar>
              <w:top w:w="70" w:type="dxa"/>
              <w:start w:w="100" w:type="dxa"/>
              <w:bottom w:w="70" w:type="dxa"/>
              <w:end w:w="100" w:type="dxa"/>
            </w:tcMar>
            <w:vAlign w:val="top"/>
            <w:shd w:fill="FAF8F6"/>
          </w:tcPr>
          <w:p>
            <w:pPr>
              <w:spacing w:after="40"/>
            </w:pPr>
            <w:r>
              <w:rPr>
                <w:sz w:val="15"/>
              </w:rPr>
              <w:t>Protocol + command engagement</w:t>
            </w:r>
          </w:p>
        </w:tc>
        <w:tc>
          <w:tcPr>
            <w:tcW w:type="dxa" w:w="2016"/>
            <w:tcMar>
              <w:top w:w="70" w:type="dxa"/>
              <w:start w:w="100" w:type="dxa"/>
              <w:bottom w:w="70" w:type="dxa"/>
              <w:end w:w="100" w:type="dxa"/>
            </w:tcMar>
            <w:vAlign w:val="top"/>
            <w:shd w:fill="FAF8F6"/>
          </w:tcPr>
          <w:p>
            <w:pPr>
              <w:spacing w:after="40"/>
            </w:pPr>
            <w:r>
              <w:rPr>
                <w:sz w:val="15"/>
              </w:rPr>
              <w:t>Procurement terms that make safe delivery impossible</w:t>
            </w:r>
          </w:p>
        </w:tc>
      </w:tr>
      <w:tr>
        <w:trPr>
          <w:cantSplit/>
        </w:trPr>
        <w:tc>
          <w:tcPr>
            <w:tcW w:type="dxa" w:w="792"/>
            <w:tcMar>
              <w:top w:w="70" w:type="dxa"/>
              <w:start w:w="100" w:type="dxa"/>
              <w:bottom w:w="70" w:type="dxa"/>
              <w:end w:w="100" w:type="dxa"/>
            </w:tcMar>
            <w:vAlign w:val="top"/>
          </w:tcPr>
          <w:p>
            <w:pPr>
              <w:spacing w:after="40"/>
            </w:pPr>
            <w:r>
              <w:rPr>
                <w:sz w:val="15"/>
              </w:rPr>
              <w:t>2</w:t>
            </w:r>
          </w:p>
        </w:tc>
        <w:tc>
          <w:tcPr>
            <w:tcW w:type="dxa" w:w="2160"/>
            <w:tcMar>
              <w:top w:w="70" w:type="dxa"/>
              <w:start w:w="100" w:type="dxa"/>
              <w:bottom w:w="70" w:type="dxa"/>
              <w:end w:w="100" w:type="dxa"/>
            </w:tcMar>
            <w:vAlign w:val="top"/>
          </w:tcPr>
          <w:p>
            <w:pPr>
              <w:spacing w:after="40"/>
            </w:pPr>
            <w:r>
              <w:rPr>
                <w:sz w:val="15"/>
              </w:rPr>
              <w:t>Luxury hotels and venues</w:t>
            </w:r>
          </w:p>
        </w:tc>
        <w:tc>
          <w:tcPr>
            <w:tcW w:type="dxa" w:w="2304"/>
            <w:tcMar>
              <w:top w:w="70" w:type="dxa"/>
              <w:start w:w="100" w:type="dxa"/>
              <w:bottom w:w="70" w:type="dxa"/>
              <w:end w:w="100" w:type="dxa"/>
            </w:tcMar>
            <w:vAlign w:val="top"/>
          </w:tcPr>
          <w:p>
            <w:pPr>
              <w:spacing w:after="40"/>
            </w:pPr>
            <w:r>
              <w:rPr>
                <w:sz w:val="15"/>
              </w:rPr>
              <w:t>Consistent guest standards and trained teams</w:t>
            </w:r>
          </w:p>
        </w:tc>
        <w:tc>
          <w:tcPr>
            <w:tcW w:type="dxa" w:w="2088"/>
            <w:tcMar>
              <w:top w:w="70" w:type="dxa"/>
              <w:start w:w="100" w:type="dxa"/>
              <w:bottom w:w="70" w:type="dxa"/>
              <w:end w:w="100" w:type="dxa"/>
            </w:tcMar>
            <w:vAlign w:val="top"/>
          </w:tcPr>
          <w:p>
            <w:pPr>
              <w:spacing w:after="40"/>
            </w:pPr>
            <w:r>
              <w:rPr>
                <w:sz w:val="15"/>
              </w:rPr>
              <w:t>Partner retainer + Academy</w:t>
            </w:r>
          </w:p>
        </w:tc>
        <w:tc>
          <w:tcPr>
            <w:tcW w:type="dxa" w:w="2016"/>
            <w:tcMar>
              <w:top w:w="70" w:type="dxa"/>
              <w:start w:w="100" w:type="dxa"/>
              <w:bottom w:w="70" w:type="dxa"/>
              <w:end w:w="100" w:type="dxa"/>
            </w:tcMar>
            <w:vAlign w:val="top"/>
          </w:tcPr>
          <w:p>
            <w:pPr>
              <w:spacing w:after="40"/>
            </w:pPr>
            <w:r>
              <w:rPr>
                <w:sz w:val="15"/>
              </w:rPr>
              <w:t>Expectation of exclusivity without volume</w:t>
            </w:r>
          </w:p>
        </w:tc>
      </w:tr>
      <w:tr>
        <w:trPr>
          <w:cantSplit/>
        </w:trPr>
        <w:tc>
          <w:tcPr>
            <w:tcW w:type="dxa" w:w="792"/>
            <w:tcMar>
              <w:top w:w="70" w:type="dxa"/>
              <w:start w:w="100" w:type="dxa"/>
              <w:bottom w:w="70" w:type="dxa"/>
              <w:end w:w="100" w:type="dxa"/>
            </w:tcMar>
            <w:vAlign w:val="top"/>
            <w:shd w:fill="FAF8F6"/>
          </w:tcPr>
          <w:p>
            <w:pPr>
              <w:spacing w:after="40"/>
            </w:pPr>
            <w:r>
              <w:rPr>
                <w:sz w:val="15"/>
              </w:rPr>
              <w:t>3</w:t>
            </w:r>
          </w:p>
        </w:tc>
        <w:tc>
          <w:tcPr>
            <w:tcW w:type="dxa" w:w="2160"/>
            <w:tcMar>
              <w:top w:w="70" w:type="dxa"/>
              <w:start w:w="100" w:type="dxa"/>
              <w:bottom w:w="70" w:type="dxa"/>
              <w:end w:w="100" w:type="dxa"/>
            </w:tcMar>
            <w:vAlign w:val="top"/>
            <w:shd w:fill="FAF8F6"/>
          </w:tcPr>
          <w:p>
            <w:pPr>
              <w:spacing w:after="40"/>
            </w:pPr>
            <w:r>
              <w:rPr>
                <w:sz w:val="15"/>
              </w:rPr>
              <w:t>Destination partners</w:t>
            </w:r>
          </w:p>
        </w:tc>
        <w:tc>
          <w:tcPr>
            <w:tcW w:type="dxa" w:w="2304"/>
            <w:tcMar>
              <w:top w:w="70" w:type="dxa"/>
              <w:start w:w="100" w:type="dxa"/>
              <w:bottom w:w="70" w:type="dxa"/>
              <w:end w:w="100" w:type="dxa"/>
            </w:tcMar>
            <w:vAlign w:val="top"/>
            <w:shd w:fill="FAF8F6"/>
          </w:tcPr>
          <w:p>
            <w:pPr>
              <w:spacing w:after="40"/>
            </w:pPr>
            <w:r>
              <w:rPr>
                <w:sz w:val="15"/>
              </w:rPr>
              <w:t>Local intelligence and guest command</w:t>
            </w:r>
          </w:p>
        </w:tc>
        <w:tc>
          <w:tcPr>
            <w:tcW w:type="dxa" w:w="2088"/>
            <w:tcMar>
              <w:top w:w="70" w:type="dxa"/>
              <w:start w:w="100" w:type="dxa"/>
              <w:bottom w:w="70" w:type="dxa"/>
              <w:end w:w="100" w:type="dxa"/>
            </w:tcMar>
            <w:vAlign w:val="top"/>
            <w:shd w:fill="FAF8F6"/>
          </w:tcPr>
          <w:p>
            <w:pPr>
              <w:spacing w:after="40"/>
            </w:pPr>
            <w:r>
              <w:rPr>
                <w:sz w:val="15"/>
              </w:rPr>
              <w:t>Partner-led delivery</w:t>
            </w:r>
          </w:p>
        </w:tc>
        <w:tc>
          <w:tcPr>
            <w:tcW w:type="dxa" w:w="2016"/>
            <w:tcMar>
              <w:top w:w="70" w:type="dxa"/>
              <w:start w:w="100" w:type="dxa"/>
              <w:bottom w:w="70" w:type="dxa"/>
              <w:end w:w="100" w:type="dxa"/>
            </w:tcMar>
            <w:vAlign w:val="top"/>
            <w:shd w:fill="FAF8F6"/>
          </w:tcPr>
          <w:p>
            <w:pPr>
              <w:spacing w:after="40"/>
            </w:pPr>
            <w:r>
              <w:rPr>
                <w:sz w:val="15"/>
              </w:rPr>
              <w:t>No verified local authority or safety readiness</w:t>
            </w:r>
          </w:p>
        </w:tc>
      </w:tr>
    </w:tbl>
    <w:p>
      <w:pPr>
        <w:spacing w:after="20"/>
      </w:pPr>
    </w:p>
    <w:p>
      <w:r>
        <w:t>The ideal economic buyer is typically 35–70, financially capable, time-poor, reputation-aware and accustomed to delegated expertise. Income is less useful than behaviour: the strongest signal is an important event with multiple stakeholder groups, privacy needs, protocol sensitivity or a host who cannot afford visible disorder.</w:t>
      </w:r>
    </w:p>
    <w:p>
      <w:pPr>
        <w:pStyle w:val="Heading2"/>
        <w:keepNext/>
      </w:pPr>
      <w:r>
        <w:t>2.2 Personas and buying journey</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1872"/>
            <w:shd w:fill="B79F85"/>
            <w:tcMar>
              <w:top w:w="70" w:type="dxa"/>
              <w:start w:w="100" w:type="dxa"/>
              <w:bottom w:w="70" w:type="dxa"/>
              <w:end w:w="100" w:type="dxa"/>
            </w:tcMar>
          </w:tcPr>
          <w:p>
            <w:r>
              <w:rPr>
                <w:b/>
                <w:sz w:val="16"/>
              </w:rPr>
              <w:t>Persona</w:t>
            </w:r>
          </w:p>
        </w:tc>
        <w:tc>
          <w:tcPr>
            <w:tcW w:type="dxa" w:w="2736"/>
            <w:shd w:fill="B79F85"/>
            <w:tcMar>
              <w:top w:w="70" w:type="dxa"/>
              <w:start w:w="100" w:type="dxa"/>
              <w:bottom w:w="70" w:type="dxa"/>
              <w:end w:w="100" w:type="dxa"/>
            </w:tcMar>
          </w:tcPr>
          <w:p>
            <w:r>
              <w:rPr>
                <w:b/>
                <w:sz w:val="16"/>
              </w:rPr>
              <w:t>Job to be done</w:t>
            </w:r>
          </w:p>
        </w:tc>
        <w:tc>
          <w:tcPr>
            <w:tcW w:type="dxa" w:w="2016"/>
            <w:shd w:fill="B79F85"/>
            <w:tcMar>
              <w:top w:w="70" w:type="dxa"/>
              <w:start w:w="100" w:type="dxa"/>
              <w:bottom w:w="70" w:type="dxa"/>
              <w:end w:w="100" w:type="dxa"/>
            </w:tcMar>
          </w:tcPr>
          <w:p>
            <w:r>
              <w:rPr>
                <w:b/>
                <w:sz w:val="16"/>
              </w:rPr>
              <w:t>Fear</w:t>
            </w:r>
          </w:p>
        </w:tc>
        <w:tc>
          <w:tcPr>
            <w:tcW w:type="dxa" w:w="2736"/>
            <w:shd w:fill="B79F85"/>
            <w:tcMar>
              <w:top w:w="70" w:type="dxa"/>
              <w:start w:w="100" w:type="dxa"/>
              <w:bottom w:w="70" w:type="dxa"/>
              <w:end w:w="100" w:type="dxa"/>
            </w:tcMar>
          </w:tcPr>
          <w:p>
            <w:r>
              <w:rPr>
                <w:b/>
                <w:sz w:val="16"/>
              </w:rPr>
              <w:t>Required proof</w:t>
            </w:r>
          </w:p>
        </w:tc>
      </w:tr>
      <w:tr>
        <w:trPr>
          <w:cantSplit/>
        </w:trPr>
        <w:tc>
          <w:tcPr>
            <w:tcW w:type="dxa" w:w="1872"/>
            <w:tcMar>
              <w:top w:w="70" w:type="dxa"/>
              <w:start w:w="100" w:type="dxa"/>
              <w:bottom w:w="70" w:type="dxa"/>
              <w:end w:w="100" w:type="dxa"/>
            </w:tcMar>
            <w:vAlign w:val="top"/>
          </w:tcPr>
          <w:p>
            <w:pPr>
              <w:spacing w:after="40"/>
            </w:pPr>
            <w:r>
              <w:rPr>
                <w:sz w:val="16"/>
              </w:rPr>
              <w:t>The Principal Host</w:t>
            </w:r>
          </w:p>
        </w:tc>
        <w:tc>
          <w:tcPr>
            <w:tcW w:type="dxa" w:w="2736"/>
            <w:tcMar>
              <w:top w:w="70" w:type="dxa"/>
              <w:start w:w="100" w:type="dxa"/>
              <w:bottom w:w="70" w:type="dxa"/>
              <w:end w:w="100" w:type="dxa"/>
            </w:tcMar>
            <w:vAlign w:val="top"/>
          </w:tcPr>
          <w:p>
            <w:pPr>
              <w:spacing w:after="40"/>
            </w:pPr>
            <w:r>
              <w:rPr>
                <w:sz w:val="16"/>
              </w:rPr>
              <w:t>Protect meaning and reputation while remaining present</w:t>
            </w:r>
          </w:p>
        </w:tc>
        <w:tc>
          <w:tcPr>
            <w:tcW w:type="dxa" w:w="2016"/>
            <w:tcMar>
              <w:top w:w="70" w:type="dxa"/>
              <w:start w:w="100" w:type="dxa"/>
              <w:bottom w:w="70" w:type="dxa"/>
              <w:end w:w="100" w:type="dxa"/>
            </w:tcMar>
            <w:vAlign w:val="top"/>
          </w:tcPr>
          <w:p>
            <w:pPr>
              <w:spacing w:after="40"/>
            </w:pPr>
            <w:r>
              <w:rPr>
                <w:sz w:val="16"/>
              </w:rPr>
              <w:t>Embarrassment, family conflict, guests feeling neglected</w:t>
            </w:r>
          </w:p>
        </w:tc>
        <w:tc>
          <w:tcPr>
            <w:tcW w:type="dxa" w:w="2736"/>
            <w:tcMar>
              <w:top w:w="70" w:type="dxa"/>
              <w:start w:w="100" w:type="dxa"/>
              <w:bottom w:w="70" w:type="dxa"/>
              <w:end w:w="100" w:type="dxa"/>
            </w:tcMar>
            <w:vAlign w:val="top"/>
          </w:tcPr>
          <w:p>
            <w:pPr>
              <w:spacing w:after="40"/>
            </w:pPr>
            <w:r>
              <w:rPr>
                <w:sz w:val="16"/>
              </w:rPr>
              <w:t>Trusted referral, discretion, clear control and senior accountability</w:t>
            </w:r>
          </w:p>
        </w:tc>
      </w:tr>
      <w:tr>
        <w:trPr>
          <w:cantSplit/>
        </w:trPr>
        <w:tc>
          <w:tcPr>
            <w:tcW w:type="dxa" w:w="1872"/>
            <w:tcMar>
              <w:top w:w="70" w:type="dxa"/>
              <w:start w:w="100" w:type="dxa"/>
              <w:bottom w:w="70" w:type="dxa"/>
              <w:end w:w="100" w:type="dxa"/>
            </w:tcMar>
            <w:vAlign w:val="top"/>
            <w:shd w:fill="FAF8F6"/>
          </w:tcPr>
          <w:p>
            <w:pPr>
              <w:spacing w:after="40"/>
            </w:pPr>
            <w:r>
              <w:rPr>
                <w:sz w:val="16"/>
              </w:rPr>
              <w:t>The Family/Executive Office</w:t>
            </w:r>
          </w:p>
        </w:tc>
        <w:tc>
          <w:tcPr>
            <w:tcW w:type="dxa" w:w="2736"/>
            <w:tcMar>
              <w:top w:w="70" w:type="dxa"/>
              <w:start w:w="100" w:type="dxa"/>
              <w:bottom w:w="70" w:type="dxa"/>
              <w:end w:w="100" w:type="dxa"/>
            </w:tcMar>
            <w:vAlign w:val="top"/>
            <w:shd w:fill="FAF8F6"/>
          </w:tcPr>
          <w:p>
            <w:pPr>
              <w:spacing w:after="40"/>
            </w:pPr>
            <w:r>
              <w:rPr>
                <w:sz w:val="16"/>
              </w:rPr>
              <w:t>Convert principal intent into safe execution</w:t>
            </w:r>
          </w:p>
        </w:tc>
        <w:tc>
          <w:tcPr>
            <w:tcW w:type="dxa" w:w="2016"/>
            <w:tcMar>
              <w:top w:w="70" w:type="dxa"/>
              <w:start w:w="100" w:type="dxa"/>
              <w:bottom w:w="70" w:type="dxa"/>
              <w:end w:w="100" w:type="dxa"/>
            </w:tcMar>
            <w:vAlign w:val="top"/>
            <w:shd w:fill="FAF8F6"/>
          </w:tcPr>
          <w:p>
            <w:pPr>
              <w:spacing w:after="40"/>
            </w:pPr>
            <w:r>
              <w:rPr>
                <w:sz w:val="16"/>
              </w:rPr>
              <w:t>Data leakage, late surprises, unclear authority</w:t>
            </w:r>
          </w:p>
        </w:tc>
        <w:tc>
          <w:tcPr>
            <w:tcW w:type="dxa" w:w="2736"/>
            <w:tcMar>
              <w:top w:w="70" w:type="dxa"/>
              <w:start w:w="100" w:type="dxa"/>
              <w:bottom w:w="70" w:type="dxa"/>
              <w:end w:w="100" w:type="dxa"/>
            </w:tcMar>
            <w:vAlign w:val="top"/>
            <w:shd w:fill="FAF8F6"/>
          </w:tcPr>
          <w:p>
            <w:pPr>
              <w:spacing w:after="40"/>
            </w:pPr>
            <w:r>
              <w:rPr>
                <w:sz w:val="16"/>
              </w:rPr>
              <w:t>Security posture, audit trail, responsiveness and retainer SLA</w:t>
            </w:r>
          </w:p>
        </w:tc>
      </w:tr>
      <w:tr>
        <w:trPr>
          <w:cantSplit/>
        </w:trPr>
        <w:tc>
          <w:tcPr>
            <w:tcW w:type="dxa" w:w="1872"/>
            <w:tcMar>
              <w:top w:w="70" w:type="dxa"/>
              <w:start w:w="100" w:type="dxa"/>
              <w:bottom w:w="70" w:type="dxa"/>
              <w:end w:w="100" w:type="dxa"/>
            </w:tcMar>
            <w:vAlign w:val="top"/>
          </w:tcPr>
          <w:p>
            <w:pPr>
              <w:spacing w:after="40"/>
            </w:pPr>
            <w:r>
              <w:rPr>
                <w:sz w:val="16"/>
              </w:rPr>
              <w:t>The Event Organiser</w:t>
            </w:r>
          </w:p>
        </w:tc>
        <w:tc>
          <w:tcPr>
            <w:tcW w:type="dxa" w:w="2736"/>
            <w:tcMar>
              <w:top w:w="70" w:type="dxa"/>
              <w:start w:w="100" w:type="dxa"/>
              <w:bottom w:w="70" w:type="dxa"/>
              <w:end w:w="100" w:type="dxa"/>
            </w:tcMar>
            <w:vAlign w:val="top"/>
          </w:tcPr>
          <w:p>
            <w:pPr>
              <w:spacing w:after="40"/>
            </w:pPr>
            <w:r>
              <w:rPr>
                <w:sz w:val="16"/>
              </w:rPr>
              <w:t>Add a specialist guest system without losing control</w:t>
            </w:r>
          </w:p>
        </w:tc>
        <w:tc>
          <w:tcPr>
            <w:tcW w:type="dxa" w:w="2016"/>
            <w:tcMar>
              <w:top w:w="70" w:type="dxa"/>
              <w:start w:w="100" w:type="dxa"/>
              <w:bottom w:w="70" w:type="dxa"/>
              <w:end w:w="100" w:type="dxa"/>
            </w:tcMar>
            <w:vAlign w:val="top"/>
          </w:tcPr>
          <w:p>
            <w:pPr>
              <w:spacing w:after="40"/>
            </w:pPr>
            <w:r>
              <w:rPr>
                <w:sz w:val="16"/>
              </w:rPr>
              <w:t>Duplication, territorial conflict, unreliable staffing</w:t>
            </w:r>
          </w:p>
        </w:tc>
        <w:tc>
          <w:tcPr>
            <w:tcW w:type="dxa" w:w="2736"/>
            <w:tcMar>
              <w:top w:w="70" w:type="dxa"/>
              <w:start w:w="100" w:type="dxa"/>
              <w:bottom w:w="70" w:type="dxa"/>
              <w:end w:w="100" w:type="dxa"/>
            </w:tcMar>
            <w:vAlign w:val="top"/>
          </w:tcPr>
          <w:p>
            <w:pPr>
              <w:spacing w:after="40"/>
            </w:pPr>
            <w:r>
              <w:rPr>
                <w:sz w:val="16"/>
              </w:rPr>
              <w:t>RACI, integration contract, white-label discipline and rehearsals</w:t>
            </w:r>
          </w:p>
        </w:tc>
      </w:tr>
      <w:tr>
        <w:trPr>
          <w:cantSplit/>
        </w:trPr>
        <w:tc>
          <w:tcPr>
            <w:tcW w:type="dxa" w:w="1872"/>
            <w:tcMar>
              <w:top w:w="70" w:type="dxa"/>
              <w:start w:w="100" w:type="dxa"/>
              <w:bottom w:w="70" w:type="dxa"/>
              <w:end w:w="100" w:type="dxa"/>
            </w:tcMar>
            <w:vAlign w:val="top"/>
            <w:shd w:fill="FAF8F6"/>
          </w:tcPr>
          <w:p>
            <w:pPr>
              <w:spacing w:after="40"/>
            </w:pPr>
            <w:r>
              <w:rPr>
                <w:sz w:val="16"/>
              </w:rPr>
              <w:t>The Corporate/Diplomatic Sponsor</w:t>
            </w:r>
          </w:p>
        </w:tc>
        <w:tc>
          <w:tcPr>
            <w:tcW w:type="dxa" w:w="2736"/>
            <w:tcMar>
              <w:top w:w="70" w:type="dxa"/>
              <w:start w:w="100" w:type="dxa"/>
              <w:bottom w:w="70" w:type="dxa"/>
              <w:end w:w="100" w:type="dxa"/>
            </w:tcMar>
            <w:vAlign w:val="top"/>
            <w:shd w:fill="FAF8F6"/>
          </w:tcPr>
          <w:p>
            <w:pPr>
              <w:spacing w:after="40"/>
            </w:pPr>
            <w:r>
              <w:rPr>
                <w:sz w:val="16"/>
              </w:rPr>
              <w:t>Deliver protocol-correct stakeholder experience</w:t>
            </w:r>
          </w:p>
        </w:tc>
        <w:tc>
          <w:tcPr>
            <w:tcW w:type="dxa" w:w="2016"/>
            <w:tcMar>
              <w:top w:w="70" w:type="dxa"/>
              <w:start w:w="100" w:type="dxa"/>
              <w:bottom w:w="70" w:type="dxa"/>
              <w:end w:w="100" w:type="dxa"/>
            </w:tcMar>
            <w:vAlign w:val="top"/>
            <w:shd w:fill="FAF8F6"/>
          </w:tcPr>
          <w:p>
            <w:pPr>
              <w:spacing w:after="40"/>
            </w:pPr>
            <w:r>
              <w:rPr>
                <w:sz w:val="16"/>
              </w:rPr>
              <w:t>Reputational or compliance failure</w:t>
            </w:r>
          </w:p>
        </w:tc>
        <w:tc>
          <w:tcPr>
            <w:tcW w:type="dxa" w:w="2736"/>
            <w:tcMar>
              <w:top w:w="70" w:type="dxa"/>
              <w:start w:w="100" w:type="dxa"/>
              <w:bottom w:w="70" w:type="dxa"/>
              <w:end w:w="100" w:type="dxa"/>
            </w:tcMar>
            <w:vAlign w:val="top"/>
            <w:shd w:fill="FAF8F6"/>
          </w:tcPr>
          <w:p>
            <w:pPr>
              <w:spacing w:after="40"/>
            </w:pPr>
            <w:r>
              <w:rPr>
                <w:sz w:val="16"/>
              </w:rPr>
              <w:t>Credentials, references, method, insurance and reporting</w:t>
            </w:r>
          </w:p>
        </w:tc>
      </w:tr>
    </w:tbl>
    <w:p>
      <w:pPr>
        <w:spacing w:after="20"/>
      </w:pPr>
    </w:p>
    <w:p>
      <w:r>
        <w:t>Discovery should be referral-led, supported by a restrained digital presence, private briefings, venue/organiser partnerships and CEO thought leadership. The buying sequence is: qualified introduction; confidentiality and fit check; discovery; risk-and-outcome brief; paid diagnostic where complexity is high; proposal with options; authority and scope confirmation; contract and initial payment; onboarding. Typical planning windows are 3–12 months, while short-lead work attracts a risk premium and may be declined.</w:t>
      </w:r>
    </w:p>
    <w:p>
      <w:pPr>
        <w:pStyle w:val="Heading2"/>
        <w:keepNext/>
      </w:pPr>
      <w:r>
        <w:t>2.3 Competitor reality</w:t>
      </w:r>
    </w:p>
    <w:p>
      <w:r>
        <w:t>Publicly visible Lagos competitors include Elizabeth R Events, Zapphaire Events, 2706 Events, Lavida Premium Events and other premium planners. Their public positioning demonstrates strength in full-service planning, production, luxury celebrations, brand visibility and portfolios. Public evidence does not reliably disclose their fees, margins, annual capacity or client economics; this plan therefore does not invent those facts. A mystery-shopping and client-interview programme must replace assumptions within 90 days.</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2160"/>
            <w:shd w:fill="B79F85"/>
            <w:tcMar>
              <w:top w:w="70" w:type="dxa"/>
              <w:start w:w="100" w:type="dxa"/>
              <w:bottom w:w="70" w:type="dxa"/>
              <w:end w:w="100" w:type="dxa"/>
            </w:tcMar>
          </w:tcPr>
          <w:p>
            <w:r>
              <w:rPr>
                <w:b/>
                <w:sz w:val="16"/>
              </w:rPr>
              <w:t>Competitor class</w:t>
            </w:r>
          </w:p>
        </w:tc>
        <w:tc>
          <w:tcPr>
            <w:tcW w:type="dxa" w:w="3168"/>
            <w:shd w:fill="B79F85"/>
            <w:tcMar>
              <w:top w:w="70" w:type="dxa"/>
              <w:start w:w="100" w:type="dxa"/>
              <w:bottom w:w="70" w:type="dxa"/>
              <w:end w:w="100" w:type="dxa"/>
            </w:tcMar>
          </w:tcPr>
          <w:p>
            <w:r>
              <w:rPr>
                <w:b/>
                <w:sz w:val="16"/>
              </w:rPr>
              <w:t>Why buyers choose it</w:t>
            </w:r>
          </w:p>
        </w:tc>
        <w:tc>
          <w:tcPr>
            <w:tcW w:type="dxa" w:w="4032"/>
            <w:shd w:fill="B79F85"/>
            <w:tcMar>
              <w:top w:w="70" w:type="dxa"/>
              <w:start w:w="100" w:type="dxa"/>
              <w:bottom w:w="70" w:type="dxa"/>
              <w:end w:w="100" w:type="dxa"/>
            </w:tcMar>
          </w:tcPr>
          <w:p>
            <w:r>
              <w:rPr>
                <w:b/>
                <w:sz w:val="16"/>
              </w:rPr>
              <w:t>Maison Doclar response</w:t>
            </w:r>
          </w:p>
        </w:tc>
      </w:tr>
      <w:tr>
        <w:trPr>
          <w:cantSplit/>
        </w:trPr>
        <w:tc>
          <w:tcPr>
            <w:tcW w:type="dxa" w:w="2160"/>
            <w:tcMar>
              <w:top w:w="70" w:type="dxa"/>
              <w:start w:w="100" w:type="dxa"/>
              <w:bottom w:w="70" w:type="dxa"/>
              <w:end w:w="100" w:type="dxa"/>
            </w:tcMar>
            <w:vAlign w:val="top"/>
          </w:tcPr>
          <w:p>
            <w:pPr>
              <w:spacing w:after="40"/>
            </w:pPr>
            <w:r>
              <w:rPr>
                <w:sz w:val="16"/>
              </w:rPr>
              <w:t>Established premium planners</w:t>
            </w:r>
          </w:p>
        </w:tc>
        <w:tc>
          <w:tcPr>
            <w:tcW w:type="dxa" w:w="3168"/>
            <w:tcMar>
              <w:top w:w="70" w:type="dxa"/>
              <w:start w:w="100" w:type="dxa"/>
              <w:bottom w:w="70" w:type="dxa"/>
              <w:end w:w="100" w:type="dxa"/>
            </w:tcMar>
            <w:vAlign w:val="top"/>
          </w:tcPr>
          <w:p>
            <w:pPr>
              <w:spacing w:after="40"/>
            </w:pPr>
            <w:r>
              <w:rPr>
                <w:sz w:val="16"/>
              </w:rPr>
              <w:t>Portfolio, relationships, production confidence, one-stop delivery</w:t>
            </w:r>
          </w:p>
        </w:tc>
        <w:tc>
          <w:tcPr>
            <w:tcW w:type="dxa" w:w="4032"/>
            <w:tcMar>
              <w:top w:w="70" w:type="dxa"/>
              <w:start w:w="100" w:type="dxa"/>
              <w:bottom w:w="70" w:type="dxa"/>
              <w:end w:w="100" w:type="dxa"/>
            </w:tcMar>
            <w:vAlign w:val="top"/>
          </w:tcPr>
          <w:p>
            <w:pPr>
              <w:spacing w:after="40"/>
            </w:pPr>
            <w:r>
              <w:rPr>
                <w:sz w:val="16"/>
              </w:rPr>
              <w:t>Partner where appropriate; win on guest intelligence, protocol depth, auditability and calm command</w:t>
            </w:r>
          </w:p>
        </w:tc>
      </w:tr>
      <w:tr>
        <w:trPr>
          <w:cantSplit/>
        </w:trPr>
        <w:tc>
          <w:tcPr>
            <w:tcW w:type="dxa" w:w="2160"/>
            <w:tcMar>
              <w:top w:w="70" w:type="dxa"/>
              <w:start w:w="100" w:type="dxa"/>
              <w:bottom w:w="70" w:type="dxa"/>
              <w:end w:w="100" w:type="dxa"/>
            </w:tcMar>
            <w:vAlign w:val="top"/>
            <w:shd w:fill="FAF8F6"/>
          </w:tcPr>
          <w:p>
            <w:pPr>
              <w:spacing w:after="40"/>
            </w:pPr>
            <w:r>
              <w:rPr>
                <w:sz w:val="16"/>
              </w:rPr>
              <w:t>Hotel/venue teams</w:t>
            </w:r>
          </w:p>
        </w:tc>
        <w:tc>
          <w:tcPr>
            <w:tcW w:type="dxa" w:w="3168"/>
            <w:tcMar>
              <w:top w:w="70" w:type="dxa"/>
              <w:start w:w="100" w:type="dxa"/>
              <w:bottom w:w="70" w:type="dxa"/>
              <w:end w:w="100" w:type="dxa"/>
            </w:tcMar>
            <w:vAlign w:val="top"/>
            <w:shd w:fill="FAF8F6"/>
          </w:tcPr>
          <w:p>
            <w:pPr>
              <w:spacing w:after="40"/>
            </w:pPr>
            <w:r>
              <w:rPr>
                <w:sz w:val="16"/>
              </w:rPr>
              <w:t>Convenience, bundled spend, local familiarity</w:t>
            </w:r>
          </w:p>
        </w:tc>
        <w:tc>
          <w:tcPr>
            <w:tcW w:type="dxa" w:w="4032"/>
            <w:tcMar>
              <w:top w:w="70" w:type="dxa"/>
              <w:start w:w="100" w:type="dxa"/>
              <w:bottom w:w="70" w:type="dxa"/>
              <w:end w:w="100" w:type="dxa"/>
            </w:tcMar>
            <w:vAlign w:val="top"/>
            <w:shd w:fill="FAF8F6"/>
          </w:tcPr>
          <w:p>
            <w:pPr>
              <w:spacing w:after="40"/>
            </w:pPr>
            <w:r>
              <w:rPr>
                <w:sz w:val="16"/>
              </w:rPr>
              <w:t>Provide specialist standards, complex guest segmentation and cross-supplier command</w:t>
            </w:r>
          </w:p>
        </w:tc>
      </w:tr>
      <w:tr>
        <w:trPr>
          <w:cantSplit/>
        </w:trPr>
        <w:tc>
          <w:tcPr>
            <w:tcW w:type="dxa" w:w="2160"/>
            <w:tcMar>
              <w:top w:w="70" w:type="dxa"/>
              <w:start w:w="100" w:type="dxa"/>
              <w:bottom w:w="70" w:type="dxa"/>
              <w:end w:w="100" w:type="dxa"/>
            </w:tcMar>
            <w:vAlign w:val="top"/>
          </w:tcPr>
          <w:p>
            <w:pPr>
              <w:spacing w:after="40"/>
            </w:pPr>
            <w:r>
              <w:rPr>
                <w:sz w:val="16"/>
              </w:rPr>
              <w:t>In-house/family-office teams</w:t>
            </w:r>
          </w:p>
        </w:tc>
        <w:tc>
          <w:tcPr>
            <w:tcW w:type="dxa" w:w="3168"/>
            <w:tcMar>
              <w:top w:w="70" w:type="dxa"/>
              <w:start w:w="100" w:type="dxa"/>
              <w:bottom w:w="70" w:type="dxa"/>
              <w:end w:w="100" w:type="dxa"/>
            </w:tcMar>
            <w:vAlign w:val="top"/>
          </w:tcPr>
          <w:p>
            <w:pPr>
              <w:spacing w:after="40"/>
            </w:pPr>
            <w:r>
              <w:rPr>
                <w:sz w:val="16"/>
              </w:rPr>
              <w:t>Trust, control and intimate knowledge</w:t>
            </w:r>
          </w:p>
        </w:tc>
        <w:tc>
          <w:tcPr>
            <w:tcW w:type="dxa" w:w="4032"/>
            <w:tcMar>
              <w:top w:w="70" w:type="dxa"/>
              <w:start w:w="100" w:type="dxa"/>
              <w:bottom w:w="70" w:type="dxa"/>
              <w:end w:w="100" w:type="dxa"/>
            </w:tcMar>
            <w:vAlign w:val="top"/>
          </w:tcPr>
          <w:p>
            <w:pPr>
              <w:spacing w:after="40"/>
            </w:pPr>
            <w:r>
              <w:rPr>
                <w:sz w:val="16"/>
              </w:rPr>
              <w:t>Augment rather than displace; bring system, capacity and certified staff</w:t>
            </w:r>
          </w:p>
        </w:tc>
      </w:tr>
      <w:tr>
        <w:trPr>
          <w:cantSplit/>
        </w:trPr>
        <w:tc>
          <w:tcPr>
            <w:tcW w:type="dxa" w:w="2160"/>
            <w:tcMar>
              <w:top w:w="70" w:type="dxa"/>
              <w:start w:w="100" w:type="dxa"/>
              <w:bottom w:w="70" w:type="dxa"/>
              <w:end w:w="100" w:type="dxa"/>
            </w:tcMar>
            <w:vAlign w:val="top"/>
            <w:shd w:fill="FAF8F6"/>
          </w:tcPr>
          <w:p>
            <w:pPr>
              <w:spacing w:after="40"/>
            </w:pPr>
            <w:r>
              <w:rPr>
                <w:sz w:val="16"/>
              </w:rPr>
              <w:t>Staffing/ushering agencies</w:t>
            </w:r>
          </w:p>
        </w:tc>
        <w:tc>
          <w:tcPr>
            <w:tcW w:type="dxa" w:w="3168"/>
            <w:tcMar>
              <w:top w:w="70" w:type="dxa"/>
              <w:start w:w="100" w:type="dxa"/>
              <w:bottom w:w="70" w:type="dxa"/>
              <w:end w:w="100" w:type="dxa"/>
            </w:tcMar>
            <w:vAlign w:val="top"/>
            <w:shd w:fill="FAF8F6"/>
          </w:tcPr>
          <w:p>
            <w:pPr>
              <w:spacing w:after="40"/>
            </w:pPr>
            <w:r>
              <w:rPr>
                <w:sz w:val="16"/>
              </w:rPr>
              <w:t>Lower price and fast headcount</w:t>
            </w:r>
          </w:p>
        </w:tc>
        <w:tc>
          <w:tcPr>
            <w:tcW w:type="dxa" w:w="4032"/>
            <w:tcMar>
              <w:top w:w="70" w:type="dxa"/>
              <w:start w:w="100" w:type="dxa"/>
              <w:bottom w:w="70" w:type="dxa"/>
              <w:end w:w="100" w:type="dxa"/>
            </w:tcMar>
            <w:vAlign w:val="top"/>
            <w:shd w:fill="FAF8F6"/>
          </w:tcPr>
          <w:p>
            <w:pPr>
              <w:spacing w:after="40"/>
            </w:pPr>
            <w:r>
              <w:rPr>
                <w:sz w:val="16"/>
              </w:rPr>
              <w:t>Never compete on bodies; sell trained roles, supervision and outcomes</w:t>
            </w:r>
          </w:p>
        </w:tc>
      </w:tr>
      <w:tr>
        <w:trPr>
          <w:cantSplit/>
        </w:trPr>
        <w:tc>
          <w:tcPr>
            <w:tcW w:type="dxa" w:w="2160"/>
            <w:tcMar>
              <w:top w:w="70" w:type="dxa"/>
              <w:start w:w="100" w:type="dxa"/>
              <w:bottom w:w="70" w:type="dxa"/>
              <w:end w:w="100" w:type="dxa"/>
            </w:tcMar>
            <w:vAlign w:val="top"/>
          </w:tcPr>
          <w:p>
            <w:pPr>
              <w:spacing w:after="40"/>
            </w:pPr>
            <w:r>
              <w:rPr>
                <w:sz w:val="16"/>
              </w:rPr>
              <w:t>Luxury concierge firms</w:t>
            </w:r>
          </w:p>
        </w:tc>
        <w:tc>
          <w:tcPr>
            <w:tcW w:type="dxa" w:w="3168"/>
            <w:tcMar>
              <w:top w:w="70" w:type="dxa"/>
              <w:start w:w="100" w:type="dxa"/>
              <w:bottom w:w="70" w:type="dxa"/>
              <w:end w:w="100" w:type="dxa"/>
            </w:tcMar>
            <w:vAlign w:val="top"/>
          </w:tcPr>
          <w:p>
            <w:pPr>
              <w:spacing w:after="40"/>
            </w:pPr>
            <w:r>
              <w:rPr>
                <w:sz w:val="16"/>
              </w:rPr>
              <w:t>Personal access and lifestyle continuity</w:t>
            </w:r>
          </w:p>
        </w:tc>
        <w:tc>
          <w:tcPr>
            <w:tcW w:type="dxa" w:w="4032"/>
            <w:tcMar>
              <w:top w:w="70" w:type="dxa"/>
              <w:start w:w="100" w:type="dxa"/>
              <w:bottom w:w="70" w:type="dxa"/>
              <w:end w:w="100" w:type="dxa"/>
            </w:tcMar>
            <w:vAlign w:val="top"/>
          </w:tcPr>
          <w:p>
            <w:pPr>
              <w:spacing w:after="40"/>
            </w:pPr>
            <w:r>
              <w:rPr>
                <w:sz w:val="16"/>
              </w:rPr>
              <w:t>Partner for travel/lifestyle needs; own the event operating layer</w:t>
            </w:r>
          </w:p>
        </w:tc>
      </w:tr>
      <w:tr>
        <w:trPr>
          <w:cantSplit/>
        </w:trPr>
        <w:tc>
          <w:tcPr>
            <w:tcW w:type="dxa" w:w="2160"/>
            <w:tcMar>
              <w:top w:w="70" w:type="dxa"/>
              <w:start w:w="100" w:type="dxa"/>
              <w:bottom w:w="70" w:type="dxa"/>
              <w:end w:w="100" w:type="dxa"/>
            </w:tcMar>
            <w:vAlign w:val="top"/>
            <w:shd w:fill="FAF8F6"/>
          </w:tcPr>
          <w:p>
            <w:pPr>
              <w:spacing w:after="40"/>
            </w:pPr>
            <w:r>
              <w:rPr>
                <w:sz w:val="16"/>
              </w:rPr>
              <w:t>Event-tech tools</w:t>
            </w:r>
          </w:p>
        </w:tc>
        <w:tc>
          <w:tcPr>
            <w:tcW w:type="dxa" w:w="3168"/>
            <w:tcMar>
              <w:top w:w="70" w:type="dxa"/>
              <w:start w:w="100" w:type="dxa"/>
              <w:bottom w:w="70" w:type="dxa"/>
              <w:end w:w="100" w:type="dxa"/>
            </w:tcMar>
            <w:vAlign w:val="top"/>
            <w:shd w:fill="FAF8F6"/>
          </w:tcPr>
          <w:p>
            <w:pPr>
              <w:spacing w:after="40"/>
            </w:pPr>
            <w:r>
              <w:rPr>
                <w:sz w:val="16"/>
              </w:rPr>
              <w:t>Speed and self-service</w:t>
            </w:r>
          </w:p>
        </w:tc>
        <w:tc>
          <w:tcPr>
            <w:tcW w:type="dxa" w:w="4032"/>
            <w:tcMar>
              <w:top w:w="70" w:type="dxa"/>
              <w:start w:w="100" w:type="dxa"/>
              <w:bottom w:w="70" w:type="dxa"/>
              <w:end w:w="100" w:type="dxa"/>
            </w:tcMar>
            <w:vAlign w:val="top"/>
            <w:shd w:fill="FAF8F6"/>
          </w:tcPr>
          <w:p>
            <w:pPr>
              <w:spacing w:after="40"/>
            </w:pPr>
            <w:r>
              <w:rPr>
                <w:sz w:val="16"/>
              </w:rPr>
              <w:t>Use technology as infrastructure; differentiate through judgment and accountability</w:t>
            </w:r>
          </w:p>
        </w:tc>
      </w:tr>
    </w:tbl>
    <w:p>
      <w:pPr>
        <w:spacing w:after="20"/>
      </w:pPr>
    </w:p>
    <w:p>
      <w:pPr>
        <w:pStyle w:val="Heading2"/>
        <w:keepNext/>
      </w:pPr>
      <w:r>
        <w:t>2.4 Moat</w:t>
      </w:r>
    </w:p>
    <w:p>
      <w:r>
        <w:t>No tagline, checklist or software feature is an enduring moat. The defensible system is cumulative: ratified doctrine; event-scoped data; trained and certified people; operational outcome evidence; a trusted supplier/authority network; client memory used with permission; decision history; and a reputation for discretion. Competitors can copy visible rituals, but cannot quickly copy years of verified scenarios, calibrated thresholds, team judgment and trust.</w:t>
      </w:r>
    </w:p>
    <w:p>
      <w:pPr>
        <w:pStyle w:val="Heading1"/>
        <w:keepNext/>
      </w:pPr>
      <w:r>
        <w:t>Part 3 — Operations and delivery</w:t>
      </w:r>
    </w:p>
    <w:p>
      <w:pPr>
        <w:pStyle w:val="Heading2"/>
        <w:keepNext/>
      </w:pPr>
      <w:r>
        <w:t>3.1 End-to-end service model</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224"/>
            <w:shd w:fill="B79F85"/>
            <w:tcMar>
              <w:top w:w="70" w:type="dxa"/>
              <w:start w:w="100" w:type="dxa"/>
              <w:bottom w:w="70" w:type="dxa"/>
              <w:end w:w="100" w:type="dxa"/>
            </w:tcMar>
          </w:tcPr>
          <w:p>
            <w:r>
              <w:rPr>
                <w:b/>
                <w:sz w:val="16"/>
              </w:rPr>
              <w:t>Stage</w:t>
            </w:r>
          </w:p>
        </w:tc>
        <w:tc>
          <w:tcPr>
            <w:tcW w:type="dxa" w:w="4392"/>
            <w:shd w:fill="B79F85"/>
            <w:tcMar>
              <w:top w:w="70" w:type="dxa"/>
              <w:start w:w="100" w:type="dxa"/>
              <w:bottom w:w="70" w:type="dxa"/>
              <w:end w:w="100" w:type="dxa"/>
            </w:tcMar>
          </w:tcPr>
          <w:p>
            <w:r>
              <w:rPr>
                <w:b/>
                <w:sz w:val="16"/>
              </w:rPr>
              <w:t>Outputs</w:t>
            </w:r>
          </w:p>
        </w:tc>
        <w:tc>
          <w:tcPr>
            <w:tcW w:type="dxa" w:w="3744"/>
            <w:shd w:fill="B79F85"/>
            <w:tcMar>
              <w:top w:w="70" w:type="dxa"/>
              <w:start w:w="100" w:type="dxa"/>
              <w:bottom w:w="70" w:type="dxa"/>
              <w:end w:w="100" w:type="dxa"/>
            </w:tcMar>
          </w:tcPr>
          <w:p>
            <w:r>
              <w:rPr>
                <w:b/>
                <w:sz w:val="16"/>
              </w:rPr>
              <w:t>Quality gate</w:t>
            </w:r>
          </w:p>
        </w:tc>
      </w:tr>
      <w:tr>
        <w:trPr>
          <w:cantSplit/>
        </w:trPr>
        <w:tc>
          <w:tcPr>
            <w:tcW w:type="dxa" w:w="1224"/>
            <w:tcMar>
              <w:top w:w="70" w:type="dxa"/>
              <w:start w:w="100" w:type="dxa"/>
              <w:bottom w:w="70" w:type="dxa"/>
              <w:end w:w="100" w:type="dxa"/>
            </w:tcMar>
            <w:vAlign w:val="top"/>
          </w:tcPr>
          <w:p>
            <w:pPr>
              <w:spacing w:after="40"/>
            </w:pPr>
            <w:r>
              <w:rPr>
                <w:sz w:val="16"/>
              </w:rPr>
              <w:t>1. Qualify</w:t>
            </w:r>
          </w:p>
        </w:tc>
        <w:tc>
          <w:tcPr>
            <w:tcW w:type="dxa" w:w="4392"/>
            <w:tcMar>
              <w:top w:w="70" w:type="dxa"/>
              <w:start w:w="100" w:type="dxa"/>
              <w:bottom w:w="70" w:type="dxa"/>
              <w:end w:w="100" w:type="dxa"/>
            </w:tcMar>
            <w:vAlign w:val="top"/>
          </w:tcPr>
          <w:p>
            <w:pPr>
              <w:spacing w:after="40"/>
            </w:pPr>
            <w:r>
              <w:rPr>
                <w:sz w:val="16"/>
              </w:rPr>
              <w:t>Fit, risk, budget, authority, conflict and capacity decision</w:t>
            </w:r>
          </w:p>
        </w:tc>
        <w:tc>
          <w:tcPr>
            <w:tcW w:type="dxa" w:w="3744"/>
            <w:tcMar>
              <w:top w:w="70" w:type="dxa"/>
              <w:start w:w="100" w:type="dxa"/>
              <w:bottom w:w="70" w:type="dxa"/>
              <w:end w:w="100" w:type="dxa"/>
            </w:tcMar>
            <w:vAlign w:val="top"/>
          </w:tcPr>
          <w:p>
            <w:pPr>
              <w:spacing w:after="40"/>
            </w:pPr>
            <w:r>
              <w:rPr>
                <w:sz w:val="16"/>
              </w:rPr>
              <w:t>CEO/Client Director accepts or declines</w:t>
            </w:r>
          </w:p>
        </w:tc>
      </w:tr>
      <w:tr>
        <w:trPr>
          <w:cantSplit/>
        </w:trPr>
        <w:tc>
          <w:tcPr>
            <w:tcW w:type="dxa" w:w="1224"/>
            <w:tcMar>
              <w:top w:w="70" w:type="dxa"/>
              <w:start w:w="100" w:type="dxa"/>
              <w:bottom w:w="70" w:type="dxa"/>
              <w:end w:w="100" w:type="dxa"/>
            </w:tcMar>
            <w:vAlign w:val="top"/>
            <w:shd w:fill="FAF8F6"/>
          </w:tcPr>
          <w:p>
            <w:pPr>
              <w:spacing w:after="40"/>
            </w:pPr>
            <w:r>
              <w:rPr>
                <w:sz w:val="16"/>
              </w:rPr>
              <w:t>2. Contract</w:t>
            </w:r>
          </w:p>
        </w:tc>
        <w:tc>
          <w:tcPr>
            <w:tcW w:type="dxa" w:w="4392"/>
            <w:tcMar>
              <w:top w:w="70" w:type="dxa"/>
              <w:start w:w="100" w:type="dxa"/>
              <w:bottom w:w="70" w:type="dxa"/>
              <w:end w:w="100" w:type="dxa"/>
            </w:tcMar>
            <w:vAlign w:val="top"/>
            <w:shd w:fill="FAF8F6"/>
          </w:tcPr>
          <w:p>
            <w:pPr>
              <w:spacing w:after="40"/>
            </w:pPr>
            <w:r>
              <w:rPr>
                <w:sz w:val="16"/>
              </w:rPr>
              <w:t>Scope, responsibilities, fees, privacy roles, insurance, change control</w:t>
            </w:r>
          </w:p>
        </w:tc>
        <w:tc>
          <w:tcPr>
            <w:tcW w:type="dxa" w:w="3744"/>
            <w:tcMar>
              <w:top w:w="70" w:type="dxa"/>
              <w:start w:w="100" w:type="dxa"/>
              <w:bottom w:w="70" w:type="dxa"/>
              <w:end w:w="100" w:type="dxa"/>
            </w:tcMar>
            <w:vAlign w:val="top"/>
            <w:shd w:fill="FAF8F6"/>
          </w:tcPr>
          <w:p>
            <w:pPr>
              <w:spacing w:after="40"/>
            </w:pPr>
            <w:r>
              <w:rPr>
                <w:sz w:val="16"/>
              </w:rPr>
              <w:t>Signed contract + first cleared payment</w:t>
            </w:r>
          </w:p>
        </w:tc>
      </w:tr>
      <w:tr>
        <w:trPr>
          <w:cantSplit/>
        </w:trPr>
        <w:tc>
          <w:tcPr>
            <w:tcW w:type="dxa" w:w="1224"/>
            <w:tcMar>
              <w:top w:w="70" w:type="dxa"/>
              <w:start w:w="100" w:type="dxa"/>
              <w:bottom w:w="70" w:type="dxa"/>
              <w:end w:w="100" w:type="dxa"/>
            </w:tcMar>
            <w:vAlign w:val="top"/>
          </w:tcPr>
          <w:p>
            <w:pPr>
              <w:spacing w:after="40"/>
            </w:pPr>
            <w:r>
              <w:rPr>
                <w:sz w:val="16"/>
              </w:rPr>
              <w:t>3. Discover</w:t>
            </w:r>
          </w:p>
        </w:tc>
        <w:tc>
          <w:tcPr>
            <w:tcW w:type="dxa" w:w="4392"/>
            <w:tcMar>
              <w:top w:w="70" w:type="dxa"/>
              <w:start w:w="100" w:type="dxa"/>
              <w:bottom w:w="70" w:type="dxa"/>
              <w:end w:w="100" w:type="dxa"/>
            </w:tcMar>
            <w:vAlign w:val="top"/>
          </w:tcPr>
          <w:p>
            <w:pPr>
              <w:spacing w:after="40"/>
            </w:pPr>
            <w:r>
              <w:rPr>
                <w:sz w:val="16"/>
              </w:rPr>
              <w:t>Host intent, guest groups, sensitivities, event facts, success measures</w:t>
            </w:r>
          </w:p>
        </w:tc>
        <w:tc>
          <w:tcPr>
            <w:tcW w:type="dxa" w:w="3744"/>
            <w:tcMar>
              <w:top w:w="70" w:type="dxa"/>
              <w:start w:w="100" w:type="dxa"/>
              <w:bottom w:w="70" w:type="dxa"/>
              <w:end w:w="100" w:type="dxa"/>
            </w:tcMar>
            <w:vAlign w:val="top"/>
          </w:tcPr>
          <w:p>
            <w:pPr>
              <w:spacing w:after="40"/>
            </w:pPr>
            <w:r>
              <w:rPr>
                <w:sz w:val="16"/>
              </w:rPr>
              <w:t>Brief signed off; unknowns visible</w:t>
            </w:r>
          </w:p>
        </w:tc>
      </w:tr>
      <w:tr>
        <w:trPr>
          <w:cantSplit/>
        </w:trPr>
        <w:tc>
          <w:tcPr>
            <w:tcW w:type="dxa" w:w="1224"/>
            <w:tcMar>
              <w:top w:w="70" w:type="dxa"/>
              <w:start w:w="100" w:type="dxa"/>
              <w:bottom w:w="70" w:type="dxa"/>
              <w:end w:w="100" w:type="dxa"/>
            </w:tcMar>
            <w:vAlign w:val="top"/>
            <w:shd w:fill="FAF8F6"/>
          </w:tcPr>
          <w:p>
            <w:pPr>
              <w:spacing w:after="40"/>
            </w:pPr>
            <w:r>
              <w:rPr>
                <w:sz w:val="16"/>
              </w:rPr>
              <w:t>4. Design</w:t>
            </w:r>
          </w:p>
        </w:tc>
        <w:tc>
          <w:tcPr>
            <w:tcW w:type="dxa" w:w="4392"/>
            <w:tcMar>
              <w:top w:w="70" w:type="dxa"/>
              <w:start w:w="100" w:type="dxa"/>
              <w:bottom w:w="70" w:type="dxa"/>
              <w:end w:w="100" w:type="dxa"/>
            </w:tcMar>
            <w:vAlign w:val="top"/>
            <w:shd w:fill="FAF8F6"/>
          </w:tcPr>
          <w:p>
            <w:pPr>
              <w:spacing w:after="40"/>
            </w:pPr>
            <w:r>
              <w:rPr>
                <w:sz w:val="16"/>
              </w:rPr>
              <w:t>Guest journeys, standards, service blueprint, protocol plan</w:t>
            </w:r>
          </w:p>
        </w:tc>
        <w:tc>
          <w:tcPr>
            <w:tcW w:type="dxa" w:w="3744"/>
            <w:tcMar>
              <w:top w:w="70" w:type="dxa"/>
              <w:start w:w="100" w:type="dxa"/>
              <w:bottom w:w="70" w:type="dxa"/>
              <w:end w:w="100" w:type="dxa"/>
            </w:tcMar>
            <w:vAlign w:val="top"/>
            <w:shd w:fill="FAF8F6"/>
          </w:tcPr>
          <w:p>
            <w:pPr>
              <w:spacing w:after="40"/>
            </w:pPr>
            <w:r>
              <w:rPr>
                <w:sz w:val="16"/>
              </w:rPr>
              <w:t>Design review with host and event leadership</w:t>
            </w:r>
          </w:p>
        </w:tc>
      </w:tr>
      <w:tr>
        <w:trPr>
          <w:cantSplit/>
        </w:trPr>
        <w:tc>
          <w:tcPr>
            <w:tcW w:type="dxa" w:w="1224"/>
            <w:tcMar>
              <w:top w:w="70" w:type="dxa"/>
              <w:start w:w="100" w:type="dxa"/>
              <w:bottom w:w="70" w:type="dxa"/>
              <w:end w:w="100" w:type="dxa"/>
            </w:tcMar>
            <w:vAlign w:val="top"/>
          </w:tcPr>
          <w:p>
            <w:pPr>
              <w:spacing w:after="40"/>
            </w:pPr>
            <w:r>
              <w:rPr>
                <w:sz w:val="16"/>
              </w:rPr>
              <w:t>5. Plan</w:t>
            </w:r>
          </w:p>
        </w:tc>
        <w:tc>
          <w:tcPr>
            <w:tcW w:type="dxa" w:w="4392"/>
            <w:tcMar>
              <w:top w:w="70" w:type="dxa"/>
              <w:start w:w="100" w:type="dxa"/>
              <w:bottom w:w="70" w:type="dxa"/>
              <w:end w:w="100" w:type="dxa"/>
            </w:tcMar>
            <w:vAlign w:val="top"/>
          </w:tcPr>
          <w:p>
            <w:pPr>
              <w:spacing w:after="40"/>
            </w:pPr>
            <w:r>
              <w:rPr>
                <w:sz w:val="16"/>
              </w:rPr>
              <w:t>Workstreams, staffing, suppliers, data, communications, seating/access, contingencies</w:t>
            </w:r>
          </w:p>
        </w:tc>
        <w:tc>
          <w:tcPr>
            <w:tcW w:type="dxa" w:w="3744"/>
            <w:tcMar>
              <w:top w:w="70" w:type="dxa"/>
              <w:start w:w="100" w:type="dxa"/>
              <w:bottom w:w="70" w:type="dxa"/>
              <w:end w:w="100" w:type="dxa"/>
            </w:tcMar>
            <w:vAlign w:val="top"/>
          </w:tcPr>
          <w:p>
            <w:pPr>
              <w:spacing w:after="40"/>
            </w:pPr>
            <w:r>
              <w:rPr>
                <w:sz w:val="16"/>
              </w:rPr>
              <w:t>Readiness plan and responsibility map</w:t>
            </w:r>
          </w:p>
        </w:tc>
      </w:tr>
      <w:tr>
        <w:trPr>
          <w:cantSplit/>
        </w:trPr>
        <w:tc>
          <w:tcPr>
            <w:tcW w:type="dxa" w:w="1224"/>
            <w:tcMar>
              <w:top w:w="70" w:type="dxa"/>
              <w:start w:w="100" w:type="dxa"/>
              <w:bottom w:w="70" w:type="dxa"/>
              <w:end w:w="100" w:type="dxa"/>
            </w:tcMar>
            <w:vAlign w:val="top"/>
            <w:shd w:fill="FAF8F6"/>
          </w:tcPr>
          <w:p>
            <w:pPr>
              <w:spacing w:after="40"/>
            </w:pPr>
            <w:r>
              <w:rPr>
                <w:sz w:val="16"/>
              </w:rPr>
              <w:t>6. Verify</w:t>
            </w:r>
          </w:p>
        </w:tc>
        <w:tc>
          <w:tcPr>
            <w:tcW w:type="dxa" w:w="4392"/>
            <w:tcMar>
              <w:top w:w="70" w:type="dxa"/>
              <w:start w:w="100" w:type="dxa"/>
              <w:bottom w:w="70" w:type="dxa"/>
              <w:end w:w="100" w:type="dxa"/>
            </w:tcMar>
            <w:vAlign w:val="top"/>
            <w:shd w:fill="FAF8F6"/>
          </w:tcPr>
          <w:p>
            <w:pPr>
              <w:spacing w:after="40"/>
            </w:pPr>
            <w:r>
              <w:rPr>
                <w:sz w:val="16"/>
              </w:rPr>
              <w:t>Source checks, guest-data quality, venue walk-through, permissions</w:t>
            </w:r>
          </w:p>
        </w:tc>
        <w:tc>
          <w:tcPr>
            <w:tcW w:type="dxa" w:w="3744"/>
            <w:tcMar>
              <w:top w:w="70" w:type="dxa"/>
              <w:start w:w="100" w:type="dxa"/>
              <w:bottom w:w="70" w:type="dxa"/>
              <w:end w:w="100" w:type="dxa"/>
            </w:tcMar>
            <w:vAlign w:val="top"/>
            <w:shd w:fill="FAF8F6"/>
          </w:tcPr>
          <w:p>
            <w:pPr>
              <w:spacing w:after="40"/>
            </w:pPr>
            <w:r>
              <w:rPr>
                <w:sz w:val="16"/>
              </w:rPr>
              <w:t>No critical unverified assumption</w:t>
            </w:r>
          </w:p>
        </w:tc>
      </w:tr>
      <w:tr>
        <w:trPr>
          <w:cantSplit/>
        </w:trPr>
        <w:tc>
          <w:tcPr>
            <w:tcW w:type="dxa" w:w="1224"/>
            <w:tcMar>
              <w:top w:w="70" w:type="dxa"/>
              <w:start w:w="100" w:type="dxa"/>
              <w:bottom w:w="70" w:type="dxa"/>
              <w:end w:w="100" w:type="dxa"/>
            </w:tcMar>
            <w:vAlign w:val="top"/>
          </w:tcPr>
          <w:p>
            <w:pPr>
              <w:spacing w:after="40"/>
            </w:pPr>
            <w:r>
              <w:rPr>
                <w:sz w:val="16"/>
              </w:rPr>
              <w:t>7. Rehearse</w:t>
            </w:r>
          </w:p>
        </w:tc>
        <w:tc>
          <w:tcPr>
            <w:tcW w:type="dxa" w:w="4392"/>
            <w:tcMar>
              <w:top w:w="70" w:type="dxa"/>
              <w:start w:w="100" w:type="dxa"/>
              <w:bottom w:w="70" w:type="dxa"/>
              <w:end w:w="100" w:type="dxa"/>
            </w:tcMar>
            <w:vAlign w:val="top"/>
          </w:tcPr>
          <w:p>
            <w:pPr>
              <w:spacing w:after="40"/>
            </w:pPr>
            <w:r>
              <w:rPr>
                <w:sz w:val="16"/>
              </w:rPr>
              <w:t>Tabletop, technology/offline, guest flows, incidents, hand-offs</w:t>
            </w:r>
          </w:p>
        </w:tc>
        <w:tc>
          <w:tcPr>
            <w:tcW w:type="dxa" w:w="3744"/>
            <w:tcMar>
              <w:top w:w="70" w:type="dxa"/>
              <w:start w:w="100" w:type="dxa"/>
              <w:bottom w:w="70" w:type="dxa"/>
              <w:end w:w="100" w:type="dxa"/>
            </w:tcMar>
            <w:vAlign w:val="top"/>
          </w:tcPr>
          <w:p>
            <w:pPr>
              <w:spacing w:after="40"/>
            </w:pPr>
            <w:r>
              <w:rPr>
                <w:sz w:val="16"/>
              </w:rPr>
              <w:t>Go/conditional/no-go decision</w:t>
            </w:r>
          </w:p>
        </w:tc>
      </w:tr>
      <w:tr>
        <w:trPr>
          <w:cantSplit/>
        </w:trPr>
        <w:tc>
          <w:tcPr>
            <w:tcW w:type="dxa" w:w="1224"/>
            <w:tcMar>
              <w:top w:w="70" w:type="dxa"/>
              <w:start w:w="100" w:type="dxa"/>
              <w:bottom w:w="70" w:type="dxa"/>
              <w:end w:w="100" w:type="dxa"/>
            </w:tcMar>
            <w:vAlign w:val="top"/>
            <w:shd w:fill="FAF8F6"/>
          </w:tcPr>
          <w:p>
            <w:pPr>
              <w:spacing w:after="40"/>
            </w:pPr>
            <w:r>
              <w:rPr>
                <w:sz w:val="16"/>
              </w:rPr>
              <w:t>8. Deliver</w:t>
            </w:r>
          </w:p>
        </w:tc>
        <w:tc>
          <w:tcPr>
            <w:tcW w:type="dxa" w:w="4392"/>
            <w:tcMar>
              <w:top w:w="70" w:type="dxa"/>
              <w:start w:w="100" w:type="dxa"/>
              <w:bottom w:w="70" w:type="dxa"/>
              <w:end w:w="100" w:type="dxa"/>
            </w:tcMar>
            <w:vAlign w:val="top"/>
            <w:shd w:fill="FAF8F6"/>
          </w:tcPr>
          <w:p>
            <w:pPr>
              <w:spacing w:after="40"/>
            </w:pPr>
            <w:r>
              <w:rPr>
                <w:sz w:val="16"/>
              </w:rPr>
              <w:t>Command, frontline care, check-in, issue control and recovery</w:t>
            </w:r>
          </w:p>
        </w:tc>
        <w:tc>
          <w:tcPr>
            <w:tcW w:type="dxa" w:w="3744"/>
            <w:tcMar>
              <w:top w:w="70" w:type="dxa"/>
              <w:start w:w="100" w:type="dxa"/>
              <w:bottom w:w="70" w:type="dxa"/>
              <w:end w:w="100" w:type="dxa"/>
            </w:tcMar>
            <w:vAlign w:val="top"/>
            <w:shd w:fill="FAF8F6"/>
          </w:tcPr>
          <w:p>
            <w:pPr>
              <w:spacing w:after="40"/>
            </w:pPr>
            <w:r>
              <w:rPr>
                <w:sz w:val="16"/>
              </w:rPr>
              <w:t>Live dashboards + decision log</w:t>
            </w:r>
          </w:p>
        </w:tc>
      </w:tr>
      <w:tr>
        <w:trPr>
          <w:cantSplit/>
        </w:trPr>
        <w:tc>
          <w:tcPr>
            <w:tcW w:type="dxa" w:w="1224"/>
            <w:tcMar>
              <w:top w:w="70" w:type="dxa"/>
              <w:start w:w="100" w:type="dxa"/>
              <w:bottom w:w="70" w:type="dxa"/>
              <w:end w:w="100" w:type="dxa"/>
            </w:tcMar>
            <w:vAlign w:val="top"/>
          </w:tcPr>
          <w:p>
            <w:pPr>
              <w:spacing w:after="40"/>
            </w:pPr>
            <w:r>
              <w:rPr>
                <w:sz w:val="16"/>
              </w:rPr>
              <w:t>9. Close</w:t>
            </w:r>
          </w:p>
        </w:tc>
        <w:tc>
          <w:tcPr>
            <w:tcW w:type="dxa" w:w="4392"/>
            <w:tcMar>
              <w:top w:w="70" w:type="dxa"/>
              <w:start w:w="100" w:type="dxa"/>
              <w:bottom w:w="70" w:type="dxa"/>
              <w:end w:w="100" w:type="dxa"/>
            </w:tcMar>
            <w:vAlign w:val="top"/>
          </w:tcPr>
          <w:p>
            <w:pPr>
              <w:spacing w:after="40"/>
            </w:pPr>
            <w:r>
              <w:rPr>
                <w:sz w:val="16"/>
              </w:rPr>
              <w:t>Reconciliation, incidents, data disposal, supplier closeout</w:t>
            </w:r>
          </w:p>
        </w:tc>
        <w:tc>
          <w:tcPr>
            <w:tcW w:type="dxa" w:w="3744"/>
            <w:tcMar>
              <w:top w:w="70" w:type="dxa"/>
              <w:start w:w="100" w:type="dxa"/>
              <w:bottom w:w="70" w:type="dxa"/>
              <w:end w:w="100" w:type="dxa"/>
            </w:tcMar>
            <w:vAlign w:val="top"/>
          </w:tcPr>
          <w:p>
            <w:pPr>
              <w:spacing w:after="40"/>
            </w:pPr>
            <w:r>
              <w:rPr>
                <w:sz w:val="16"/>
              </w:rPr>
              <w:t>Operational closure accepted</w:t>
            </w:r>
          </w:p>
        </w:tc>
      </w:tr>
      <w:tr>
        <w:trPr>
          <w:cantSplit/>
        </w:trPr>
        <w:tc>
          <w:tcPr>
            <w:tcW w:type="dxa" w:w="1224"/>
            <w:tcMar>
              <w:top w:w="70" w:type="dxa"/>
              <w:start w:w="100" w:type="dxa"/>
              <w:bottom w:w="70" w:type="dxa"/>
              <w:end w:w="100" w:type="dxa"/>
            </w:tcMar>
            <w:vAlign w:val="top"/>
            <w:shd w:fill="FAF8F6"/>
          </w:tcPr>
          <w:p>
            <w:pPr>
              <w:spacing w:after="40"/>
            </w:pPr>
            <w:r>
              <w:rPr>
                <w:sz w:val="16"/>
              </w:rPr>
              <w:t>10. Learn</w:t>
            </w:r>
          </w:p>
        </w:tc>
        <w:tc>
          <w:tcPr>
            <w:tcW w:type="dxa" w:w="4392"/>
            <w:tcMar>
              <w:top w:w="70" w:type="dxa"/>
              <w:start w:w="100" w:type="dxa"/>
              <w:bottom w:w="70" w:type="dxa"/>
              <w:end w:w="100" w:type="dxa"/>
            </w:tcMar>
            <w:vAlign w:val="top"/>
            <w:shd w:fill="FAF8F6"/>
          </w:tcPr>
          <w:p>
            <w:pPr>
              <w:spacing w:after="40"/>
            </w:pPr>
            <w:r>
              <w:rPr>
                <w:sz w:val="16"/>
              </w:rPr>
              <w:t>Client review, staff debrief, metrics, doctrine candidates, next action</w:t>
            </w:r>
          </w:p>
        </w:tc>
        <w:tc>
          <w:tcPr>
            <w:tcW w:type="dxa" w:w="3744"/>
            <w:tcMar>
              <w:top w:w="70" w:type="dxa"/>
              <w:start w:w="100" w:type="dxa"/>
              <w:bottom w:w="70" w:type="dxa"/>
              <w:end w:w="100" w:type="dxa"/>
            </w:tcMar>
            <w:vAlign w:val="top"/>
            <w:shd w:fill="FAF8F6"/>
          </w:tcPr>
          <w:p>
            <w:pPr>
              <w:spacing w:after="40"/>
            </w:pPr>
            <w:r>
              <w:rPr>
                <w:sz w:val="16"/>
              </w:rPr>
              <w:t>Lessons assigned; case-study consent separated</w:t>
            </w:r>
          </w:p>
        </w:tc>
      </w:tr>
    </w:tbl>
    <w:p>
      <w:pPr>
        <w:spacing w:after="20"/>
      </w:pPr>
    </w:p>
    <w:p>
      <w:pPr>
        <w:pStyle w:val="Heading2"/>
        <w:keepNext/>
      </w:pPr>
      <w:r>
        <w:t>3.2 Decision rights and escalation</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728"/>
            <w:shd w:fill="B79F85"/>
            <w:tcMar>
              <w:top w:w="70" w:type="dxa"/>
              <w:start w:w="100" w:type="dxa"/>
              <w:bottom w:w="70" w:type="dxa"/>
              <w:end w:w="100" w:type="dxa"/>
            </w:tcMar>
          </w:tcPr>
          <w:p>
            <w:r>
              <w:rPr>
                <w:b/>
                <w:sz w:val="16"/>
              </w:rPr>
              <w:t>Level</w:t>
            </w:r>
          </w:p>
        </w:tc>
        <w:tc>
          <w:tcPr>
            <w:tcW w:type="dxa" w:w="3888"/>
            <w:shd w:fill="B79F85"/>
            <w:tcMar>
              <w:top w:w="70" w:type="dxa"/>
              <w:start w:w="100" w:type="dxa"/>
              <w:bottom w:w="70" w:type="dxa"/>
              <w:end w:w="100" w:type="dxa"/>
            </w:tcMar>
          </w:tcPr>
          <w:p>
            <w:r>
              <w:rPr>
                <w:b/>
                <w:sz w:val="16"/>
              </w:rPr>
              <w:t>May decide</w:t>
            </w:r>
          </w:p>
        </w:tc>
        <w:tc>
          <w:tcPr>
            <w:tcW w:type="dxa" w:w="3744"/>
            <w:shd w:fill="B79F85"/>
            <w:tcMar>
              <w:top w:w="70" w:type="dxa"/>
              <w:start w:w="100" w:type="dxa"/>
              <w:bottom w:w="70" w:type="dxa"/>
              <w:end w:w="100" w:type="dxa"/>
            </w:tcMar>
          </w:tcPr>
          <w:p>
            <w:r>
              <w:rPr>
                <w:b/>
                <w:sz w:val="16"/>
              </w:rPr>
              <w:t>Must escalate</w:t>
            </w:r>
          </w:p>
        </w:tc>
      </w:tr>
      <w:tr>
        <w:trPr>
          <w:cantSplit/>
        </w:trPr>
        <w:tc>
          <w:tcPr>
            <w:tcW w:type="dxa" w:w="1728"/>
            <w:tcMar>
              <w:top w:w="70" w:type="dxa"/>
              <w:start w:w="100" w:type="dxa"/>
              <w:bottom w:w="70" w:type="dxa"/>
              <w:end w:w="100" w:type="dxa"/>
            </w:tcMar>
            <w:vAlign w:val="top"/>
          </w:tcPr>
          <w:p>
            <w:pPr>
              <w:spacing w:after="40"/>
            </w:pPr>
            <w:r>
              <w:rPr>
                <w:sz w:val="16"/>
              </w:rPr>
              <w:t>CEO</w:t>
            </w:r>
          </w:p>
        </w:tc>
        <w:tc>
          <w:tcPr>
            <w:tcW w:type="dxa" w:w="3888"/>
            <w:tcMar>
              <w:top w:w="70" w:type="dxa"/>
              <w:start w:w="100" w:type="dxa"/>
              <w:bottom w:w="70" w:type="dxa"/>
              <w:end w:w="100" w:type="dxa"/>
            </w:tcMar>
            <w:vAlign w:val="top"/>
          </w:tcPr>
          <w:p>
            <w:pPr>
              <w:spacing w:after="40"/>
            </w:pPr>
            <w:r>
              <w:rPr>
                <w:sz w:val="16"/>
              </w:rPr>
              <w:t>High-risk acceptance, pricing exceptions, reputation, critical protocol, production release</w:t>
            </w:r>
          </w:p>
        </w:tc>
        <w:tc>
          <w:tcPr>
            <w:tcW w:type="dxa" w:w="3744"/>
            <w:tcMar>
              <w:top w:w="70" w:type="dxa"/>
              <w:start w:w="100" w:type="dxa"/>
              <w:bottom w:w="70" w:type="dxa"/>
              <w:end w:w="100" w:type="dxa"/>
            </w:tcMar>
            <w:vAlign w:val="top"/>
          </w:tcPr>
          <w:p>
            <w:pPr>
              <w:spacing w:after="40"/>
            </w:pPr>
            <w:r>
              <w:rPr>
                <w:sz w:val="16"/>
              </w:rPr>
              <w:t>Board/shareholder, counsel or recognised authority matters outside competence</w:t>
            </w:r>
          </w:p>
        </w:tc>
      </w:tr>
      <w:tr>
        <w:trPr>
          <w:cantSplit/>
        </w:trPr>
        <w:tc>
          <w:tcPr>
            <w:tcW w:type="dxa" w:w="1728"/>
            <w:tcMar>
              <w:top w:w="70" w:type="dxa"/>
              <w:start w:w="100" w:type="dxa"/>
              <w:bottom w:w="70" w:type="dxa"/>
              <w:end w:w="100" w:type="dxa"/>
            </w:tcMar>
            <w:vAlign w:val="top"/>
            <w:shd w:fill="FAF8F6"/>
          </w:tcPr>
          <w:p>
            <w:pPr>
              <w:spacing w:after="40"/>
            </w:pPr>
            <w:r>
              <w:rPr>
                <w:sz w:val="16"/>
              </w:rPr>
              <w:t>Event Director</w:t>
            </w:r>
          </w:p>
        </w:tc>
        <w:tc>
          <w:tcPr>
            <w:tcW w:type="dxa" w:w="3888"/>
            <w:tcMar>
              <w:top w:w="70" w:type="dxa"/>
              <w:start w:w="100" w:type="dxa"/>
              <w:bottom w:w="70" w:type="dxa"/>
              <w:end w:w="100" w:type="dxa"/>
            </w:tcMar>
            <w:vAlign w:val="top"/>
            <w:shd w:fill="FAF8F6"/>
          </w:tcPr>
          <w:p>
            <w:pPr>
              <w:spacing w:after="40"/>
            </w:pPr>
            <w:r>
              <w:rPr>
                <w:sz w:val="16"/>
              </w:rPr>
              <w:t>Approved plan, staffing, suppliers, live command, standard recovery</w:t>
            </w:r>
          </w:p>
        </w:tc>
        <w:tc>
          <w:tcPr>
            <w:tcW w:type="dxa" w:w="3744"/>
            <w:tcMar>
              <w:top w:w="70" w:type="dxa"/>
              <w:start w:w="100" w:type="dxa"/>
              <w:bottom w:w="70" w:type="dxa"/>
              <w:end w:w="100" w:type="dxa"/>
            </w:tcMar>
            <w:vAlign w:val="top"/>
            <w:shd w:fill="FAF8F6"/>
          </w:tcPr>
          <w:p>
            <w:pPr>
              <w:spacing w:after="40"/>
            </w:pPr>
            <w:r>
              <w:rPr>
                <w:sz w:val="16"/>
              </w:rPr>
              <w:t>Safety stop, material scope/cost, principal conflict, sensitive public issue</w:t>
            </w:r>
          </w:p>
        </w:tc>
      </w:tr>
      <w:tr>
        <w:trPr>
          <w:cantSplit/>
        </w:trPr>
        <w:tc>
          <w:tcPr>
            <w:tcW w:type="dxa" w:w="1728"/>
            <w:tcMar>
              <w:top w:w="70" w:type="dxa"/>
              <w:start w:w="100" w:type="dxa"/>
              <w:bottom w:w="70" w:type="dxa"/>
              <w:end w:w="100" w:type="dxa"/>
            </w:tcMar>
            <w:vAlign w:val="top"/>
          </w:tcPr>
          <w:p>
            <w:pPr>
              <w:spacing w:after="40"/>
            </w:pPr>
            <w:r>
              <w:rPr>
                <w:sz w:val="16"/>
              </w:rPr>
              <w:t>Department Lead</w:t>
            </w:r>
          </w:p>
        </w:tc>
        <w:tc>
          <w:tcPr>
            <w:tcW w:type="dxa" w:w="3888"/>
            <w:tcMar>
              <w:top w:w="70" w:type="dxa"/>
              <w:start w:w="100" w:type="dxa"/>
              <w:bottom w:w="70" w:type="dxa"/>
              <w:end w:w="100" w:type="dxa"/>
            </w:tcMar>
            <w:vAlign w:val="top"/>
          </w:tcPr>
          <w:p>
            <w:pPr>
              <w:spacing w:after="40"/>
            </w:pPr>
            <w:r>
              <w:rPr>
                <w:sz w:val="16"/>
              </w:rPr>
              <w:t>Workstream choices within approved budget and standards</w:t>
            </w:r>
          </w:p>
        </w:tc>
        <w:tc>
          <w:tcPr>
            <w:tcW w:type="dxa" w:w="3744"/>
            <w:tcMar>
              <w:top w:w="70" w:type="dxa"/>
              <w:start w:w="100" w:type="dxa"/>
              <w:bottom w:w="70" w:type="dxa"/>
              <w:end w:w="100" w:type="dxa"/>
            </w:tcMar>
            <w:vAlign w:val="top"/>
          </w:tcPr>
          <w:p>
            <w:pPr>
              <w:spacing w:after="40"/>
            </w:pPr>
            <w:r>
              <w:rPr>
                <w:sz w:val="16"/>
              </w:rPr>
              <w:t>Cross-workstream harm, deadline threat, data/safety/protocol uncertainty</w:t>
            </w:r>
          </w:p>
        </w:tc>
      </w:tr>
      <w:tr>
        <w:trPr>
          <w:cantSplit/>
        </w:trPr>
        <w:tc>
          <w:tcPr>
            <w:tcW w:type="dxa" w:w="1728"/>
            <w:tcMar>
              <w:top w:w="70" w:type="dxa"/>
              <w:start w:w="100" w:type="dxa"/>
              <w:bottom w:w="70" w:type="dxa"/>
              <w:end w:w="100" w:type="dxa"/>
            </w:tcMar>
            <w:vAlign w:val="top"/>
            <w:shd w:fill="FAF8F6"/>
          </w:tcPr>
          <w:p>
            <w:pPr>
              <w:spacing w:after="40"/>
            </w:pPr>
            <w:r>
              <w:rPr>
                <w:sz w:val="16"/>
              </w:rPr>
              <w:t>Frontline staff</w:t>
            </w:r>
          </w:p>
        </w:tc>
        <w:tc>
          <w:tcPr>
            <w:tcW w:type="dxa" w:w="3888"/>
            <w:tcMar>
              <w:top w:w="70" w:type="dxa"/>
              <w:start w:w="100" w:type="dxa"/>
              <w:bottom w:w="70" w:type="dxa"/>
              <w:end w:w="100" w:type="dxa"/>
            </w:tcMar>
            <w:vAlign w:val="top"/>
            <w:shd w:fill="FAF8F6"/>
          </w:tcPr>
          <w:p>
            <w:pPr>
              <w:spacing w:after="40"/>
            </w:pPr>
            <w:r>
              <w:rPr>
                <w:sz w:val="16"/>
              </w:rPr>
              <w:t>Immediate dignified assistance and reversible recovery within limits</w:t>
            </w:r>
          </w:p>
        </w:tc>
        <w:tc>
          <w:tcPr>
            <w:tcW w:type="dxa" w:w="3744"/>
            <w:tcMar>
              <w:top w:w="70" w:type="dxa"/>
              <w:start w:w="100" w:type="dxa"/>
              <w:bottom w:w="70" w:type="dxa"/>
              <w:end w:w="100" w:type="dxa"/>
            </w:tcMar>
            <w:vAlign w:val="top"/>
            <w:shd w:fill="FAF8F6"/>
          </w:tcPr>
          <w:p>
            <w:pPr>
              <w:spacing w:after="40"/>
            </w:pPr>
            <w:r>
              <w:rPr>
                <w:sz w:val="16"/>
              </w:rPr>
              <w:t>Identity dispute, safety/security, medical, money, media, discrimination, sensitive data</w:t>
            </w:r>
          </w:p>
        </w:tc>
      </w:tr>
      <w:tr>
        <w:trPr>
          <w:cantSplit/>
        </w:trPr>
        <w:tc>
          <w:tcPr>
            <w:tcW w:type="dxa" w:w="1728"/>
            <w:tcMar>
              <w:top w:w="70" w:type="dxa"/>
              <w:start w:w="100" w:type="dxa"/>
              <w:bottom w:w="70" w:type="dxa"/>
              <w:end w:w="100" w:type="dxa"/>
            </w:tcMar>
            <w:vAlign w:val="top"/>
          </w:tcPr>
          <w:p>
            <w:pPr>
              <w:spacing w:after="40"/>
            </w:pPr>
            <w:r>
              <w:rPr>
                <w:sz w:val="16"/>
              </w:rPr>
              <w:t>System</w:t>
            </w:r>
          </w:p>
        </w:tc>
        <w:tc>
          <w:tcPr>
            <w:tcW w:type="dxa" w:w="3888"/>
            <w:tcMar>
              <w:top w:w="70" w:type="dxa"/>
              <w:start w:w="100" w:type="dxa"/>
              <w:bottom w:w="70" w:type="dxa"/>
              <w:end w:w="100" w:type="dxa"/>
            </w:tcMar>
            <w:vAlign w:val="top"/>
          </w:tcPr>
          <w:p>
            <w:pPr>
              <w:spacing w:after="40"/>
            </w:pPr>
            <w:r>
              <w:rPr>
                <w:sz w:val="16"/>
              </w:rPr>
              <w:t>Calculate, remind, compare, detect and recommend</w:t>
            </w:r>
          </w:p>
        </w:tc>
        <w:tc>
          <w:tcPr>
            <w:tcW w:type="dxa" w:w="3744"/>
            <w:tcMar>
              <w:top w:w="70" w:type="dxa"/>
              <w:start w:w="100" w:type="dxa"/>
              <w:bottom w:w="70" w:type="dxa"/>
              <w:end w:w="100" w:type="dxa"/>
            </w:tcMar>
            <w:vAlign w:val="top"/>
          </w:tcPr>
          <w:p>
            <w:pPr>
              <w:spacing w:after="40"/>
            </w:pPr>
            <w:r>
              <w:rPr>
                <w:sz w:val="16"/>
              </w:rPr>
              <w:t>Never makes final cultural, legal, safety, identity or dignity decisions autonomously</w:t>
            </w:r>
          </w:p>
        </w:tc>
      </w:tr>
    </w:tbl>
    <w:p>
      <w:pPr>
        <w:spacing w:after="20"/>
      </w:pPr>
    </w:p>
    <w:p>
      <w:r>
        <w:t>Escalation uses severity, impact and time-to-harm. The person nearest the guest may take a reversible step to protect dignity or safety, record it, and alert the lead. Safety, medical or security authority supersedes service choreography. Service recovery follows acknowledge, stabilise, own, offer proportionate remedy, communicate, document, learn and close.</w:t>
      </w:r>
    </w:p>
    <w:p>
      <w:pPr>
        <w:pStyle w:val="Heading2"/>
        <w:keepNext/>
      </w:pPr>
      <w:r>
        <w:t>3.3 Capacity and scaling</w:t>
      </w:r>
    </w:p>
    <w:p>
      <w:r>
        <w:t>Until live evidence exists, the Year‑1 planning limit is one complex flagship event at a time, no more than two overlapping lower-complexity engagements, and 6–8 paid engagements in the first twelve months. Capacity may increase only after event evidence shows readiness, incident, workload and margin thresholds are stable.</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584"/>
            <w:shd w:fill="B79F85"/>
            <w:tcMar>
              <w:top w:w="70" w:type="dxa"/>
              <w:start w:w="100" w:type="dxa"/>
              <w:bottom w:w="70" w:type="dxa"/>
              <w:end w:w="100" w:type="dxa"/>
            </w:tcMar>
          </w:tcPr>
          <w:p>
            <w:r>
              <w:rPr>
                <w:b/>
                <w:sz w:val="16"/>
              </w:rPr>
              <w:t>Work type</w:t>
            </w:r>
          </w:p>
        </w:tc>
        <w:tc>
          <w:tcPr>
            <w:tcW w:type="dxa" w:w="3600"/>
            <w:shd w:fill="B79F85"/>
            <w:tcMar>
              <w:top w:w="70" w:type="dxa"/>
              <w:start w:w="100" w:type="dxa"/>
              <w:bottom w:w="70" w:type="dxa"/>
              <w:end w:w="100" w:type="dxa"/>
            </w:tcMar>
          </w:tcPr>
          <w:p>
            <w:r>
              <w:rPr>
                <w:b/>
                <w:sz w:val="16"/>
              </w:rPr>
              <w:t>CEO retains initially</w:t>
            </w:r>
          </w:p>
        </w:tc>
        <w:tc>
          <w:tcPr>
            <w:tcW w:type="dxa" w:w="4176"/>
            <w:shd w:fill="B79F85"/>
            <w:tcMar>
              <w:top w:w="70" w:type="dxa"/>
              <w:start w:w="100" w:type="dxa"/>
              <w:bottom w:w="70" w:type="dxa"/>
              <w:end w:w="100" w:type="dxa"/>
            </w:tcMar>
          </w:tcPr>
          <w:p>
            <w:r>
              <w:rPr>
                <w:b/>
                <w:sz w:val="16"/>
              </w:rPr>
              <w:t>Delegate/systematise</w:t>
            </w:r>
          </w:p>
        </w:tc>
      </w:tr>
      <w:tr>
        <w:trPr>
          <w:cantSplit/>
        </w:trPr>
        <w:tc>
          <w:tcPr>
            <w:tcW w:type="dxa" w:w="1584"/>
            <w:tcMar>
              <w:top w:w="70" w:type="dxa"/>
              <w:start w:w="100" w:type="dxa"/>
              <w:bottom w:w="70" w:type="dxa"/>
              <w:end w:w="100" w:type="dxa"/>
            </w:tcMar>
            <w:vAlign w:val="top"/>
          </w:tcPr>
          <w:p>
            <w:pPr>
              <w:spacing w:after="40"/>
            </w:pPr>
            <w:r>
              <w:rPr>
                <w:sz w:val="16"/>
              </w:rPr>
              <w:t>Client</w:t>
            </w:r>
          </w:p>
        </w:tc>
        <w:tc>
          <w:tcPr>
            <w:tcW w:type="dxa" w:w="3600"/>
            <w:tcMar>
              <w:top w:w="70" w:type="dxa"/>
              <w:start w:w="100" w:type="dxa"/>
              <w:bottom w:w="70" w:type="dxa"/>
              <w:end w:w="100" w:type="dxa"/>
            </w:tcMar>
            <w:vAlign w:val="top"/>
          </w:tcPr>
          <w:p>
            <w:pPr>
              <w:spacing w:after="40"/>
            </w:pPr>
            <w:r>
              <w:rPr>
                <w:sz w:val="16"/>
              </w:rPr>
              <w:t>Final fit, senior discovery, promise, critical recovery</w:t>
            </w:r>
          </w:p>
        </w:tc>
        <w:tc>
          <w:tcPr>
            <w:tcW w:type="dxa" w:w="4176"/>
            <w:tcMar>
              <w:top w:w="70" w:type="dxa"/>
              <w:start w:w="100" w:type="dxa"/>
              <w:bottom w:w="70" w:type="dxa"/>
              <w:end w:w="100" w:type="dxa"/>
            </w:tcMar>
            <w:vAlign w:val="top"/>
          </w:tcPr>
          <w:p>
            <w:pPr>
              <w:spacing w:after="40"/>
            </w:pPr>
            <w:r>
              <w:rPr>
                <w:sz w:val="16"/>
              </w:rPr>
              <w:t>Qualification research, scheduling, routine updates, status evidence</w:t>
            </w:r>
          </w:p>
        </w:tc>
      </w:tr>
      <w:tr>
        <w:trPr>
          <w:cantSplit/>
        </w:trPr>
        <w:tc>
          <w:tcPr>
            <w:tcW w:type="dxa" w:w="1584"/>
            <w:tcMar>
              <w:top w:w="70" w:type="dxa"/>
              <w:start w:w="100" w:type="dxa"/>
              <w:bottom w:w="70" w:type="dxa"/>
              <w:end w:w="100" w:type="dxa"/>
            </w:tcMar>
            <w:vAlign w:val="top"/>
            <w:shd w:fill="FAF8F6"/>
          </w:tcPr>
          <w:p>
            <w:pPr>
              <w:spacing w:after="40"/>
            </w:pPr>
            <w:r>
              <w:rPr>
                <w:sz w:val="16"/>
              </w:rPr>
              <w:t>Design</w:t>
            </w:r>
          </w:p>
        </w:tc>
        <w:tc>
          <w:tcPr>
            <w:tcW w:type="dxa" w:w="3600"/>
            <w:tcMar>
              <w:top w:w="70" w:type="dxa"/>
              <w:start w:w="100" w:type="dxa"/>
              <w:bottom w:w="70" w:type="dxa"/>
              <w:end w:w="100" w:type="dxa"/>
            </w:tcMar>
            <w:vAlign w:val="top"/>
            <w:shd w:fill="FAF8F6"/>
          </w:tcPr>
          <w:p>
            <w:pPr>
              <w:spacing w:after="40"/>
            </w:pPr>
            <w:r>
              <w:rPr>
                <w:sz w:val="16"/>
              </w:rPr>
              <w:t>Intent, critical guest philosophy, novel protocol judgment</w:t>
            </w:r>
          </w:p>
        </w:tc>
        <w:tc>
          <w:tcPr>
            <w:tcW w:type="dxa" w:w="4176"/>
            <w:tcMar>
              <w:top w:w="70" w:type="dxa"/>
              <w:start w:w="100" w:type="dxa"/>
              <w:bottom w:w="70" w:type="dxa"/>
              <w:end w:w="100" w:type="dxa"/>
            </w:tcMar>
            <w:vAlign w:val="top"/>
            <w:shd w:fill="FAF8F6"/>
          </w:tcPr>
          <w:p>
            <w:pPr>
              <w:spacing w:after="40"/>
            </w:pPr>
            <w:r>
              <w:rPr>
                <w:sz w:val="16"/>
              </w:rPr>
              <w:t>Journey documentation, checklists, standard scenarios and reviews</w:t>
            </w:r>
          </w:p>
        </w:tc>
      </w:tr>
      <w:tr>
        <w:trPr>
          <w:cantSplit/>
        </w:trPr>
        <w:tc>
          <w:tcPr>
            <w:tcW w:type="dxa" w:w="1584"/>
            <w:tcMar>
              <w:top w:w="70" w:type="dxa"/>
              <w:start w:w="100" w:type="dxa"/>
              <w:bottom w:w="70" w:type="dxa"/>
              <w:end w:w="100" w:type="dxa"/>
            </w:tcMar>
            <w:vAlign w:val="top"/>
          </w:tcPr>
          <w:p>
            <w:pPr>
              <w:spacing w:after="40"/>
            </w:pPr>
            <w:r>
              <w:rPr>
                <w:sz w:val="16"/>
              </w:rPr>
              <w:t>Operations</w:t>
            </w:r>
          </w:p>
        </w:tc>
        <w:tc>
          <w:tcPr>
            <w:tcW w:type="dxa" w:w="3600"/>
            <w:tcMar>
              <w:top w:w="70" w:type="dxa"/>
              <w:start w:w="100" w:type="dxa"/>
              <w:bottom w:w="70" w:type="dxa"/>
              <w:end w:w="100" w:type="dxa"/>
            </w:tcMar>
            <w:vAlign w:val="top"/>
          </w:tcPr>
          <w:p>
            <w:pPr>
              <w:spacing w:after="40"/>
            </w:pPr>
            <w:r>
              <w:rPr>
                <w:sz w:val="16"/>
              </w:rPr>
              <w:t>Go/no-go and critical exceptions</w:t>
            </w:r>
          </w:p>
        </w:tc>
        <w:tc>
          <w:tcPr>
            <w:tcW w:type="dxa" w:w="4176"/>
            <w:tcMar>
              <w:top w:w="70" w:type="dxa"/>
              <w:start w:w="100" w:type="dxa"/>
              <w:bottom w:w="70" w:type="dxa"/>
              <w:end w:w="100" w:type="dxa"/>
            </w:tcMar>
            <w:vAlign w:val="top"/>
          </w:tcPr>
          <w:p>
            <w:pPr>
              <w:spacing w:after="40"/>
            </w:pPr>
            <w:r>
              <w:rPr>
                <w:sz w:val="16"/>
              </w:rPr>
              <w:t>Workstream planning, staffing, rehearsals, supplier coordination, command logging</w:t>
            </w:r>
          </w:p>
        </w:tc>
      </w:tr>
      <w:tr>
        <w:trPr>
          <w:cantSplit/>
        </w:trPr>
        <w:tc>
          <w:tcPr>
            <w:tcW w:type="dxa" w:w="1584"/>
            <w:tcMar>
              <w:top w:w="70" w:type="dxa"/>
              <w:start w:w="100" w:type="dxa"/>
              <w:bottom w:w="70" w:type="dxa"/>
              <w:end w:w="100" w:type="dxa"/>
            </w:tcMar>
            <w:vAlign w:val="top"/>
            <w:shd w:fill="FAF8F6"/>
          </w:tcPr>
          <w:p>
            <w:pPr>
              <w:spacing w:after="40"/>
            </w:pPr>
            <w:r>
              <w:rPr>
                <w:sz w:val="16"/>
              </w:rPr>
              <w:t>Knowledge</w:t>
            </w:r>
          </w:p>
        </w:tc>
        <w:tc>
          <w:tcPr>
            <w:tcW w:type="dxa" w:w="3600"/>
            <w:tcMar>
              <w:top w:w="70" w:type="dxa"/>
              <w:start w:w="100" w:type="dxa"/>
              <w:bottom w:w="70" w:type="dxa"/>
              <w:end w:w="100" w:type="dxa"/>
            </w:tcMar>
            <w:vAlign w:val="top"/>
            <w:shd w:fill="FAF8F6"/>
          </w:tcPr>
          <w:p>
            <w:pPr>
              <w:spacing w:after="40"/>
            </w:pPr>
            <w:r>
              <w:rPr>
                <w:sz w:val="16"/>
              </w:rPr>
              <w:t>Ratify doctrine and high-impact changes</w:t>
            </w:r>
          </w:p>
        </w:tc>
        <w:tc>
          <w:tcPr>
            <w:tcW w:type="dxa" w:w="4176"/>
            <w:tcMar>
              <w:top w:w="70" w:type="dxa"/>
              <w:start w:w="100" w:type="dxa"/>
              <w:bottom w:w="70" w:type="dxa"/>
              <w:end w:w="100" w:type="dxa"/>
            </w:tcMar>
            <w:vAlign w:val="top"/>
            <w:shd w:fill="FAF8F6"/>
          </w:tcPr>
          <w:p>
            <w:pPr>
              <w:spacing w:after="40"/>
            </w:pPr>
            <w:r>
              <w:rPr>
                <w:sz w:val="16"/>
              </w:rPr>
              <w:t>Research, drafting, traceability, tests, content production</w:t>
            </w:r>
          </w:p>
        </w:tc>
      </w:tr>
      <w:tr>
        <w:trPr>
          <w:cantSplit/>
        </w:trPr>
        <w:tc>
          <w:tcPr>
            <w:tcW w:type="dxa" w:w="1584"/>
            <w:tcMar>
              <w:top w:w="70" w:type="dxa"/>
              <w:start w:w="100" w:type="dxa"/>
              <w:bottom w:w="70" w:type="dxa"/>
              <w:end w:w="100" w:type="dxa"/>
            </w:tcMar>
            <w:vAlign w:val="top"/>
          </w:tcPr>
          <w:p>
            <w:pPr>
              <w:spacing w:after="40"/>
            </w:pPr>
            <w:r>
              <w:rPr>
                <w:sz w:val="16"/>
              </w:rPr>
              <w:t>Commercial</w:t>
            </w:r>
          </w:p>
        </w:tc>
        <w:tc>
          <w:tcPr>
            <w:tcW w:type="dxa" w:w="3600"/>
            <w:tcMar>
              <w:top w:w="70" w:type="dxa"/>
              <w:start w:w="100" w:type="dxa"/>
              <w:bottom w:w="70" w:type="dxa"/>
              <w:end w:w="100" w:type="dxa"/>
            </w:tcMar>
            <w:vAlign w:val="top"/>
          </w:tcPr>
          <w:p>
            <w:pPr>
              <w:spacing w:after="40"/>
            </w:pPr>
            <w:r>
              <w:rPr>
                <w:sz w:val="16"/>
              </w:rPr>
              <w:t>Pricing architecture, major negotiation and relationships</w:t>
            </w:r>
          </w:p>
        </w:tc>
        <w:tc>
          <w:tcPr>
            <w:tcW w:type="dxa" w:w="4176"/>
            <w:tcMar>
              <w:top w:w="70" w:type="dxa"/>
              <w:start w:w="100" w:type="dxa"/>
              <w:bottom w:w="70" w:type="dxa"/>
              <w:end w:w="100" w:type="dxa"/>
            </w:tcMar>
            <w:vAlign w:val="top"/>
          </w:tcPr>
          <w:p>
            <w:pPr>
              <w:spacing w:after="40"/>
            </w:pPr>
            <w:r>
              <w:rPr>
                <w:sz w:val="16"/>
              </w:rPr>
              <w:t>Proposal assembly, invoicing, pipeline hygiene and reporting</w:t>
            </w:r>
          </w:p>
        </w:tc>
      </w:tr>
    </w:tbl>
    <w:p>
      <w:pPr>
        <w:spacing w:after="20"/>
      </w:pPr>
    </w:p>
    <w:p>
      <w:pPr>
        <w:pStyle w:val="Heading2"/>
        <w:keepNext/>
      </w:pPr>
      <w:r>
        <w:t>3.4 Organisation, culture and people system</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152"/>
            <w:shd w:fill="B79F85"/>
            <w:tcMar>
              <w:top w:w="70" w:type="dxa"/>
              <w:start w:w="100" w:type="dxa"/>
              <w:bottom w:w="70" w:type="dxa"/>
              <w:end w:w="100" w:type="dxa"/>
            </w:tcMar>
          </w:tcPr>
          <w:p>
            <w:r>
              <w:rPr>
                <w:b/>
                <w:sz w:val="16"/>
              </w:rPr>
              <w:t>Phase</w:t>
            </w:r>
          </w:p>
        </w:tc>
        <w:tc>
          <w:tcPr>
            <w:tcW w:type="dxa" w:w="4608"/>
            <w:shd w:fill="B79F85"/>
            <w:tcMar>
              <w:top w:w="70" w:type="dxa"/>
              <w:start w:w="100" w:type="dxa"/>
              <w:bottom w:w="70" w:type="dxa"/>
              <w:end w:w="100" w:type="dxa"/>
            </w:tcMar>
          </w:tcPr>
          <w:p>
            <w:r>
              <w:rPr>
                <w:b/>
                <w:sz w:val="16"/>
              </w:rPr>
              <w:t>Core roles</w:t>
            </w:r>
          </w:p>
        </w:tc>
        <w:tc>
          <w:tcPr>
            <w:tcW w:type="dxa" w:w="3600"/>
            <w:shd w:fill="B79F85"/>
            <w:tcMar>
              <w:top w:w="70" w:type="dxa"/>
              <w:start w:w="100" w:type="dxa"/>
              <w:bottom w:w="70" w:type="dxa"/>
              <w:end w:w="100" w:type="dxa"/>
            </w:tcMar>
          </w:tcPr>
          <w:p>
            <w:r>
              <w:rPr>
                <w:b/>
                <w:sz w:val="16"/>
              </w:rPr>
              <w:t>Flexible bench</w:t>
            </w:r>
          </w:p>
        </w:tc>
      </w:tr>
      <w:tr>
        <w:trPr>
          <w:cantSplit/>
        </w:trPr>
        <w:tc>
          <w:tcPr>
            <w:tcW w:type="dxa" w:w="1152"/>
            <w:tcMar>
              <w:top w:w="70" w:type="dxa"/>
              <w:start w:w="100" w:type="dxa"/>
              <w:bottom w:w="70" w:type="dxa"/>
              <w:end w:w="100" w:type="dxa"/>
            </w:tcMar>
            <w:vAlign w:val="top"/>
          </w:tcPr>
          <w:p>
            <w:pPr>
              <w:spacing w:after="40"/>
            </w:pPr>
            <w:r>
              <w:rPr>
                <w:sz w:val="16"/>
              </w:rPr>
              <w:t>Launch</w:t>
            </w:r>
          </w:p>
        </w:tc>
        <w:tc>
          <w:tcPr>
            <w:tcW w:type="dxa" w:w="4608"/>
            <w:tcMar>
              <w:top w:w="70" w:type="dxa"/>
              <w:start w:w="100" w:type="dxa"/>
              <w:bottom w:w="70" w:type="dxa"/>
              <w:end w:w="100" w:type="dxa"/>
            </w:tcMar>
            <w:vAlign w:val="top"/>
          </w:tcPr>
          <w:p>
            <w:pPr>
              <w:spacing w:after="40"/>
            </w:pPr>
            <w:r>
              <w:rPr>
                <w:sz w:val="16"/>
              </w:rPr>
              <w:t>CEO; Event Director; Client/Commercial Lead; Guest Experience Lead; Operations Lead; Finance/Compliance support; fractional Technology/Product Lead</w:t>
            </w:r>
          </w:p>
        </w:tc>
        <w:tc>
          <w:tcPr>
            <w:tcW w:type="dxa" w:w="3600"/>
            <w:tcMar>
              <w:top w:w="70" w:type="dxa"/>
              <w:start w:w="100" w:type="dxa"/>
              <w:bottom w:w="70" w:type="dxa"/>
              <w:end w:w="100" w:type="dxa"/>
            </w:tcMar>
            <w:vAlign w:val="top"/>
          </w:tcPr>
          <w:p>
            <w:pPr>
              <w:spacing w:after="40"/>
            </w:pPr>
            <w:r>
              <w:rPr>
                <w:sz w:val="16"/>
              </w:rPr>
              <w:t>Protocol/cultural authorities, concierges, ushers, registration staff, accessibility, medical/security partners</w:t>
            </w:r>
          </w:p>
        </w:tc>
      </w:tr>
      <w:tr>
        <w:trPr>
          <w:cantSplit/>
        </w:trPr>
        <w:tc>
          <w:tcPr>
            <w:tcW w:type="dxa" w:w="1152"/>
            <w:tcMar>
              <w:top w:w="70" w:type="dxa"/>
              <w:start w:w="100" w:type="dxa"/>
              <w:bottom w:w="70" w:type="dxa"/>
              <w:end w:w="100" w:type="dxa"/>
            </w:tcMar>
            <w:vAlign w:val="top"/>
            <w:shd w:fill="FAF8F6"/>
          </w:tcPr>
          <w:p>
            <w:pPr>
              <w:spacing w:after="40"/>
            </w:pPr>
            <w:r>
              <w:rPr>
                <w:sz w:val="16"/>
              </w:rPr>
              <w:t>Scale</w:t>
            </w:r>
          </w:p>
        </w:tc>
        <w:tc>
          <w:tcPr>
            <w:tcW w:type="dxa" w:w="4608"/>
            <w:tcMar>
              <w:top w:w="70" w:type="dxa"/>
              <w:start w:w="100" w:type="dxa"/>
              <w:bottom w:w="70" w:type="dxa"/>
              <w:end w:w="100" w:type="dxa"/>
            </w:tcMar>
            <w:vAlign w:val="top"/>
            <w:shd w:fill="FAF8F6"/>
          </w:tcPr>
          <w:p>
            <w:pPr>
              <w:spacing w:after="40"/>
            </w:pPr>
            <w:r>
              <w:rPr>
                <w:sz w:val="16"/>
              </w:rPr>
              <w:t>Add Academy Lead, Supplier/Production Lead, Knowledge Steward, Data/Privacy Lead and second Event Director</w:t>
            </w:r>
          </w:p>
        </w:tc>
        <w:tc>
          <w:tcPr>
            <w:tcW w:type="dxa" w:w="3600"/>
            <w:tcMar>
              <w:top w:w="70" w:type="dxa"/>
              <w:start w:w="100" w:type="dxa"/>
              <w:bottom w:w="70" w:type="dxa"/>
              <w:end w:w="100" w:type="dxa"/>
            </w:tcMar>
            <w:vAlign w:val="top"/>
            <w:shd w:fill="FAF8F6"/>
          </w:tcPr>
          <w:p>
            <w:pPr>
              <w:spacing w:after="40"/>
            </w:pPr>
            <w:r>
              <w:rPr>
                <w:sz w:val="16"/>
              </w:rPr>
              <w:t>City/country partner leads and certified specialist pools</w:t>
            </w:r>
          </w:p>
        </w:tc>
      </w:tr>
      <w:tr>
        <w:trPr>
          <w:cantSplit/>
        </w:trPr>
        <w:tc>
          <w:tcPr>
            <w:tcW w:type="dxa" w:w="1152"/>
            <w:tcMar>
              <w:top w:w="70" w:type="dxa"/>
              <w:start w:w="100" w:type="dxa"/>
              <w:bottom w:w="70" w:type="dxa"/>
              <w:end w:w="100" w:type="dxa"/>
            </w:tcMar>
            <w:vAlign w:val="top"/>
          </w:tcPr>
          <w:p>
            <w:pPr>
              <w:spacing w:after="40"/>
            </w:pPr>
            <w:r>
              <w:rPr>
                <w:sz w:val="16"/>
              </w:rPr>
              <w:t>Maturity</w:t>
            </w:r>
          </w:p>
        </w:tc>
        <w:tc>
          <w:tcPr>
            <w:tcW w:type="dxa" w:w="4608"/>
            <w:tcMar>
              <w:top w:w="70" w:type="dxa"/>
              <w:start w:w="100" w:type="dxa"/>
              <w:bottom w:w="70" w:type="dxa"/>
              <w:end w:w="100" w:type="dxa"/>
            </w:tcMar>
            <w:vAlign w:val="top"/>
          </w:tcPr>
          <w:p>
            <w:pPr>
              <w:spacing w:after="40"/>
            </w:pPr>
            <w:r>
              <w:rPr>
                <w:sz w:val="16"/>
              </w:rPr>
              <w:t>Managing Director/COO, independent finance, product leadership and regional leads</w:t>
            </w:r>
          </w:p>
        </w:tc>
        <w:tc>
          <w:tcPr>
            <w:tcW w:type="dxa" w:w="3600"/>
            <w:tcMar>
              <w:top w:w="70" w:type="dxa"/>
              <w:start w:w="100" w:type="dxa"/>
              <w:bottom w:w="70" w:type="dxa"/>
              <w:end w:w="100" w:type="dxa"/>
            </w:tcMar>
            <w:vAlign w:val="top"/>
          </w:tcPr>
          <w:p>
            <w:pPr>
              <w:spacing w:after="40"/>
            </w:pPr>
            <w:r>
              <w:rPr>
                <w:sz w:val="16"/>
              </w:rPr>
              <w:t>Audited partner network under common standards</w:t>
            </w:r>
          </w:p>
        </w:tc>
      </w:tr>
    </w:tbl>
    <w:p>
      <w:pPr>
        <w:spacing w:after="20"/>
      </w:pPr>
    </w:p>
    <w:p>
      <w:pPr>
        <w:pStyle w:val="ListBullet"/>
      </w:pPr>
      <w:r>
        <w:t>Hire for dignity, discretion, composure, ownership, observation and truthfulness. Train processes and tools; hire or retain recognised expertise where error carries cultural, safety or legal harm.</w:t>
      </w:r>
    </w:p>
    <w:p>
      <w:pPr>
        <w:pStyle w:val="ListBullet"/>
      </w:pPr>
      <w:r>
        <w:t>The Academy is the onboarding and authorisation mechanism. No person is deployed solely because they watched content; role certification, event briefing and practical evidence are required.</w:t>
      </w:r>
    </w:p>
    <w:p>
      <w:pPr>
        <w:pStyle w:val="ListBullet"/>
      </w:pPr>
      <w:r>
        <w:t>Reward early escalation, thoughtful recovery, accurate records, peer support and learning. Discipline concealment, gossip, status bias, unsafe improvisation, data misuse, disrespect and repeated unpreparedness.</w:t>
      </w:r>
    </w:p>
    <w:p>
      <w:pPr>
        <w:pStyle w:val="ListBullet"/>
      </w:pPr>
      <w:r>
        <w:t>Core rituals are the daily readiness review, pre-shift briefing, hand-off confirmation, pause-and-reset, post-event debrief, monthly learning review and quarterly doctrine council.</w:t>
      </w:r>
    </w:p>
    <w:p>
      <w:pPr>
        <w:pStyle w:val="Heading1"/>
        <w:keepNext/>
      </w:pPr>
      <w:r>
        <w:t>Part 4 — Financials and enterprise economics</w:t>
      </w:r>
    </w:p>
    <w:p>
      <w:pPr>
        <w:pStyle w:val="Heading2"/>
        <w:keepNext/>
      </w:pPr>
      <w:r>
        <w:t>4.1 Revenue architecture and price policy</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2880"/>
            <w:shd w:fill="B79F85"/>
            <w:tcMar>
              <w:top w:w="70" w:type="dxa"/>
              <w:start w:w="100" w:type="dxa"/>
              <w:bottom w:w="70" w:type="dxa"/>
              <w:end w:w="100" w:type="dxa"/>
            </w:tcMar>
          </w:tcPr>
          <w:p>
            <w:r>
              <w:rPr>
                <w:b/>
                <w:sz w:val="16"/>
              </w:rPr>
              <w:t>Stream</w:t>
            </w:r>
          </w:p>
        </w:tc>
        <w:tc>
          <w:tcPr>
            <w:tcW w:type="dxa" w:w="1080"/>
            <w:shd w:fill="B79F85"/>
            <w:tcMar>
              <w:top w:w="70" w:type="dxa"/>
              <w:start w:w="100" w:type="dxa"/>
              <w:bottom w:w="70" w:type="dxa"/>
              <w:end w:w="100" w:type="dxa"/>
            </w:tcMar>
          </w:tcPr>
          <w:p>
            <w:r>
              <w:rPr>
                <w:b/>
                <w:sz w:val="16"/>
              </w:rPr>
              <w:t>Y1 mix</w:t>
            </w:r>
          </w:p>
        </w:tc>
        <w:tc>
          <w:tcPr>
            <w:tcW w:type="dxa" w:w="1080"/>
            <w:shd w:fill="B79F85"/>
            <w:tcMar>
              <w:top w:w="70" w:type="dxa"/>
              <w:start w:w="100" w:type="dxa"/>
              <w:bottom w:w="70" w:type="dxa"/>
              <w:end w:w="100" w:type="dxa"/>
            </w:tcMar>
          </w:tcPr>
          <w:p>
            <w:r>
              <w:rPr>
                <w:b/>
                <w:sz w:val="16"/>
              </w:rPr>
              <w:t>Y5 mix</w:t>
            </w:r>
          </w:p>
        </w:tc>
        <w:tc>
          <w:tcPr>
            <w:tcW w:type="dxa" w:w="4320"/>
            <w:shd w:fill="B79F85"/>
            <w:tcMar>
              <w:top w:w="70" w:type="dxa"/>
              <w:start w:w="100" w:type="dxa"/>
              <w:bottom w:w="70" w:type="dxa"/>
              <w:end w:w="100" w:type="dxa"/>
            </w:tcMar>
          </w:tcPr>
          <w:p>
            <w:r>
              <w:rPr>
                <w:b/>
                <w:sz w:val="16"/>
              </w:rPr>
              <w:t>Price logic</w:t>
            </w:r>
          </w:p>
        </w:tc>
      </w:tr>
      <w:tr>
        <w:trPr>
          <w:cantSplit/>
        </w:trPr>
        <w:tc>
          <w:tcPr>
            <w:tcW w:type="dxa" w:w="2880"/>
            <w:tcMar>
              <w:top w:w="70" w:type="dxa"/>
              <w:start w:w="100" w:type="dxa"/>
              <w:bottom w:w="70" w:type="dxa"/>
              <w:end w:w="100" w:type="dxa"/>
            </w:tcMar>
            <w:vAlign w:val="top"/>
          </w:tcPr>
          <w:p>
            <w:pPr>
              <w:spacing w:after="40"/>
            </w:pPr>
            <w:r>
              <w:rPr>
                <w:sz w:val="16"/>
              </w:rPr>
              <w:t>Flagship project fees</w:t>
            </w:r>
          </w:p>
        </w:tc>
        <w:tc>
          <w:tcPr>
            <w:tcW w:type="dxa" w:w="1080"/>
            <w:tcMar>
              <w:top w:w="70" w:type="dxa"/>
              <w:start w:w="100" w:type="dxa"/>
              <w:bottom w:w="70" w:type="dxa"/>
              <w:end w:w="100" w:type="dxa"/>
            </w:tcMar>
            <w:vAlign w:val="top"/>
          </w:tcPr>
          <w:p>
            <w:pPr>
              <w:spacing w:after="40"/>
            </w:pPr>
            <w:r>
              <w:rPr>
                <w:sz w:val="16"/>
              </w:rPr>
              <w:t>80%</w:t>
            </w:r>
          </w:p>
        </w:tc>
        <w:tc>
          <w:tcPr>
            <w:tcW w:type="dxa" w:w="1080"/>
            <w:tcMar>
              <w:top w:w="70" w:type="dxa"/>
              <w:start w:w="100" w:type="dxa"/>
              <w:bottom w:w="70" w:type="dxa"/>
              <w:end w:w="100" w:type="dxa"/>
            </w:tcMar>
            <w:vAlign w:val="top"/>
          </w:tcPr>
          <w:p>
            <w:pPr>
              <w:spacing w:after="40"/>
            </w:pPr>
            <w:r>
              <w:rPr>
                <w:sz w:val="16"/>
              </w:rPr>
              <w:t>73%</w:t>
            </w:r>
          </w:p>
        </w:tc>
        <w:tc>
          <w:tcPr>
            <w:tcW w:type="dxa" w:w="4320"/>
            <w:tcMar>
              <w:top w:w="70" w:type="dxa"/>
              <w:start w:w="100" w:type="dxa"/>
              <w:bottom w:w="70" w:type="dxa"/>
              <w:end w:w="100" w:type="dxa"/>
            </w:tcMar>
            <w:vAlign w:val="top"/>
          </w:tcPr>
          <w:p>
            <w:pPr>
              <w:spacing w:after="40"/>
            </w:pPr>
            <w:r>
              <w:rPr>
                <w:sz w:val="16"/>
              </w:rPr>
              <w:t>Base scope + complexity + risk + urgency + senior intensity</w:t>
            </w:r>
          </w:p>
        </w:tc>
      </w:tr>
      <w:tr>
        <w:trPr>
          <w:cantSplit/>
        </w:trPr>
        <w:tc>
          <w:tcPr>
            <w:tcW w:type="dxa" w:w="2880"/>
            <w:tcMar>
              <w:top w:w="70" w:type="dxa"/>
              <w:start w:w="100" w:type="dxa"/>
              <w:bottom w:w="70" w:type="dxa"/>
              <w:end w:w="100" w:type="dxa"/>
            </w:tcMar>
            <w:vAlign w:val="top"/>
            <w:shd w:fill="FAF8F6"/>
          </w:tcPr>
          <w:p>
            <w:pPr>
              <w:spacing w:after="40"/>
            </w:pPr>
            <w:r>
              <w:rPr>
                <w:sz w:val="16"/>
              </w:rPr>
              <w:t>Retainers/advisory</w:t>
            </w:r>
          </w:p>
        </w:tc>
        <w:tc>
          <w:tcPr>
            <w:tcW w:type="dxa" w:w="1080"/>
            <w:tcMar>
              <w:top w:w="70" w:type="dxa"/>
              <w:start w:w="100" w:type="dxa"/>
              <w:bottom w:w="70" w:type="dxa"/>
              <w:end w:w="100" w:type="dxa"/>
            </w:tcMar>
            <w:vAlign w:val="top"/>
            <w:shd w:fill="FAF8F6"/>
          </w:tcPr>
          <w:p>
            <w:pPr>
              <w:spacing w:after="40"/>
            </w:pPr>
            <w:r>
              <w:rPr>
                <w:sz w:val="16"/>
              </w:rPr>
              <w:t>15%</w:t>
            </w:r>
          </w:p>
        </w:tc>
        <w:tc>
          <w:tcPr>
            <w:tcW w:type="dxa" w:w="1080"/>
            <w:tcMar>
              <w:top w:w="70" w:type="dxa"/>
              <w:start w:w="100" w:type="dxa"/>
              <w:bottom w:w="70" w:type="dxa"/>
              <w:end w:w="100" w:type="dxa"/>
            </w:tcMar>
            <w:vAlign w:val="top"/>
            <w:shd w:fill="FAF8F6"/>
          </w:tcPr>
          <w:p>
            <w:pPr>
              <w:spacing w:after="40"/>
            </w:pPr>
            <w:r>
              <w:rPr>
                <w:sz w:val="16"/>
              </w:rPr>
              <w:t>13%</w:t>
            </w:r>
          </w:p>
        </w:tc>
        <w:tc>
          <w:tcPr>
            <w:tcW w:type="dxa" w:w="4320"/>
            <w:tcMar>
              <w:top w:w="70" w:type="dxa"/>
              <w:start w:w="100" w:type="dxa"/>
              <w:bottom w:w="70" w:type="dxa"/>
              <w:end w:w="100" w:type="dxa"/>
            </w:tcMar>
            <w:vAlign w:val="top"/>
            <w:shd w:fill="FAF8F6"/>
          </w:tcPr>
          <w:p>
            <w:pPr>
              <w:spacing w:after="40"/>
            </w:pPr>
            <w:r>
              <w:rPr>
                <w:sz w:val="16"/>
              </w:rPr>
              <w:t>Reserved access, readiness and included allowances</w:t>
            </w:r>
          </w:p>
        </w:tc>
      </w:tr>
      <w:tr>
        <w:trPr>
          <w:cantSplit/>
        </w:trPr>
        <w:tc>
          <w:tcPr>
            <w:tcW w:type="dxa" w:w="2880"/>
            <w:tcMar>
              <w:top w:w="70" w:type="dxa"/>
              <w:start w:w="100" w:type="dxa"/>
              <w:bottom w:w="70" w:type="dxa"/>
              <w:end w:w="100" w:type="dxa"/>
            </w:tcMar>
            <w:vAlign w:val="top"/>
          </w:tcPr>
          <w:p>
            <w:pPr>
              <w:spacing w:after="40"/>
            </w:pPr>
            <w:r>
              <w:rPr>
                <w:sz w:val="16"/>
              </w:rPr>
              <w:t>Academy</w:t>
            </w:r>
          </w:p>
        </w:tc>
        <w:tc>
          <w:tcPr>
            <w:tcW w:type="dxa" w:w="1080"/>
            <w:tcMar>
              <w:top w:w="70" w:type="dxa"/>
              <w:start w:w="100" w:type="dxa"/>
              <w:bottom w:w="70" w:type="dxa"/>
              <w:end w:w="100" w:type="dxa"/>
            </w:tcMar>
            <w:vAlign w:val="top"/>
          </w:tcPr>
          <w:p>
            <w:pPr>
              <w:spacing w:after="40"/>
            </w:pPr>
            <w:r>
              <w:rPr>
                <w:sz w:val="16"/>
              </w:rPr>
              <w:t>5%</w:t>
            </w:r>
          </w:p>
        </w:tc>
        <w:tc>
          <w:tcPr>
            <w:tcW w:type="dxa" w:w="1080"/>
            <w:tcMar>
              <w:top w:w="70" w:type="dxa"/>
              <w:start w:w="100" w:type="dxa"/>
              <w:bottom w:w="70" w:type="dxa"/>
              <w:end w:w="100" w:type="dxa"/>
            </w:tcMar>
            <w:vAlign w:val="top"/>
          </w:tcPr>
          <w:p>
            <w:pPr>
              <w:spacing w:after="40"/>
            </w:pPr>
            <w:r>
              <w:rPr>
                <w:sz w:val="16"/>
              </w:rPr>
              <w:t>7%</w:t>
            </w:r>
          </w:p>
        </w:tc>
        <w:tc>
          <w:tcPr>
            <w:tcW w:type="dxa" w:w="4320"/>
            <w:tcMar>
              <w:top w:w="70" w:type="dxa"/>
              <w:start w:w="100" w:type="dxa"/>
              <w:bottom w:w="70" w:type="dxa"/>
              <w:end w:w="100" w:type="dxa"/>
            </w:tcMar>
            <w:vAlign w:val="top"/>
          </w:tcPr>
          <w:p>
            <w:pPr>
              <w:spacing w:after="40"/>
            </w:pPr>
            <w:r>
              <w:rPr>
                <w:sz w:val="16"/>
              </w:rPr>
              <w:t>Internal first; later cohort/licence pricing</w:t>
            </w:r>
          </w:p>
        </w:tc>
      </w:tr>
      <w:tr>
        <w:trPr>
          <w:cantSplit/>
        </w:trPr>
        <w:tc>
          <w:tcPr>
            <w:tcW w:type="dxa" w:w="2880"/>
            <w:tcMar>
              <w:top w:w="70" w:type="dxa"/>
              <w:start w:w="100" w:type="dxa"/>
              <w:bottom w:w="70" w:type="dxa"/>
              <w:end w:w="100" w:type="dxa"/>
            </w:tcMar>
            <w:vAlign w:val="top"/>
            <w:shd w:fill="FAF8F6"/>
          </w:tcPr>
          <w:p>
            <w:pPr>
              <w:spacing w:after="40"/>
            </w:pPr>
            <w:r>
              <w:rPr>
                <w:sz w:val="16"/>
              </w:rPr>
              <w:t>Managed OS/insight</w:t>
            </w:r>
          </w:p>
        </w:tc>
        <w:tc>
          <w:tcPr>
            <w:tcW w:type="dxa" w:w="1080"/>
            <w:tcMar>
              <w:top w:w="70" w:type="dxa"/>
              <w:start w:w="100" w:type="dxa"/>
              <w:bottom w:w="70" w:type="dxa"/>
              <w:end w:w="100" w:type="dxa"/>
            </w:tcMar>
            <w:vAlign w:val="top"/>
            <w:shd w:fill="FAF8F6"/>
          </w:tcPr>
          <w:p>
            <w:pPr>
              <w:spacing w:after="40"/>
            </w:pPr>
            <w:r>
              <w:rPr>
                <w:sz w:val="16"/>
              </w:rPr>
              <w:t>0%</w:t>
            </w:r>
          </w:p>
        </w:tc>
        <w:tc>
          <w:tcPr>
            <w:tcW w:type="dxa" w:w="1080"/>
            <w:tcMar>
              <w:top w:w="70" w:type="dxa"/>
              <w:start w:w="100" w:type="dxa"/>
              <w:bottom w:w="70" w:type="dxa"/>
              <w:end w:w="100" w:type="dxa"/>
            </w:tcMar>
            <w:vAlign w:val="top"/>
            <w:shd w:fill="FAF8F6"/>
          </w:tcPr>
          <w:p>
            <w:pPr>
              <w:spacing w:after="40"/>
            </w:pPr>
            <w:r>
              <w:rPr>
                <w:sz w:val="16"/>
              </w:rPr>
              <w:t>7%</w:t>
            </w:r>
          </w:p>
        </w:tc>
        <w:tc>
          <w:tcPr>
            <w:tcW w:type="dxa" w:w="4320"/>
            <w:tcMar>
              <w:top w:w="70" w:type="dxa"/>
              <w:start w:w="100" w:type="dxa"/>
              <w:bottom w:w="70" w:type="dxa"/>
              <w:end w:w="100" w:type="dxa"/>
            </w:tcMar>
            <w:vAlign w:val="top"/>
            <w:shd w:fill="FAF8F6"/>
          </w:tcPr>
          <w:p>
            <w:pPr>
              <w:spacing w:after="40"/>
            </w:pPr>
            <w:r>
              <w:rPr>
                <w:sz w:val="16"/>
              </w:rPr>
              <w:t>Bundled until proven; later annual managed-service fee</w:t>
            </w:r>
          </w:p>
        </w:tc>
      </w:tr>
    </w:tbl>
    <w:p>
      <w:pPr>
        <w:spacing w:after="20"/>
      </w:pPr>
    </w:p>
    <w:p>
      <w:r>
        <w:t>Proposed fee floors for ratification are ₦5m for a full Lagos flagship engagement, ₦1.5m for a tightly bounded diagnostic/advisory engagement, and no minimum total event budget because complexity and consequence matter more than décor spend. Fees are quoted net of pass-through supplier spend, taxes and approved expenses. The company does not discount standards; it reduces scope, changes timing or declines.</w:t>
      </w:r>
    </w:p>
    <w:p>
      <w:r>
        <w:t>Payment terms are 60% on signature, 30% at design/readiness gate and 10% no later than fourteen days before delivery. Short-lead work may require 80–100% upfront. Supplier funds should normally be paid directly by the client; where custody is unavoidable, use a segregated account, written authority and transparent reconciliation.</w:t>
      </w:r>
    </w:p>
    <w:p>
      <w:pPr>
        <w:pStyle w:val="Heading2"/>
        <w:keepNext/>
      </w:pPr>
      <w:r>
        <w:t>4.2 Unit economics policy</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3096"/>
            <w:shd w:fill="B79F85"/>
            <w:tcMar>
              <w:top w:w="70" w:type="dxa"/>
              <w:start w:w="100" w:type="dxa"/>
              <w:bottom w:w="70" w:type="dxa"/>
              <w:end w:w="100" w:type="dxa"/>
            </w:tcMar>
          </w:tcPr>
          <w:p>
            <w:r>
              <w:rPr>
                <w:b/>
                <w:sz w:val="16"/>
              </w:rPr>
              <w:t>Metric</w:t>
            </w:r>
          </w:p>
        </w:tc>
        <w:tc>
          <w:tcPr>
            <w:tcW w:type="dxa" w:w="2520"/>
            <w:shd w:fill="B79F85"/>
            <w:tcMar>
              <w:top w:w="70" w:type="dxa"/>
              <w:start w:w="100" w:type="dxa"/>
              <w:bottom w:w="70" w:type="dxa"/>
              <w:end w:w="100" w:type="dxa"/>
            </w:tcMar>
          </w:tcPr>
          <w:p>
            <w:r>
              <w:rPr>
                <w:b/>
                <w:sz w:val="16"/>
              </w:rPr>
              <w:t>Target</w:t>
            </w:r>
          </w:p>
        </w:tc>
        <w:tc>
          <w:tcPr>
            <w:tcW w:type="dxa" w:w="3816"/>
            <w:shd w:fill="B79F85"/>
            <w:tcMar>
              <w:top w:w="70" w:type="dxa"/>
              <w:start w:w="100" w:type="dxa"/>
              <w:bottom w:w="70" w:type="dxa"/>
              <w:end w:w="100" w:type="dxa"/>
            </w:tcMar>
          </w:tcPr>
          <w:p>
            <w:r>
              <w:rPr>
                <w:b/>
                <w:sz w:val="16"/>
              </w:rPr>
              <w:t>Control response</w:t>
            </w:r>
          </w:p>
        </w:tc>
      </w:tr>
      <w:tr>
        <w:trPr>
          <w:cantSplit/>
        </w:trPr>
        <w:tc>
          <w:tcPr>
            <w:tcW w:type="dxa" w:w="3096"/>
            <w:tcMar>
              <w:top w:w="70" w:type="dxa"/>
              <w:start w:w="100" w:type="dxa"/>
              <w:bottom w:w="70" w:type="dxa"/>
              <w:end w:w="100" w:type="dxa"/>
            </w:tcMar>
            <w:vAlign w:val="top"/>
          </w:tcPr>
          <w:p>
            <w:pPr>
              <w:spacing w:after="40"/>
            </w:pPr>
            <w:r>
              <w:rPr>
                <w:sz w:val="16"/>
              </w:rPr>
              <w:t>Gross margin on net fees</w:t>
            </w:r>
          </w:p>
        </w:tc>
        <w:tc>
          <w:tcPr>
            <w:tcW w:type="dxa" w:w="2520"/>
            <w:tcMar>
              <w:top w:w="70" w:type="dxa"/>
              <w:start w:w="100" w:type="dxa"/>
              <w:bottom w:w="70" w:type="dxa"/>
              <w:end w:w="100" w:type="dxa"/>
            </w:tcMar>
            <w:vAlign w:val="top"/>
          </w:tcPr>
          <w:p>
            <w:pPr>
              <w:spacing w:after="40"/>
            </w:pPr>
            <w:r>
              <w:rPr>
                <w:sz w:val="16"/>
              </w:rPr>
              <w:t>55% Y1, rising to 64% Y5</w:t>
            </w:r>
          </w:p>
        </w:tc>
        <w:tc>
          <w:tcPr>
            <w:tcW w:type="dxa" w:w="3816"/>
            <w:tcMar>
              <w:top w:w="70" w:type="dxa"/>
              <w:start w:w="100" w:type="dxa"/>
              <w:bottom w:w="70" w:type="dxa"/>
              <w:end w:w="100" w:type="dxa"/>
            </w:tcMar>
            <w:vAlign w:val="top"/>
          </w:tcPr>
          <w:p>
            <w:pPr>
              <w:spacing w:after="40"/>
            </w:pPr>
            <w:r>
              <w:rPr>
                <w:sz w:val="16"/>
              </w:rPr>
              <w:t>Re-scope, reprice or decline below approved floor</w:t>
            </w:r>
          </w:p>
        </w:tc>
      </w:tr>
      <w:tr>
        <w:trPr>
          <w:cantSplit/>
        </w:trPr>
        <w:tc>
          <w:tcPr>
            <w:tcW w:type="dxa" w:w="3096"/>
            <w:tcMar>
              <w:top w:w="70" w:type="dxa"/>
              <w:start w:w="100" w:type="dxa"/>
              <w:bottom w:w="70" w:type="dxa"/>
              <w:end w:w="100" w:type="dxa"/>
            </w:tcMar>
            <w:vAlign w:val="top"/>
            <w:shd w:fill="FAF8F6"/>
          </w:tcPr>
          <w:p>
            <w:pPr>
              <w:spacing w:after="40"/>
            </w:pPr>
            <w:r>
              <w:rPr>
                <w:sz w:val="16"/>
              </w:rPr>
              <w:t>Contribution margin per flagship engagement</w:t>
            </w:r>
          </w:p>
        </w:tc>
        <w:tc>
          <w:tcPr>
            <w:tcW w:type="dxa" w:w="2520"/>
            <w:tcMar>
              <w:top w:w="70" w:type="dxa"/>
              <w:start w:w="100" w:type="dxa"/>
              <w:bottom w:w="70" w:type="dxa"/>
              <w:end w:w="100" w:type="dxa"/>
            </w:tcMar>
            <w:vAlign w:val="top"/>
            <w:shd w:fill="FAF8F6"/>
          </w:tcPr>
          <w:p>
            <w:pPr>
              <w:spacing w:after="40"/>
            </w:pPr>
            <w:r>
              <w:rPr>
                <w:sz w:val="16"/>
              </w:rPr>
              <w:t>At least 40% after all event-variable delivery costs</w:t>
            </w:r>
          </w:p>
        </w:tc>
        <w:tc>
          <w:tcPr>
            <w:tcW w:type="dxa" w:w="3816"/>
            <w:tcMar>
              <w:top w:w="70" w:type="dxa"/>
              <w:start w:w="100" w:type="dxa"/>
              <w:bottom w:w="70" w:type="dxa"/>
              <w:end w:w="100" w:type="dxa"/>
            </w:tcMar>
            <w:vAlign w:val="top"/>
            <w:shd w:fill="FAF8F6"/>
          </w:tcPr>
          <w:p>
            <w:pPr>
              <w:spacing w:after="40"/>
            </w:pPr>
            <w:r>
              <w:rPr>
                <w:sz w:val="16"/>
              </w:rPr>
              <w:t>No hidden reliance on unpaid CEO labour</w:t>
            </w:r>
          </w:p>
        </w:tc>
      </w:tr>
      <w:tr>
        <w:trPr>
          <w:cantSplit/>
        </w:trPr>
        <w:tc>
          <w:tcPr>
            <w:tcW w:type="dxa" w:w="3096"/>
            <w:tcMar>
              <w:top w:w="70" w:type="dxa"/>
              <w:start w:w="100" w:type="dxa"/>
              <w:bottom w:w="70" w:type="dxa"/>
              <w:end w:w="100" w:type="dxa"/>
            </w:tcMar>
            <w:vAlign w:val="top"/>
          </w:tcPr>
          <w:p>
            <w:pPr>
              <w:spacing w:after="40"/>
            </w:pPr>
            <w:r>
              <w:rPr>
                <w:sz w:val="16"/>
              </w:rPr>
              <w:t>EBITDA margin</w:t>
            </w:r>
          </w:p>
        </w:tc>
        <w:tc>
          <w:tcPr>
            <w:tcW w:type="dxa" w:w="2520"/>
            <w:tcMar>
              <w:top w:w="70" w:type="dxa"/>
              <w:start w:w="100" w:type="dxa"/>
              <w:bottom w:w="70" w:type="dxa"/>
              <w:end w:w="100" w:type="dxa"/>
            </w:tcMar>
            <w:vAlign w:val="top"/>
          </w:tcPr>
          <w:p>
            <w:pPr>
              <w:spacing w:after="40"/>
            </w:pPr>
            <w:r>
              <w:rPr>
                <w:sz w:val="16"/>
              </w:rPr>
              <w:t>3% Y1 to 28% Y5</w:t>
            </w:r>
          </w:p>
        </w:tc>
        <w:tc>
          <w:tcPr>
            <w:tcW w:type="dxa" w:w="3816"/>
            <w:tcMar>
              <w:top w:w="70" w:type="dxa"/>
              <w:start w:w="100" w:type="dxa"/>
              <w:bottom w:w="70" w:type="dxa"/>
              <w:end w:w="100" w:type="dxa"/>
            </w:tcMar>
            <w:vAlign w:val="top"/>
          </w:tcPr>
          <w:p>
            <w:pPr>
              <w:spacing w:after="40"/>
            </w:pPr>
            <w:r>
              <w:rPr>
                <w:sz w:val="16"/>
              </w:rPr>
              <w:t>Hold hiring and discretionary spend if rolling plan misses gate</w:t>
            </w:r>
          </w:p>
        </w:tc>
      </w:tr>
      <w:tr>
        <w:trPr>
          <w:cantSplit/>
        </w:trPr>
        <w:tc>
          <w:tcPr>
            <w:tcW w:type="dxa" w:w="3096"/>
            <w:tcMar>
              <w:top w:w="70" w:type="dxa"/>
              <w:start w:w="100" w:type="dxa"/>
              <w:bottom w:w="70" w:type="dxa"/>
              <w:end w:w="100" w:type="dxa"/>
            </w:tcMar>
            <w:vAlign w:val="top"/>
            <w:shd w:fill="FAF8F6"/>
          </w:tcPr>
          <w:p>
            <w:pPr>
              <w:spacing w:after="40"/>
            </w:pPr>
            <w:r>
              <w:rPr>
                <w:sz w:val="16"/>
              </w:rPr>
              <w:t>Client concentration</w:t>
            </w:r>
          </w:p>
        </w:tc>
        <w:tc>
          <w:tcPr>
            <w:tcW w:type="dxa" w:w="2520"/>
            <w:tcMar>
              <w:top w:w="70" w:type="dxa"/>
              <w:start w:w="100" w:type="dxa"/>
              <w:bottom w:w="70" w:type="dxa"/>
              <w:end w:w="100" w:type="dxa"/>
            </w:tcMar>
            <w:vAlign w:val="top"/>
            <w:shd w:fill="FAF8F6"/>
          </w:tcPr>
          <w:p>
            <w:pPr>
              <w:spacing w:after="40"/>
            </w:pPr>
            <w:r>
              <w:rPr>
                <w:sz w:val="16"/>
              </w:rPr>
              <w:t>No client &gt;20% annual revenue by Y3</w:t>
            </w:r>
          </w:p>
        </w:tc>
        <w:tc>
          <w:tcPr>
            <w:tcW w:type="dxa" w:w="3816"/>
            <w:tcMar>
              <w:top w:w="70" w:type="dxa"/>
              <w:start w:w="100" w:type="dxa"/>
              <w:bottom w:w="70" w:type="dxa"/>
              <w:end w:w="100" w:type="dxa"/>
            </w:tcMar>
            <w:vAlign w:val="top"/>
            <w:shd w:fill="FAF8F6"/>
          </w:tcPr>
          <w:p>
            <w:pPr>
              <w:spacing w:after="40"/>
            </w:pPr>
            <w:r>
              <w:rPr>
                <w:sz w:val="16"/>
              </w:rPr>
              <w:t>Diversification plan and cash reserve</w:t>
            </w:r>
          </w:p>
        </w:tc>
      </w:tr>
      <w:tr>
        <w:trPr>
          <w:cantSplit/>
        </w:trPr>
        <w:tc>
          <w:tcPr>
            <w:tcW w:type="dxa" w:w="3096"/>
            <w:tcMar>
              <w:top w:w="70" w:type="dxa"/>
              <w:start w:w="100" w:type="dxa"/>
              <w:bottom w:w="70" w:type="dxa"/>
              <w:end w:w="100" w:type="dxa"/>
            </w:tcMar>
            <w:vAlign w:val="top"/>
          </w:tcPr>
          <w:p>
            <w:pPr>
              <w:spacing w:after="40"/>
            </w:pPr>
            <w:r>
              <w:rPr>
                <w:sz w:val="16"/>
              </w:rPr>
              <w:t>Cash collection</w:t>
            </w:r>
          </w:p>
        </w:tc>
        <w:tc>
          <w:tcPr>
            <w:tcW w:type="dxa" w:w="2520"/>
            <w:tcMar>
              <w:top w:w="70" w:type="dxa"/>
              <w:start w:w="100" w:type="dxa"/>
              <w:bottom w:w="70" w:type="dxa"/>
              <w:end w:w="100" w:type="dxa"/>
            </w:tcMar>
            <w:vAlign w:val="top"/>
          </w:tcPr>
          <w:p>
            <w:pPr>
              <w:spacing w:after="40"/>
            </w:pPr>
            <w:r>
              <w:rPr>
                <w:sz w:val="16"/>
              </w:rPr>
              <w:t>Positive: client cash precedes committed direct spend</w:t>
            </w:r>
          </w:p>
        </w:tc>
        <w:tc>
          <w:tcPr>
            <w:tcW w:type="dxa" w:w="3816"/>
            <w:tcMar>
              <w:top w:w="70" w:type="dxa"/>
              <w:start w:w="100" w:type="dxa"/>
              <w:bottom w:w="70" w:type="dxa"/>
              <w:end w:w="100" w:type="dxa"/>
            </w:tcMar>
            <w:vAlign w:val="top"/>
          </w:tcPr>
          <w:p>
            <w:pPr>
              <w:spacing w:after="40"/>
            </w:pPr>
            <w:r>
              <w:rPr>
                <w:sz w:val="16"/>
              </w:rPr>
              <w:t>Stop-work and escalation rights</w:t>
            </w:r>
          </w:p>
        </w:tc>
      </w:tr>
      <w:tr>
        <w:trPr>
          <w:cantSplit/>
        </w:trPr>
        <w:tc>
          <w:tcPr>
            <w:tcW w:type="dxa" w:w="3096"/>
            <w:tcMar>
              <w:top w:w="70" w:type="dxa"/>
              <w:start w:w="100" w:type="dxa"/>
              <w:bottom w:w="70" w:type="dxa"/>
              <w:end w:w="100" w:type="dxa"/>
            </w:tcMar>
            <w:vAlign w:val="top"/>
            <w:shd w:fill="FAF8F6"/>
          </w:tcPr>
          <w:p>
            <w:pPr>
              <w:spacing w:after="40"/>
            </w:pPr>
            <w:r>
              <w:rPr>
                <w:sz w:val="16"/>
              </w:rPr>
              <w:t>Fixed-cost cover</w:t>
            </w:r>
          </w:p>
        </w:tc>
        <w:tc>
          <w:tcPr>
            <w:tcW w:type="dxa" w:w="2520"/>
            <w:tcMar>
              <w:top w:w="70" w:type="dxa"/>
              <w:start w:w="100" w:type="dxa"/>
              <w:bottom w:w="70" w:type="dxa"/>
              <w:end w:w="100" w:type="dxa"/>
            </w:tcMar>
            <w:vAlign w:val="top"/>
            <w:shd w:fill="FAF8F6"/>
          </w:tcPr>
          <w:p>
            <w:pPr>
              <w:spacing w:after="40"/>
            </w:pPr>
            <w:r>
              <w:rPr>
                <w:sz w:val="16"/>
              </w:rPr>
              <w:t>Base case: 8 average Y1 engagements or equivalent mix</w:t>
            </w:r>
          </w:p>
        </w:tc>
        <w:tc>
          <w:tcPr>
            <w:tcW w:type="dxa" w:w="3816"/>
            <w:tcMar>
              <w:top w:w="70" w:type="dxa"/>
              <w:start w:w="100" w:type="dxa"/>
              <w:bottom w:w="70" w:type="dxa"/>
              <w:end w:w="100" w:type="dxa"/>
            </w:tcMar>
            <w:vAlign w:val="top"/>
            <w:shd w:fill="FAF8F6"/>
          </w:tcPr>
          <w:p>
            <w:pPr>
              <w:spacing w:after="40"/>
            </w:pPr>
            <w:r>
              <w:rPr>
                <w:sz w:val="16"/>
              </w:rPr>
              <w:t>Monthly rolling break-even and downside review</w:t>
            </w:r>
          </w:p>
        </w:tc>
      </w:tr>
      <w:tr>
        <w:trPr>
          <w:cantSplit/>
        </w:trPr>
        <w:tc>
          <w:tcPr>
            <w:tcW w:type="dxa" w:w="3096"/>
            <w:tcMar>
              <w:top w:w="70" w:type="dxa"/>
              <w:start w:w="100" w:type="dxa"/>
              <w:bottom w:w="70" w:type="dxa"/>
              <w:end w:w="100" w:type="dxa"/>
            </w:tcMar>
            <w:vAlign w:val="top"/>
          </w:tcPr>
          <w:p>
            <w:pPr>
              <w:spacing w:after="40"/>
            </w:pPr>
            <w:r>
              <w:rPr>
                <w:sz w:val="16"/>
              </w:rPr>
              <w:t>Reserve</w:t>
            </w:r>
          </w:p>
        </w:tc>
        <w:tc>
          <w:tcPr>
            <w:tcW w:type="dxa" w:w="2520"/>
            <w:tcMar>
              <w:top w:w="70" w:type="dxa"/>
              <w:start w:w="100" w:type="dxa"/>
              <w:bottom w:w="70" w:type="dxa"/>
              <w:end w:w="100" w:type="dxa"/>
            </w:tcMar>
            <w:vAlign w:val="top"/>
          </w:tcPr>
          <w:p>
            <w:pPr>
              <w:spacing w:after="40"/>
            </w:pPr>
            <w:r>
              <w:rPr>
                <w:sz w:val="16"/>
              </w:rPr>
              <w:t>Six months of core fixed operating cost by end Y3</w:t>
            </w:r>
          </w:p>
        </w:tc>
        <w:tc>
          <w:tcPr>
            <w:tcW w:type="dxa" w:w="3816"/>
            <w:tcMar>
              <w:top w:w="70" w:type="dxa"/>
              <w:start w:w="100" w:type="dxa"/>
              <w:bottom w:w="70" w:type="dxa"/>
              <w:end w:w="100" w:type="dxa"/>
            </w:tcMar>
            <w:vAlign w:val="top"/>
          </w:tcPr>
          <w:p>
            <w:pPr>
              <w:spacing w:after="40"/>
            </w:pPr>
            <w:r>
              <w:rPr>
                <w:sz w:val="16"/>
              </w:rPr>
              <w:t>Profit allocation before discretionary distributions</w:t>
            </w:r>
          </w:p>
        </w:tc>
      </w:tr>
    </w:tbl>
    <w:p>
      <w:pPr>
        <w:spacing w:after="20"/>
      </w:pPr>
    </w:p>
    <w:p>
      <w:r>
        <w:t>The initial model assumes an average Y1 flagship fee of approximately ₦7.5m and excludes venue, catering, décor and other supplier budgets unless Maison Doclar is the principal and bears the commercial risk. Every proposal must carry a costed staffing plan, senior-time allocation, contingency and scope-change triggers. Margin is measured after market-rate founder delivery time, even if not yet fully paid.</w:t>
      </w:r>
    </w:p>
    <w:p>
      <w:pPr>
        <w:pStyle w:val="Heading2"/>
        <w:keepNext/>
      </w:pPr>
      <w:r>
        <w:t>4.3 Five-year base case</w:t>
      </w:r>
    </w:p>
    <w:tbl>
      <w:tblPr>
        <w:tblStyle w:val="TableGrid"/>
        <w:tblW w:type="auto" w:w="0"/>
        <w:jc w:val="left"/>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92"/>
            <w:shd w:fill="B79F85"/>
            <w:tcMar>
              <w:top w:w="70" w:type="dxa"/>
              <w:start w:w="100" w:type="dxa"/>
              <w:bottom w:w="70" w:type="dxa"/>
              <w:end w:w="100" w:type="dxa"/>
            </w:tcMar>
          </w:tcPr>
          <w:p>
            <w:r>
              <w:rPr>
                <w:b/>
                <w:sz w:val="16"/>
              </w:rPr>
              <w:t>Year</w:t>
            </w:r>
          </w:p>
        </w:tc>
        <w:tc>
          <w:tcPr>
            <w:tcW w:type="dxa" w:w="1224"/>
            <w:shd w:fill="B79F85"/>
            <w:tcMar>
              <w:top w:w="70" w:type="dxa"/>
              <w:start w:w="100" w:type="dxa"/>
              <w:bottom w:w="70" w:type="dxa"/>
              <w:end w:w="100" w:type="dxa"/>
            </w:tcMar>
          </w:tcPr>
          <w:p>
            <w:r>
              <w:rPr>
                <w:b/>
                <w:sz w:val="16"/>
              </w:rPr>
              <w:t>Projects</w:t>
            </w:r>
          </w:p>
        </w:tc>
        <w:tc>
          <w:tcPr>
            <w:tcW w:type="dxa" w:w="1224"/>
            <w:shd w:fill="B79F85"/>
            <w:tcMar>
              <w:top w:w="70" w:type="dxa"/>
              <w:start w:w="100" w:type="dxa"/>
              <w:bottom w:w="70" w:type="dxa"/>
              <w:end w:w="100" w:type="dxa"/>
            </w:tcMar>
          </w:tcPr>
          <w:p>
            <w:r>
              <w:rPr>
                <w:b/>
                <w:sz w:val="16"/>
              </w:rPr>
              <w:t>Retainers</w:t>
            </w:r>
          </w:p>
        </w:tc>
        <w:tc>
          <w:tcPr>
            <w:tcW w:type="dxa" w:w="1944"/>
            <w:shd w:fill="B79F85"/>
            <w:tcMar>
              <w:top w:w="70" w:type="dxa"/>
              <w:start w:w="100" w:type="dxa"/>
              <w:bottom w:w="70" w:type="dxa"/>
              <w:end w:w="100" w:type="dxa"/>
            </w:tcMar>
          </w:tcPr>
          <w:p>
            <w:r>
              <w:rPr>
                <w:b/>
                <w:sz w:val="16"/>
              </w:rPr>
              <w:t>Academy/OS</w:t>
            </w:r>
          </w:p>
        </w:tc>
        <w:tc>
          <w:tcPr>
            <w:tcW w:type="dxa" w:w="1584"/>
            <w:shd w:fill="B79F85"/>
            <w:tcMar>
              <w:top w:w="70" w:type="dxa"/>
              <w:start w:w="100" w:type="dxa"/>
              <w:bottom w:w="70" w:type="dxa"/>
              <w:end w:w="100" w:type="dxa"/>
            </w:tcMar>
          </w:tcPr>
          <w:p>
            <w:r>
              <w:rPr>
                <w:b/>
                <w:sz w:val="16"/>
              </w:rPr>
              <w:t>Net revenue</w:t>
            </w:r>
          </w:p>
        </w:tc>
        <w:tc>
          <w:tcPr>
            <w:tcW w:type="dxa" w:w="1584"/>
            <w:shd w:fill="B79F85"/>
            <w:tcMar>
              <w:top w:w="70" w:type="dxa"/>
              <w:start w:w="100" w:type="dxa"/>
              <w:bottom w:w="70" w:type="dxa"/>
              <w:end w:w="100" w:type="dxa"/>
            </w:tcMar>
          </w:tcPr>
          <w:p>
            <w:r>
              <w:rPr>
                <w:b/>
                <w:sz w:val="16"/>
              </w:rPr>
              <w:t>EBITDA</w:t>
            </w:r>
          </w:p>
        </w:tc>
      </w:tr>
      <w:tr>
        <w:trPr>
          <w:cantSplit/>
        </w:trPr>
        <w:tc>
          <w:tcPr>
            <w:tcW w:type="dxa" w:w="792"/>
            <w:tcMar>
              <w:top w:w="70" w:type="dxa"/>
              <w:start w:w="100" w:type="dxa"/>
              <w:bottom w:w="70" w:type="dxa"/>
              <w:end w:w="100" w:type="dxa"/>
            </w:tcMar>
            <w:vAlign w:val="top"/>
          </w:tcPr>
          <w:p>
            <w:pPr>
              <w:spacing w:after="40"/>
            </w:pPr>
            <w:r>
              <w:rPr>
                <w:sz w:val="16"/>
              </w:rPr>
              <w:t>Y1</w:t>
            </w:r>
          </w:p>
        </w:tc>
        <w:tc>
          <w:tcPr>
            <w:tcW w:type="dxa" w:w="1224"/>
            <w:tcMar>
              <w:top w:w="70" w:type="dxa"/>
              <w:start w:w="100" w:type="dxa"/>
              <w:bottom w:w="70" w:type="dxa"/>
              <w:end w:w="100" w:type="dxa"/>
            </w:tcMar>
            <w:vAlign w:val="top"/>
          </w:tcPr>
          <w:p>
            <w:pPr>
              <w:spacing w:after="40"/>
            </w:pPr>
            <w:r>
              <w:rPr>
                <w:sz w:val="16"/>
              </w:rPr>
              <w:t>6–8</w:t>
            </w:r>
          </w:p>
        </w:tc>
        <w:tc>
          <w:tcPr>
            <w:tcW w:type="dxa" w:w="1224"/>
            <w:tcMar>
              <w:top w:w="70" w:type="dxa"/>
              <w:start w:w="100" w:type="dxa"/>
              <w:bottom w:w="70" w:type="dxa"/>
              <w:end w:w="100" w:type="dxa"/>
            </w:tcMar>
            <w:vAlign w:val="top"/>
          </w:tcPr>
          <w:p>
            <w:pPr>
              <w:spacing w:after="40"/>
            </w:pPr>
            <w:r>
              <w:rPr>
                <w:sz w:val="16"/>
              </w:rPr>
              <w:t>1–2 pilots</w:t>
            </w:r>
          </w:p>
        </w:tc>
        <w:tc>
          <w:tcPr>
            <w:tcW w:type="dxa" w:w="1944"/>
            <w:tcMar>
              <w:top w:w="70" w:type="dxa"/>
              <w:start w:w="100" w:type="dxa"/>
              <w:bottom w:w="70" w:type="dxa"/>
              <w:end w:w="100" w:type="dxa"/>
            </w:tcMar>
            <w:vAlign w:val="top"/>
          </w:tcPr>
          <w:p>
            <w:pPr>
              <w:spacing w:after="40"/>
            </w:pPr>
            <w:r>
              <w:rPr>
                <w:sz w:val="16"/>
              </w:rPr>
              <w:t>Internal/pilot</w:t>
            </w:r>
          </w:p>
        </w:tc>
        <w:tc>
          <w:tcPr>
            <w:tcW w:type="dxa" w:w="1584"/>
            <w:tcMar>
              <w:top w:w="70" w:type="dxa"/>
              <w:start w:w="100" w:type="dxa"/>
              <w:bottom w:w="70" w:type="dxa"/>
              <w:end w:w="100" w:type="dxa"/>
            </w:tcMar>
            <w:vAlign w:val="top"/>
          </w:tcPr>
          <w:p>
            <w:pPr>
              <w:spacing w:after="40"/>
            </w:pPr>
            <w:r>
              <w:rPr>
                <w:sz w:val="16"/>
              </w:rPr>
              <w:t>₦60m</w:t>
            </w:r>
          </w:p>
        </w:tc>
        <w:tc>
          <w:tcPr>
            <w:tcW w:type="dxa" w:w="1584"/>
            <w:tcMar>
              <w:top w:w="70" w:type="dxa"/>
              <w:start w:w="100" w:type="dxa"/>
              <w:bottom w:w="70" w:type="dxa"/>
              <w:end w:w="100" w:type="dxa"/>
            </w:tcMar>
            <w:vAlign w:val="top"/>
          </w:tcPr>
          <w:p>
            <w:pPr>
              <w:spacing w:after="40"/>
            </w:pPr>
            <w:r>
              <w:rPr>
                <w:sz w:val="16"/>
              </w:rPr>
              <w:t>₦1.8m</w:t>
            </w:r>
          </w:p>
        </w:tc>
      </w:tr>
      <w:tr>
        <w:trPr>
          <w:cantSplit/>
        </w:trPr>
        <w:tc>
          <w:tcPr>
            <w:tcW w:type="dxa" w:w="792"/>
            <w:tcMar>
              <w:top w:w="70" w:type="dxa"/>
              <w:start w:w="100" w:type="dxa"/>
              <w:bottom w:w="70" w:type="dxa"/>
              <w:end w:w="100" w:type="dxa"/>
            </w:tcMar>
            <w:vAlign w:val="top"/>
            <w:shd w:fill="FAF8F6"/>
          </w:tcPr>
          <w:p>
            <w:pPr>
              <w:spacing w:after="40"/>
            </w:pPr>
            <w:r>
              <w:rPr>
                <w:sz w:val="16"/>
              </w:rPr>
              <w:t>Y2</w:t>
            </w:r>
          </w:p>
        </w:tc>
        <w:tc>
          <w:tcPr>
            <w:tcW w:type="dxa" w:w="1224"/>
            <w:tcMar>
              <w:top w:w="70" w:type="dxa"/>
              <w:start w:w="100" w:type="dxa"/>
              <w:bottom w:w="70" w:type="dxa"/>
              <w:end w:w="100" w:type="dxa"/>
            </w:tcMar>
            <w:vAlign w:val="top"/>
            <w:shd w:fill="FAF8F6"/>
          </w:tcPr>
          <w:p>
            <w:pPr>
              <w:spacing w:after="40"/>
            </w:pPr>
            <w:r>
              <w:rPr>
                <w:sz w:val="16"/>
              </w:rPr>
              <w:t>10–12</w:t>
            </w:r>
          </w:p>
        </w:tc>
        <w:tc>
          <w:tcPr>
            <w:tcW w:type="dxa" w:w="1224"/>
            <w:tcMar>
              <w:top w:w="70" w:type="dxa"/>
              <w:start w:w="100" w:type="dxa"/>
              <w:bottom w:w="70" w:type="dxa"/>
              <w:end w:w="100" w:type="dxa"/>
            </w:tcMar>
            <w:vAlign w:val="top"/>
            <w:shd w:fill="FAF8F6"/>
          </w:tcPr>
          <w:p>
            <w:pPr>
              <w:spacing w:after="40"/>
            </w:pPr>
            <w:r>
              <w:rPr>
                <w:sz w:val="16"/>
              </w:rPr>
              <w:t>2–3</w:t>
            </w:r>
          </w:p>
        </w:tc>
        <w:tc>
          <w:tcPr>
            <w:tcW w:type="dxa" w:w="1944"/>
            <w:tcMar>
              <w:top w:w="70" w:type="dxa"/>
              <w:start w:w="100" w:type="dxa"/>
              <w:bottom w:w="70" w:type="dxa"/>
              <w:end w:w="100" w:type="dxa"/>
            </w:tcMar>
            <w:vAlign w:val="top"/>
            <w:shd w:fill="FAF8F6"/>
          </w:tcPr>
          <w:p>
            <w:pPr>
              <w:spacing w:after="40"/>
            </w:pPr>
            <w:r>
              <w:rPr>
                <w:sz w:val="16"/>
              </w:rPr>
              <w:t>Small external cohorts</w:t>
            </w:r>
          </w:p>
        </w:tc>
        <w:tc>
          <w:tcPr>
            <w:tcW w:type="dxa" w:w="1584"/>
            <w:tcMar>
              <w:top w:w="70" w:type="dxa"/>
              <w:start w:w="100" w:type="dxa"/>
              <w:bottom w:w="70" w:type="dxa"/>
              <w:end w:w="100" w:type="dxa"/>
            </w:tcMar>
            <w:vAlign w:val="top"/>
            <w:shd w:fill="FAF8F6"/>
          </w:tcPr>
          <w:p>
            <w:pPr>
              <w:spacing w:after="40"/>
            </w:pPr>
            <w:r>
              <w:rPr>
                <w:sz w:val="16"/>
              </w:rPr>
              <w:t>₦110m</w:t>
            </w:r>
          </w:p>
        </w:tc>
        <w:tc>
          <w:tcPr>
            <w:tcW w:type="dxa" w:w="1584"/>
            <w:tcMar>
              <w:top w:w="70" w:type="dxa"/>
              <w:start w:w="100" w:type="dxa"/>
              <w:bottom w:w="70" w:type="dxa"/>
              <w:end w:w="100" w:type="dxa"/>
            </w:tcMar>
            <w:vAlign w:val="top"/>
            <w:shd w:fill="FAF8F6"/>
          </w:tcPr>
          <w:p>
            <w:pPr>
              <w:spacing w:after="40"/>
            </w:pPr>
            <w:r>
              <w:rPr>
                <w:sz w:val="16"/>
              </w:rPr>
              <w:t>₦11.0m</w:t>
            </w:r>
          </w:p>
        </w:tc>
      </w:tr>
      <w:tr>
        <w:trPr>
          <w:cantSplit/>
        </w:trPr>
        <w:tc>
          <w:tcPr>
            <w:tcW w:type="dxa" w:w="792"/>
            <w:tcMar>
              <w:top w:w="70" w:type="dxa"/>
              <w:start w:w="100" w:type="dxa"/>
              <w:bottom w:w="70" w:type="dxa"/>
              <w:end w:w="100" w:type="dxa"/>
            </w:tcMar>
            <w:vAlign w:val="top"/>
          </w:tcPr>
          <w:p>
            <w:pPr>
              <w:spacing w:after="40"/>
            </w:pPr>
            <w:r>
              <w:rPr>
                <w:sz w:val="16"/>
              </w:rPr>
              <w:t>Y3</w:t>
            </w:r>
          </w:p>
        </w:tc>
        <w:tc>
          <w:tcPr>
            <w:tcW w:type="dxa" w:w="1224"/>
            <w:tcMar>
              <w:top w:w="70" w:type="dxa"/>
              <w:start w:w="100" w:type="dxa"/>
              <w:bottom w:w="70" w:type="dxa"/>
              <w:end w:w="100" w:type="dxa"/>
            </w:tcMar>
            <w:vAlign w:val="top"/>
          </w:tcPr>
          <w:p>
            <w:pPr>
              <w:spacing w:after="40"/>
            </w:pPr>
            <w:r>
              <w:rPr>
                <w:sz w:val="16"/>
              </w:rPr>
              <w:t>12–16</w:t>
            </w:r>
          </w:p>
        </w:tc>
        <w:tc>
          <w:tcPr>
            <w:tcW w:type="dxa" w:w="1224"/>
            <w:tcMar>
              <w:top w:w="70" w:type="dxa"/>
              <w:start w:w="100" w:type="dxa"/>
              <w:bottom w:w="70" w:type="dxa"/>
              <w:end w:w="100" w:type="dxa"/>
            </w:tcMar>
            <w:vAlign w:val="top"/>
          </w:tcPr>
          <w:p>
            <w:pPr>
              <w:spacing w:after="40"/>
            </w:pPr>
            <w:r>
              <w:rPr>
                <w:sz w:val="16"/>
              </w:rPr>
              <w:t>4</w:t>
            </w:r>
          </w:p>
        </w:tc>
        <w:tc>
          <w:tcPr>
            <w:tcW w:type="dxa" w:w="1944"/>
            <w:tcMar>
              <w:top w:w="70" w:type="dxa"/>
              <w:start w:w="100" w:type="dxa"/>
              <w:bottom w:w="70" w:type="dxa"/>
              <w:end w:w="100" w:type="dxa"/>
            </w:tcMar>
            <w:vAlign w:val="top"/>
          </w:tcPr>
          <w:p>
            <w:pPr>
              <w:spacing w:after="40"/>
            </w:pPr>
            <w:r>
              <w:rPr>
                <w:sz w:val="16"/>
              </w:rPr>
              <w:t>Academy commercial; OS bundled</w:t>
            </w:r>
          </w:p>
        </w:tc>
        <w:tc>
          <w:tcPr>
            <w:tcW w:type="dxa" w:w="1584"/>
            <w:tcMar>
              <w:top w:w="70" w:type="dxa"/>
              <w:start w:w="100" w:type="dxa"/>
              <w:bottom w:w="70" w:type="dxa"/>
              <w:end w:w="100" w:type="dxa"/>
            </w:tcMar>
            <w:vAlign w:val="top"/>
          </w:tcPr>
          <w:p>
            <w:pPr>
              <w:spacing w:after="40"/>
            </w:pPr>
            <w:r>
              <w:rPr>
                <w:sz w:val="16"/>
              </w:rPr>
              <w:t>₦180m</w:t>
            </w:r>
          </w:p>
        </w:tc>
        <w:tc>
          <w:tcPr>
            <w:tcW w:type="dxa" w:w="1584"/>
            <w:tcMar>
              <w:top w:w="70" w:type="dxa"/>
              <w:start w:w="100" w:type="dxa"/>
              <w:bottom w:w="70" w:type="dxa"/>
              <w:end w:w="100" w:type="dxa"/>
            </w:tcMar>
            <w:vAlign w:val="top"/>
          </w:tcPr>
          <w:p>
            <w:pPr>
              <w:spacing w:after="40"/>
            </w:pPr>
            <w:r>
              <w:rPr>
                <w:sz w:val="16"/>
              </w:rPr>
              <w:t>₦32.4m</w:t>
            </w:r>
          </w:p>
        </w:tc>
      </w:tr>
      <w:tr>
        <w:trPr>
          <w:cantSplit/>
        </w:trPr>
        <w:tc>
          <w:tcPr>
            <w:tcW w:type="dxa" w:w="792"/>
            <w:tcMar>
              <w:top w:w="70" w:type="dxa"/>
              <w:start w:w="100" w:type="dxa"/>
              <w:bottom w:w="70" w:type="dxa"/>
              <w:end w:w="100" w:type="dxa"/>
            </w:tcMar>
            <w:vAlign w:val="top"/>
            <w:shd w:fill="FAF8F6"/>
          </w:tcPr>
          <w:p>
            <w:pPr>
              <w:spacing w:after="40"/>
            </w:pPr>
            <w:r>
              <w:rPr>
                <w:sz w:val="16"/>
              </w:rPr>
              <w:t>Y4</w:t>
            </w:r>
          </w:p>
        </w:tc>
        <w:tc>
          <w:tcPr>
            <w:tcW w:type="dxa" w:w="1224"/>
            <w:tcMar>
              <w:top w:w="70" w:type="dxa"/>
              <w:start w:w="100" w:type="dxa"/>
              <w:bottom w:w="70" w:type="dxa"/>
              <w:end w:w="100" w:type="dxa"/>
            </w:tcMar>
            <w:vAlign w:val="top"/>
            <w:shd w:fill="FAF8F6"/>
          </w:tcPr>
          <w:p>
            <w:pPr>
              <w:spacing w:after="40"/>
            </w:pPr>
            <w:r>
              <w:rPr>
                <w:sz w:val="16"/>
              </w:rPr>
              <w:t>18–20</w:t>
            </w:r>
          </w:p>
        </w:tc>
        <w:tc>
          <w:tcPr>
            <w:tcW w:type="dxa" w:w="1224"/>
            <w:tcMar>
              <w:top w:w="70" w:type="dxa"/>
              <w:start w:w="100" w:type="dxa"/>
              <w:bottom w:w="70" w:type="dxa"/>
              <w:end w:w="100" w:type="dxa"/>
            </w:tcMar>
            <w:vAlign w:val="top"/>
            <w:shd w:fill="FAF8F6"/>
          </w:tcPr>
          <w:p>
            <w:pPr>
              <w:spacing w:after="40"/>
            </w:pPr>
            <w:r>
              <w:rPr>
                <w:sz w:val="16"/>
              </w:rPr>
              <w:t>5</w:t>
            </w:r>
          </w:p>
        </w:tc>
        <w:tc>
          <w:tcPr>
            <w:tcW w:type="dxa" w:w="1944"/>
            <w:tcMar>
              <w:top w:w="70" w:type="dxa"/>
              <w:start w:w="100" w:type="dxa"/>
              <w:bottom w:w="70" w:type="dxa"/>
              <w:end w:w="100" w:type="dxa"/>
            </w:tcMar>
            <w:vAlign w:val="top"/>
            <w:shd w:fill="FAF8F6"/>
          </w:tcPr>
          <w:p>
            <w:pPr>
              <w:spacing w:after="40"/>
            </w:pPr>
            <w:r>
              <w:rPr>
                <w:sz w:val="16"/>
              </w:rPr>
              <w:t>Partner delivery + managed OS</w:t>
            </w:r>
          </w:p>
        </w:tc>
        <w:tc>
          <w:tcPr>
            <w:tcW w:type="dxa" w:w="1584"/>
            <w:tcMar>
              <w:top w:w="70" w:type="dxa"/>
              <w:start w:w="100" w:type="dxa"/>
              <w:bottom w:w="70" w:type="dxa"/>
              <w:end w:w="100" w:type="dxa"/>
            </w:tcMar>
            <w:vAlign w:val="top"/>
            <w:shd w:fill="FAF8F6"/>
          </w:tcPr>
          <w:p>
            <w:pPr>
              <w:spacing w:after="40"/>
            </w:pPr>
            <w:r>
              <w:rPr>
                <w:sz w:val="16"/>
              </w:rPr>
              <w:t>₦260m</w:t>
            </w:r>
          </w:p>
        </w:tc>
        <w:tc>
          <w:tcPr>
            <w:tcW w:type="dxa" w:w="1584"/>
            <w:tcMar>
              <w:top w:w="70" w:type="dxa"/>
              <w:start w:w="100" w:type="dxa"/>
              <w:bottom w:w="70" w:type="dxa"/>
              <w:end w:w="100" w:type="dxa"/>
            </w:tcMar>
            <w:vAlign w:val="top"/>
            <w:shd w:fill="FAF8F6"/>
          </w:tcPr>
          <w:p>
            <w:pPr>
              <w:spacing w:after="40"/>
            </w:pPr>
            <w:r>
              <w:rPr>
                <w:sz w:val="16"/>
              </w:rPr>
              <w:t>₦62.4m</w:t>
            </w:r>
          </w:p>
        </w:tc>
      </w:tr>
      <w:tr>
        <w:trPr>
          <w:cantSplit/>
        </w:trPr>
        <w:tc>
          <w:tcPr>
            <w:tcW w:type="dxa" w:w="792"/>
            <w:tcMar>
              <w:top w:w="70" w:type="dxa"/>
              <w:start w:w="100" w:type="dxa"/>
              <w:bottom w:w="70" w:type="dxa"/>
              <w:end w:w="100" w:type="dxa"/>
            </w:tcMar>
            <w:vAlign w:val="top"/>
          </w:tcPr>
          <w:p>
            <w:pPr>
              <w:spacing w:after="40"/>
            </w:pPr>
            <w:r>
              <w:rPr>
                <w:sz w:val="16"/>
              </w:rPr>
              <w:t>Y5</w:t>
            </w:r>
          </w:p>
        </w:tc>
        <w:tc>
          <w:tcPr>
            <w:tcW w:type="dxa" w:w="1224"/>
            <w:tcMar>
              <w:top w:w="70" w:type="dxa"/>
              <w:start w:w="100" w:type="dxa"/>
              <w:bottom w:w="70" w:type="dxa"/>
              <w:end w:w="100" w:type="dxa"/>
            </w:tcMar>
            <w:vAlign w:val="top"/>
          </w:tcPr>
          <w:p>
            <w:pPr>
              <w:spacing w:after="40"/>
            </w:pPr>
            <w:r>
              <w:rPr>
                <w:sz w:val="16"/>
              </w:rPr>
              <w:t>24 flagship</w:t>
            </w:r>
          </w:p>
        </w:tc>
        <w:tc>
          <w:tcPr>
            <w:tcW w:type="dxa" w:w="1224"/>
            <w:tcMar>
              <w:top w:w="70" w:type="dxa"/>
              <w:start w:w="100" w:type="dxa"/>
              <w:bottom w:w="70" w:type="dxa"/>
              <w:end w:w="100" w:type="dxa"/>
            </w:tcMar>
            <w:vAlign w:val="top"/>
          </w:tcPr>
          <w:p>
            <w:pPr>
              <w:spacing w:after="40"/>
            </w:pPr>
            <w:r>
              <w:rPr>
                <w:sz w:val="16"/>
              </w:rPr>
              <w:t>6 at ~₦8m average</w:t>
            </w:r>
          </w:p>
        </w:tc>
        <w:tc>
          <w:tcPr>
            <w:tcW w:type="dxa" w:w="1944"/>
            <w:tcMar>
              <w:top w:w="70" w:type="dxa"/>
              <w:start w:w="100" w:type="dxa"/>
              <w:bottom w:w="70" w:type="dxa"/>
              <w:end w:w="100" w:type="dxa"/>
            </w:tcMar>
            <w:vAlign w:val="top"/>
          </w:tcPr>
          <w:p>
            <w:pPr>
              <w:spacing w:after="40"/>
            </w:pPr>
            <w:r>
              <w:rPr>
                <w:sz w:val="16"/>
              </w:rPr>
              <w:t>~₦48m combined</w:t>
            </w:r>
          </w:p>
        </w:tc>
        <w:tc>
          <w:tcPr>
            <w:tcW w:type="dxa" w:w="1584"/>
            <w:tcMar>
              <w:top w:w="70" w:type="dxa"/>
              <w:start w:w="100" w:type="dxa"/>
              <w:bottom w:w="70" w:type="dxa"/>
              <w:end w:w="100" w:type="dxa"/>
            </w:tcMar>
            <w:vAlign w:val="top"/>
          </w:tcPr>
          <w:p>
            <w:pPr>
              <w:spacing w:after="40"/>
            </w:pPr>
            <w:r>
              <w:rPr>
                <w:sz w:val="16"/>
              </w:rPr>
              <w:t>₦360m</w:t>
            </w:r>
          </w:p>
        </w:tc>
        <w:tc>
          <w:tcPr>
            <w:tcW w:type="dxa" w:w="1584"/>
            <w:tcMar>
              <w:top w:w="70" w:type="dxa"/>
              <w:start w:w="100" w:type="dxa"/>
              <w:bottom w:w="70" w:type="dxa"/>
              <w:end w:w="100" w:type="dxa"/>
            </w:tcMar>
            <w:vAlign w:val="top"/>
          </w:tcPr>
          <w:p>
            <w:pPr>
              <w:spacing w:after="40"/>
            </w:pPr>
            <w:r>
              <w:rPr>
                <w:sz w:val="16"/>
              </w:rPr>
              <w:t>₦100.8m</w:t>
            </w:r>
          </w:p>
        </w:tc>
      </w:tr>
    </w:tbl>
    <w:p>
      <w:pPr>
        <w:spacing w:after="20"/>
      </w:pP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1440"/>
            <w:shd w:fill="B79F85"/>
            <w:tcMar>
              <w:top w:w="70" w:type="dxa"/>
              <w:start w:w="100" w:type="dxa"/>
              <w:bottom w:w="70" w:type="dxa"/>
              <w:end w:w="100" w:type="dxa"/>
            </w:tcMar>
          </w:tcPr>
          <w:p>
            <w:r>
              <w:rPr>
                <w:b/>
                <w:sz w:val="16"/>
              </w:rPr>
              <w:t>Scenario</w:t>
            </w:r>
          </w:p>
        </w:tc>
        <w:tc>
          <w:tcPr>
            <w:tcW w:type="dxa" w:w="1728"/>
            <w:shd w:fill="B79F85"/>
            <w:tcMar>
              <w:top w:w="70" w:type="dxa"/>
              <w:start w:w="100" w:type="dxa"/>
              <w:bottom w:w="70" w:type="dxa"/>
              <w:end w:w="100" w:type="dxa"/>
            </w:tcMar>
          </w:tcPr>
          <w:p>
            <w:r>
              <w:rPr>
                <w:b/>
                <w:sz w:val="16"/>
              </w:rPr>
              <w:t>Y5 revenue</w:t>
            </w:r>
          </w:p>
        </w:tc>
        <w:tc>
          <w:tcPr>
            <w:tcW w:type="dxa" w:w="2016"/>
            <w:shd w:fill="B79F85"/>
            <w:tcMar>
              <w:top w:w="70" w:type="dxa"/>
              <w:start w:w="100" w:type="dxa"/>
              <w:bottom w:w="70" w:type="dxa"/>
              <w:end w:w="100" w:type="dxa"/>
            </w:tcMar>
          </w:tcPr>
          <w:p>
            <w:r>
              <w:rPr>
                <w:b/>
                <w:sz w:val="16"/>
              </w:rPr>
              <w:t>Y5 EBITDA margin</w:t>
            </w:r>
          </w:p>
        </w:tc>
        <w:tc>
          <w:tcPr>
            <w:tcW w:type="dxa" w:w="4464"/>
            <w:shd w:fill="B79F85"/>
            <w:tcMar>
              <w:top w:w="70" w:type="dxa"/>
              <w:start w:w="100" w:type="dxa"/>
              <w:bottom w:w="70" w:type="dxa"/>
              <w:end w:w="100" w:type="dxa"/>
            </w:tcMar>
          </w:tcPr>
          <w:p>
            <w:r>
              <w:rPr>
                <w:b/>
                <w:sz w:val="16"/>
              </w:rPr>
              <w:t>Implication</w:t>
            </w:r>
          </w:p>
        </w:tc>
      </w:tr>
      <w:tr>
        <w:trPr>
          <w:cantSplit/>
        </w:trPr>
        <w:tc>
          <w:tcPr>
            <w:tcW w:type="dxa" w:w="1440"/>
            <w:tcMar>
              <w:top w:w="70" w:type="dxa"/>
              <w:start w:w="100" w:type="dxa"/>
              <w:bottom w:w="70" w:type="dxa"/>
              <w:end w:w="100" w:type="dxa"/>
            </w:tcMar>
            <w:vAlign w:val="top"/>
          </w:tcPr>
          <w:p>
            <w:pPr>
              <w:spacing w:after="40"/>
            </w:pPr>
            <w:r>
              <w:rPr>
                <w:sz w:val="16"/>
              </w:rPr>
              <w:t>Downside</w:t>
            </w:r>
          </w:p>
        </w:tc>
        <w:tc>
          <w:tcPr>
            <w:tcW w:type="dxa" w:w="1728"/>
            <w:tcMar>
              <w:top w:w="70" w:type="dxa"/>
              <w:start w:w="100" w:type="dxa"/>
              <w:bottom w:w="70" w:type="dxa"/>
              <w:end w:w="100" w:type="dxa"/>
            </w:tcMar>
            <w:vAlign w:val="top"/>
          </w:tcPr>
          <w:p>
            <w:pPr>
              <w:spacing w:after="40"/>
            </w:pPr>
            <w:r>
              <w:rPr>
                <w:sz w:val="16"/>
              </w:rPr>
              <w:t>₦220m</w:t>
            </w:r>
          </w:p>
        </w:tc>
        <w:tc>
          <w:tcPr>
            <w:tcW w:type="dxa" w:w="2016"/>
            <w:tcMar>
              <w:top w:w="70" w:type="dxa"/>
              <w:start w:w="100" w:type="dxa"/>
              <w:bottom w:w="70" w:type="dxa"/>
              <w:end w:w="100" w:type="dxa"/>
            </w:tcMar>
            <w:vAlign w:val="top"/>
          </w:tcPr>
          <w:p>
            <w:pPr>
              <w:spacing w:after="40"/>
            </w:pPr>
            <w:r>
              <w:rPr>
                <w:sz w:val="16"/>
              </w:rPr>
              <w:t>15%</w:t>
            </w:r>
          </w:p>
        </w:tc>
        <w:tc>
          <w:tcPr>
            <w:tcW w:type="dxa" w:w="4464"/>
            <w:tcMar>
              <w:top w:w="70" w:type="dxa"/>
              <w:start w:w="100" w:type="dxa"/>
              <w:bottom w:w="70" w:type="dxa"/>
              <w:end w:w="100" w:type="dxa"/>
            </w:tcMar>
            <w:vAlign w:val="top"/>
          </w:tcPr>
          <w:p>
            <w:pPr>
              <w:spacing w:after="40"/>
            </w:pPr>
            <w:r>
              <w:rPr>
                <w:sz w:val="16"/>
              </w:rPr>
              <w:t>₦33m EBITDA; protect cash and focus Lagos/retainers</w:t>
            </w:r>
          </w:p>
        </w:tc>
      </w:tr>
      <w:tr>
        <w:trPr>
          <w:cantSplit/>
        </w:trPr>
        <w:tc>
          <w:tcPr>
            <w:tcW w:type="dxa" w:w="1440"/>
            <w:tcMar>
              <w:top w:w="70" w:type="dxa"/>
              <w:start w:w="100" w:type="dxa"/>
              <w:bottom w:w="70" w:type="dxa"/>
              <w:end w:w="100" w:type="dxa"/>
            </w:tcMar>
            <w:vAlign w:val="top"/>
            <w:shd w:fill="FAF8F6"/>
          </w:tcPr>
          <w:p>
            <w:pPr>
              <w:spacing w:after="40"/>
            </w:pPr>
            <w:r>
              <w:rPr>
                <w:sz w:val="16"/>
              </w:rPr>
              <w:t>Base</w:t>
            </w:r>
          </w:p>
        </w:tc>
        <w:tc>
          <w:tcPr>
            <w:tcW w:type="dxa" w:w="1728"/>
            <w:tcMar>
              <w:top w:w="70" w:type="dxa"/>
              <w:start w:w="100" w:type="dxa"/>
              <w:bottom w:w="70" w:type="dxa"/>
              <w:end w:w="100" w:type="dxa"/>
            </w:tcMar>
            <w:vAlign w:val="top"/>
            <w:shd w:fill="FAF8F6"/>
          </w:tcPr>
          <w:p>
            <w:pPr>
              <w:spacing w:after="40"/>
            </w:pPr>
            <w:r>
              <w:rPr>
                <w:sz w:val="16"/>
              </w:rPr>
              <w:t>₦360m</w:t>
            </w:r>
          </w:p>
        </w:tc>
        <w:tc>
          <w:tcPr>
            <w:tcW w:type="dxa" w:w="2016"/>
            <w:tcMar>
              <w:top w:w="70" w:type="dxa"/>
              <w:start w:w="100" w:type="dxa"/>
              <w:bottom w:w="70" w:type="dxa"/>
              <w:end w:w="100" w:type="dxa"/>
            </w:tcMar>
            <w:vAlign w:val="top"/>
            <w:shd w:fill="FAF8F6"/>
          </w:tcPr>
          <w:p>
            <w:pPr>
              <w:spacing w:after="40"/>
            </w:pPr>
            <w:r>
              <w:rPr>
                <w:sz w:val="16"/>
              </w:rPr>
              <w:t>28%</w:t>
            </w:r>
          </w:p>
        </w:tc>
        <w:tc>
          <w:tcPr>
            <w:tcW w:type="dxa" w:w="4464"/>
            <w:tcMar>
              <w:top w:w="70" w:type="dxa"/>
              <w:start w:w="100" w:type="dxa"/>
              <w:bottom w:w="70" w:type="dxa"/>
              <w:end w:w="100" w:type="dxa"/>
            </w:tcMar>
            <w:vAlign w:val="top"/>
            <w:shd w:fill="FAF8F6"/>
          </w:tcPr>
          <w:p>
            <w:pPr>
              <w:spacing w:after="40"/>
            </w:pPr>
            <w:r>
              <w:rPr>
                <w:sz w:val="16"/>
              </w:rPr>
              <w:t>₦100.8m EBITDA; ~₦504m at 5× planning multiple</w:t>
            </w:r>
          </w:p>
        </w:tc>
      </w:tr>
      <w:tr>
        <w:trPr>
          <w:cantSplit/>
        </w:trPr>
        <w:tc>
          <w:tcPr>
            <w:tcW w:type="dxa" w:w="1440"/>
            <w:tcMar>
              <w:top w:w="70" w:type="dxa"/>
              <w:start w:w="100" w:type="dxa"/>
              <w:bottom w:w="70" w:type="dxa"/>
              <w:end w:w="100" w:type="dxa"/>
            </w:tcMar>
            <w:vAlign w:val="top"/>
          </w:tcPr>
          <w:p>
            <w:pPr>
              <w:spacing w:after="40"/>
            </w:pPr>
            <w:r>
              <w:rPr>
                <w:sz w:val="16"/>
              </w:rPr>
              <w:t>Upside</w:t>
            </w:r>
          </w:p>
        </w:tc>
        <w:tc>
          <w:tcPr>
            <w:tcW w:type="dxa" w:w="1728"/>
            <w:tcMar>
              <w:top w:w="70" w:type="dxa"/>
              <w:start w:w="100" w:type="dxa"/>
              <w:bottom w:w="70" w:type="dxa"/>
              <w:end w:w="100" w:type="dxa"/>
            </w:tcMar>
            <w:vAlign w:val="top"/>
          </w:tcPr>
          <w:p>
            <w:pPr>
              <w:spacing w:after="40"/>
            </w:pPr>
            <w:r>
              <w:rPr>
                <w:sz w:val="16"/>
              </w:rPr>
              <w:t>₦500m</w:t>
            </w:r>
          </w:p>
        </w:tc>
        <w:tc>
          <w:tcPr>
            <w:tcW w:type="dxa" w:w="2016"/>
            <w:tcMar>
              <w:top w:w="70" w:type="dxa"/>
              <w:start w:w="100" w:type="dxa"/>
              <w:bottom w:w="70" w:type="dxa"/>
              <w:end w:w="100" w:type="dxa"/>
            </w:tcMar>
            <w:vAlign w:val="top"/>
          </w:tcPr>
          <w:p>
            <w:pPr>
              <w:spacing w:after="40"/>
            </w:pPr>
            <w:r>
              <w:rPr>
                <w:sz w:val="16"/>
              </w:rPr>
              <w:t>30%</w:t>
            </w:r>
          </w:p>
        </w:tc>
        <w:tc>
          <w:tcPr>
            <w:tcW w:type="dxa" w:w="4464"/>
            <w:tcMar>
              <w:top w:w="70" w:type="dxa"/>
              <w:start w:w="100" w:type="dxa"/>
              <w:bottom w:w="70" w:type="dxa"/>
              <w:end w:w="100" w:type="dxa"/>
            </w:tcMar>
            <w:vAlign w:val="top"/>
          </w:tcPr>
          <w:p>
            <w:pPr>
              <w:spacing w:after="40"/>
            </w:pPr>
            <w:r>
              <w:rPr>
                <w:sz w:val="16"/>
              </w:rPr>
              <w:t>Requires proven regional delivery and recurring product revenue; not budget baseline</w:t>
            </w:r>
          </w:p>
        </w:tc>
      </w:tr>
    </w:tbl>
    <w:p>
      <w:pPr>
        <w:spacing w:after="20"/>
      </w:pPr>
    </w:p>
    <w:p>
      <w:pPr>
        <w:pStyle w:val="Heading2"/>
        <w:keepNext/>
      </w:pPr>
      <w:r>
        <w:t>4.4 Capital and current-state truth</w:t>
      </w: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EVIDENCE GAP  </w:t>
            </w:r>
            <w:r>
              <w:t>No verified opening cash, current burn, debt, tax position, historic revenue or CEO capital contribution was supplied. This document therefore does not state them as facts. For prudence, growth capital is treated as unavailable until a finance pack verifies bank balances, liabilities and twelve months of transactions.</w:t>
            </w:r>
          </w:p>
        </w:tc>
      </w:tr>
    </w:tbl>
    <w:p>
      <w:pPr>
        <w:pStyle w:val="ListBullet"/>
      </w:pPr>
      <w:r>
        <w:t>Bootstrap product–market proof with client deposits and tightly controlled fixed cost.</w:t>
      </w:r>
    </w:p>
    <w:p>
      <w:pPr>
        <w:pStyle w:val="ListBullet"/>
      </w:pPr>
      <w:r>
        <w:t>Create a 13-week cash forecast before accepting the first production engagement; refresh weekly.</w:t>
      </w:r>
    </w:p>
    <w:p>
      <w:pPr>
        <w:pStyle w:val="ListBullet"/>
      </w:pPr>
      <w:r>
        <w:t>Do not seek equity for ordinary working capital. Consider a short working-capital line only after signed contracts and demonstrated collection.</w:t>
      </w:r>
    </w:p>
    <w:p>
      <w:pPr>
        <w:pStyle w:val="ListBullet"/>
      </w:pPr>
      <w:r>
        <w:t>A 50% revenue shock response is: freeze non-critical hiring, preserve delivery/safety roles, renegotiate discretionary commitments, collect receivables, reduce CEO drawings, activate retainer/advisory pipeline and protect the six-month reserve.</w:t>
      </w:r>
    </w:p>
    <w:p>
      <w:pPr>
        <w:pStyle w:val="ListBullet"/>
      </w:pPr>
      <w:r>
        <w:t>Any external investor case must be based on audited/verified accounts, recurring revenue, governance, IP ownership and a board-approved use of funds; returns are not offered in this draft.</w:t>
      </w:r>
    </w:p>
    <w:p>
      <w:pPr>
        <w:pStyle w:val="Heading1"/>
        <w:keepNext/>
      </w:pPr>
      <w:r>
        <w:t>Part 5 — Strategy, growth, risk and legacy</w:t>
      </w:r>
    </w:p>
    <w:p>
      <w:pPr>
        <w:pStyle w:val="Heading2"/>
        <w:keepNext/>
      </w:pPr>
      <w:r>
        <w:t>5.1 Growth sequence</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440"/>
            <w:shd w:fill="B79F85"/>
            <w:tcMar>
              <w:top w:w="70" w:type="dxa"/>
              <w:start w:w="100" w:type="dxa"/>
              <w:bottom w:w="70" w:type="dxa"/>
              <w:end w:w="100" w:type="dxa"/>
            </w:tcMar>
          </w:tcPr>
          <w:p>
            <w:r>
              <w:rPr>
                <w:b/>
                <w:sz w:val="16"/>
              </w:rPr>
              <w:t>Horizon</w:t>
            </w:r>
          </w:p>
        </w:tc>
        <w:tc>
          <w:tcPr>
            <w:tcW w:type="dxa" w:w="4608"/>
            <w:shd w:fill="B79F85"/>
            <w:tcMar>
              <w:top w:w="70" w:type="dxa"/>
              <w:start w:w="100" w:type="dxa"/>
              <w:bottom w:w="70" w:type="dxa"/>
              <w:end w:w="100" w:type="dxa"/>
            </w:tcMar>
          </w:tcPr>
          <w:p>
            <w:r>
              <w:rPr>
                <w:b/>
                <w:sz w:val="16"/>
              </w:rPr>
              <w:t>Priority</w:t>
            </w:r>
          </w:p>
        </w:tc>
        <w:tc>
          <w:tcPr>
            <w:tcW w:type="dxa" w:w="3600"/>
            <w:shd w:fill="B79F85"/>
            <w:tcMar>
              <w:top w:w="70" w:type="dxa"/>
              <w:start w:w="100" w:type="dxa"/>
              <w:bottom w:w="70" w:type="dxa"/>
              <w:end w:w="100" w:type="dxa"/>
            </w:tcMar>
          </w:tcPr>
          <w:p>
            <w:r>
              <w:rPr>
                <w:b/>
                <w:sz w:val="16"/>
              </w:rPr>
              <w:t>Gate before moving on</w:t>
            </w:r>
          </w:p>
        </w:tc>
      </w:tr>
      <w:tr>
        <w:trPr>
          <w:cantSplit/>
        </w:trPr>
        <w:tc>
          <w:tcPr>
            <w:tcW w:type="dxa" w:w="1440"/>
            <w:tcMar>
              <w:top w:w="70" w:type="dxa"/>
              <w:start w:w="100" w:type="dxa"/>
              <w:bottom w:w="70" w:type="dxa"/>
              <w:end w:w="100" w:type="dxa"/>
            </w:tcMar>
            <w:vAlign w:val="top"/>
          </w:tcPr>
          <w:p>
            <w:pPr>
              <w:spacing w:after="40"/>
            </w:pPr>
            <w:r>
              <w:rPr>
                <w:sz w:val="16"/>
              </w:rPr>
              <w:t>0–12 months</w:t>
            </w:r>
          </w:p>
        </w:tc>
        <w:tc>
          <w:tcPr>
            <w:tcW w:type="dxa" w:w="4608"/>
            <w:tcMar>
              <w:top w:w="70" w:type="dxa"/>
              <w:start w:w="100" w:type="dxa"/>
              <w:bottom w:w="70" w:type="dxa"/>
              <w:end w:w="100" w:type="dxa"/>
            </w:tcMar>
            <w:vAlign w:val="top"/>
          </w:tcPr>
          <w:p>
            <w:pPr>
              <w:spacing w:after="40"/>
            </w:pPr>
            <w:r>
              <w:rPr>
                <w:sz w:val="16"/>
              </w:rPr>
              <w:t>Prove Lagos offer, pricing and delivery; 6–8 paid engagements; publish no unverified claims</w:t>
            </w:r>
          </w:p>
        </w:tc>
        <w:tc>
          <w:tcPr>
            <w:tcW w:type="dxa" w:w="3600"/>
            <w:tcMar>
              <w:top w:w="70" w:type="dxa"/>
              <w:start w:w="100" w:type="dxa"/>
              <w:bottom w:w="70" w:type="dxa"/>
              <w:end w:w="100" w:type="dxa"/>
            </w:tcMar>
            <w:vAlign w:val="top"/>
          </w:tcPr>
          <w:p>
            <w:pPr>
              <w:spacing w:after="40"/>
            </w:pPr>
            <w:r>
              <w:rPr>
                <w:sz w:val="16"/>
              </w:rPr>
              <w:t>Client evidence, positive contribution margin, controlled incidents, trained core team</w:t>
            </w:r>
          </w:p>
        </w:tc>
      </w:tr>
      <w:tr>
        <w:trPr>
          <w:cantSplit/>
        </w:trPr>
        <w:tc>
          <w:tcPr>
            <w:tcW w:type="dxa" w:w="1440"/>
            <w:tcMar>
              <w:top w:w="70" w:type="dxa"/>
              <w:start w:w="100" w:type="dxa"/>
              <w:bottom w:w="70" w:type="dxa"/>
              <w:end w:w="100" w:type="dxa"/>
            </w:tcMar>
            <w:vAlign w:val="top"/>
            <w:shd w:fill="FAF8F6"/>
          </w:tcPr>
          <w:p>
            <w:pPr>
              <w:spacing w:after="40"/>
            </w:pPr>
            <w:r>
              <w:rPr>
                <w:sz w:val="16"/>
              </w:rPr>
              <w:t>12–24 months</w:t>
            </w:r>
          </w:p>
        </w:tc>
        <w:tc>
          <w:tcPr>
            <w:tcW w:type="dxa" w:w="4608"/>
            <w:tcMar>
              <w:top w:w="70" w:type="dxa"/>
              <w:start w:w="100" w:type="dxa"/>
              <w:bottom w:w="70" w:type="dxa"/>
              <w:end w:w="100" w:type="dxa"/>
            </w:tcMar>
            <w:vAlign w:val="top"/>
            <w:shd w:fill="FAF8F6"/>
          </w:tcPr>
          <w:p>
            <w:pPr>
              <w:spacing w:after="40"/>
            </w:pPr>
            <w:r>
              <w:rPr>
                <w:sz w:val="16"/>
              </w:rPr>
              <w:t>Deepen referrals, retainers and organiser/venue partnerships; delegate to Event Director</w:t>
            </w:r>
          </w:p>
        </w:tc>
        <w:tc>
          <w:tcPr>
            <w:tcW w:type="dxa" w:w="3600"/>
            <w:tcMar>
              <w:top w:w="70" w:type="dxa"/>
              <w:start w:w="100" w:type="dxa"/>
              <w:bottom w:w="70" w:type="dxa"/>
              <w:end w:w="100" w:type="dxa"/>
            </w:tcMar>
            <w:vAlign w:val="top"/>
            <w:shd w:fill="FAF8F6"/>
          </w:tcPr>
          <w:p>
            <w:pPr>
              <w:spacing w:after="40"/>
            </w:pPr>
            <w:r>
              <w:rPr>
                <w:sz w:val="16"/>
              </w:rPr>
              <w:t>Repeat revenue, quality stable without constant CEO intervention</w:t>
            </w:r>
          </w:p>
        </w:tc>
      </w:tr>
      <w:tr>
        <w:trPr>
          <w:cantSplit/>
        </w:trPr>
        <w:tc>
          <w:tcPr>
            <w:tcW w:type="dxa" w:w="1440"/>
            <w:tcMar>
              <w:top w:w="70" w:type="dxa"/>
              <w:start w:w="100" w:type="dxa"/>
              <w:bottom w:w="70" w:type="dxa"/>
              <w:end w:w="100" w:type="dxa"/>
            </w:tcMar>
            <w:vAlign w:val="top"/>
          </w:tcPr>
          <w:p>
            <w:pPr>
              <w:spacing w:after="40"/>
            </w:pPr>
            <w:r>
              <w:rPr>
                <w:sz w:val="16"/>
              </w:rPr>
              <w:t>24–36 months</w:t>
            </w:r>
          </w:p>
        </w:tc>
        <w:tc>
          <w:tcPr>
            <w:tcW w:type="dxa" w:w="4608"/>
            <w:tcMar>
              <w:top w:w="70" w:type="dxa"/>
              <w:start w:w="100" w:type="dxa"/>
              <w:bottom w:w="70" w:type="dxa"/>
              <w:end w:w="100" w:type="dxa"/>
            </w:tcMar>
            <w:vAlign w:val="top"/>
          </w:tcPr>
          <w:p>
            <w:pPr>
              <w:spacing w:after="40"/>
            </w:pPr>
            <w:r>
              <w:rPr>
                <w:sz w:val="16"/>
              </w:rPr>
              <w:t>Commercial Academy cohorts; second event team; Abuja/other-city pilots</w:t>
            </w:r>
          </w:p>
        </w:tc>
        <w:tc>
          <w:tcPr>
            <w:tcW w:type="dxa" w:w="3600"/>
            <w:tcMar>
              <w:top w:w="70" w:type="dxa"/>
              <w:start w:w="100" w:type="dxa"/>
              <w:bottom w:w="70" w:type="dxa"/>
              <w:end w:w="100" w:type="dxa"/>
            </w:tcMar>
            <w:vAlign w:val="top"/>
          </w:tcPr>
          <w:p>
            <w:pPr>
              <w:spacing w:after="40"/>
            </w:pPr>
            <w:r>
              <w:rPr>
                <w:sz w:val="16"/>
              </w:rPr>
              <w:t>Partner audit, demand evidence, unit economics and local authority network</w:t>
            </w:r>
          </w:p>
        </w:tc>
      </w:tr>
      <w:tr>
        <w:trPr>
          <w:cantSplit/>
        </w:trPr>
        <w:tc>
          <w:tcPr>
            <w:tcW w:type="dxa" w:w="1440"/>
            <w:tcMar>
              <w:top w:w="70" w:type="dxa"/>
              <w:start w:w="100" w:type="dxa"/>
              <w:bottom w:w="70" w:type="dxa"/>
              <w:end w:w="100" w:type="dxa"/>
            </w:tcMar>
            <w:vAlign w:val="top"/>
            <w:shd w:fill="FAF8F6"/>
          </w:tcPr>
          <w:p>
            <w:pPr>
              <w:spacing w:after="40"/>
            </w:pPr>
            <w:r>
              <w:rPr>
                <w:sz w:val="16"/>
              </w:rPr>
              <w:t>36–60 months</w:t>
            </w:r>
          </w:p>
        </w:tc>
        <w:tc>
          <w:tcPr>
            <w:tcW w:type="dxa" w:w="4608"/>
            <w:tcMar>
              <w:top w:w="70" w:type="dxa"/>
              <w:start w:w="100" w:type="dxa"/>
              <w:bottom w:w="70" w:type="dxa"/>
              <w:end w:w="100" w:type="dxa"/>
            </w:tcMar>
            <w:vAlign w:val="top"/>
            <w:shd w:fill="FAF8F6"/>
          </w:tcPr>
          <w:p>
            <w:pPr>
              <w:spacing w:after="40"/>
            </w:pPr>
            <w:r>
              <w:rPr>
                <w:sz w:val="16"/>
              </w:rPr>
              <w:t>Destination network and managed OS revenue; institutional thought leadership</w:t>
            </w:r>
          </w:p>
        </w:tc>
        <w:tc>
          <w:tcPr>
            <w:tcW w:type="dxa" w:w="3600"/>
            <w:tcMar>
              <w:top w:w="70" w:type="dxa"/>
              <w:start w:w="100" w:type="dxa"/>
              <w:bottom w:w="70" w:type="dxa"/>
              <w:end w:w="100" w:type="dxa"/>
            </w:tcMar>
            <w:vAlign w:val="top"/>
            <w:shd w:fill="FAF8F6"/>
          </w:tcPr>
          <w:p>
            <w:pPr>
              <w:spacing w:after="40"/>
            </w:pPr>
            <w:r>
              <w:rPr>
                <w:sz w:val="16"/>
              </w:rPr>
              <w:t>Security, privacy, service and financial acceptance at scale</w:t>
            </w:r>
          </w:p>
        </w:tc>
      </w:tr>
    </w:tbl>
    <w:p>
      <w:pPr>
        <w:spacing w:after="20"/>
      </w:pPr>
    </w:p>
    <w:p>
      <w:r>
        <w:t>Growth comes first from higher-quality demand and repeatability, then volume. Acquisition is account-based and referral-led: a named list of family offices, premium organisers, luxury venues, executive offices and trusted advisers; private briefings; useful research; and post-event introductions requested only after value is confirmed. Paid mass advertising is secondary.</w:t>
      </w:r>
    </w:p>
    <w:p>
      <w:pPr>
        <w:pStyle w:val="Heading2"/>
        <w:keepNext/>
      </w:pPr>
      <w:r>
        <w:t>5.2 Partnerships and acquisitions</w:t>
      </w:r>
    </w:p>
    <w:p>
      <w:r>
        <w:t>Priority partners are premium venues/hotels, event planners and producers, security and medical providers, mobility/logistics providers, accessibility specialists, cultural/protocol authorities, luxury travel/concierge firms, insurers and professional advisers. Every partner must pass capability, conduct, privacy, safety, financial and reputational due diligence. No referral fee may secretly distort client advice.</w:t>
      </w:r>
    </w:p>
    <w:p>
      <w:r>
        <w:t>No acquisition is recommended before Year 3. Later candidates are a small guest-staffing/training operation, a protocol advisory practice or an event-technology capability—but only when the acquisition adds verified talent, clients or IP and can meet Maison Doclar standards without founder dependency.</w:t>
      </w:r>
    </w:p>
    <w:p>
      <w:pPr>
        <w:pStyle w:val="Heading2"/>
        <w:keepNext/>
      </w:pPr>
      <w:r>
        <w:t>5.3 Enterprise risk register</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2088"/>
            <w:shd w:fill="B79F85"/>
            <w:tcMar>
              <w:top w:w="70" w:type="dxa"/>
              <w:start w:w="100" w:type="dxa"/>
              <w:bottom w:w="70" w:type="dxa"/>
              <w:end w:w="100" w:type="dxa"/>
            </w:tcMar>
          </w:tcPr>
          <w:p>
            <w:r>
              <w:rPr>
                <w:b/>
                <w:sz w:val="15"/>
              </w:rPr>
              <w:t>Risk</w:t>
            </w:r>
          </w:p>
        </w:tc>
        <w:tc>
          <w:tcPr>
            <w:tcW w:type="dxa" w:w="1080"/>
            <w:shd w:fill="B79F85"/>
            <w:tcMar>
              <w:top w:w="70" w:type="dxa"/>
              <w:start w:w="100" w:type="dxa"/>
              <w:bottom w:w="70" w:type="dxa"/>
              <w:end w:w="100" w:type="dxa"/>
            </w:tcMar>
          </w:tcPr>
          <w:p>
            <w:r>
              <w:rPr>
                <w:b/>
                <w:sz w:val="15"/>
              </w:rPr>
              <w:t>Likelihood</w:t>
            </w:r>
          </w:p>
        </w:tc>
        <w:tc>
          <w:tcPr>
            <w:tcW w:type="dxa" w:w="936"/>
            <w:shd w:fill="B79F85"/>
            <w:tcMar>
              <w:top w:w="70" w:type="dxa"/>
              <w:start w:w="100" w:type="dxa"/>
              <w:bottom w:w="70" w:type="dxa"/>
              <w:end w:w="100" w:type="dxa"/>
            </w:tcMar>
          </w:tcPr>
          <w:p>
            <w:r>
              <w:rPr>
                <w:b/>
                <w:sz w:val="15"/>
              </w:rPr>
              <w:t>Impact</w:t>
            </w:r>
          </w:p>
        </w:tc>
        <w:tc>
          <w:tcPr>
            <w:tcW w:type="dxa" w:w="5256"/>
            <w:shd w:fill="B79F85"/>
            <w:tcMar>
              <w:top w:w="70" w:type="dxa"/>
              <w:start w:w="100" w:type="dxa"/>
              <w:bottom w:w="70" w:type="dxa"/>
              <w:end w:w="100" w:type="dxa"/>
            </w:tcMar>
          </w:tcPr>
          <w:p>
            <w:r>
              <w:rPr>
                <w:b/>
                <w:sz w:val="15"/>
              </w:rPr>
              <w:t>Primary treatment</w:t>
            </w:r>
          </w:p>
        </w:tc>
      </w:tr>
      <w:tr>
        <w:trPr>
          <w:cantSplit/>
        </w:trPr>
        <w:tc>
          <w:tcPr>
            <w:tcW w:type="dxa" w:w="2088"/>
            <w:tcMar>
              <w:top w:w="70" w:type="dxa"/>
              <w:start w:w="100" w:type="dxa"/>
              <w:bottom w:w="70" w:type="dxa"/>
              <w:end w:w="100" w:type="dxa"/>
            </w:tcMar>
            <w:vAlign w:val="top"/>
          </w:tcPr>
          <w:p>
            <w:pPr>
              <w:spacing w:after="40"/>
            </w:pPr>
            <w:r>
              <w:rPr>
                <w:sz w:val="15"/>
              </w:rPr>
              <w:t>Reputational/service failure</w:t>
            </w:r>
          </w:p>
        </w:tc>
        <w:tc>
          <w:tcPr>
            <w:tcW w:type="dxa" w:w="1080"/>
            <w:tcMar>
              <w:top w:w="70" w:type="dxa"/>
              <w:start w:w="100" w:type="dxa"/>
              <w:bottom w:w="70" w:type="dxa"/>
              <w:end w:w="100" w:type="dxa"/>
            </w:tcMar>
            <w:vAlign w:val="top"/>
          </w:tcPr>
          <w:p>
            <w:pPr>
              <w:spacing w:after="40"/>
            </w:pPr>
            <w:r>
              <w:rPr>
                <w:sz w:val="15"/>
              </w:rPr>
              <w:t>Medium</w:t>
            </w:r>
          </w:p>
        </w:tc>
        <w:tc>
          <w:tcPr>
            <w:tcW w:type="dxa" w:w="936"/>
            <w:tcMar>
              <w:top w:w="70" w:type="dxa"/>
              <w:start w:w="100" w:type="dxa"/>
              <w:bottom w:w="70" w:type="dxa"/>
              <w:end w:w="100" w:type="dxa"/>
            </w:tcMar>
            <w:vAlign w:val="top"/>
          </w:tcPr>
          <w:p>
            <w:pPr>
              <w:spacing w:after="40"/>
            </w:pPr>
            <w:r>
              <w:rPr>
                <w:sz w:val="15"/>
              </w:rPr>
              <w:t>Severe</w:t>
            </w:r>
          </w:p>
        </w:tc>
        <w:tc>
          <w:tcPr>
            <w:tcW w:type="dxa" w:w="5256"/>
            <w:tcMar>
              <w:top w:w="70" w:type="dxa"/>
              <w:start w:w="100" w:type="dxa"/>
              <w:bottom w:w="70" w:type="dxa"/>
              <w:end w:w="100" w:type="dxa"/>
            </w:tcMar>
            <w:vAlign w:val="top"/>
          </w:tcPr>
          <w:p>
            <w:pPr>
              <w:spacing w:after="40"/>
            </w:pPr>
            <w:r>
              <w:rPr>
                <w:sz w:val="15"/>
              </w:rPr>
              <w:t>Selection discipline, readiness gates, rehearsals, command, recovery and insurance</w:t>
            </w:r>
          </w:p>
        </w:tc>
      </w:tr>
      <w:tr>
        <w:trPr>
          <w:cantSplit/>
        </w:trPr>
        <w:tc>
          <w:tcPr>
            <w:tcW w:type="dxa" w:w="2088"/>
            <w:tcMar>
              <w:top w:w="70" w:type="dxa"/>
              <w:start w:w="100" w:type="dxa"/>
              <w:bottom w:w="70" w:type="dxa"/>
              <w:end w:w="100" w:type="dxa"/>
            </w:tcMar>
            <w:vAlign w:val="top"/>
            <w:shd w:fill="FAF8F6"/>
          </w:tcPr>
          <w:p>
            <w:pPr>
              <w:spacing w:after="40"/>
            </w:pPr>
            <w:r>
              <w:rPr>
                <w:sz w:val="15"/>
              </w:rPr>
              <w:t>CEO/key-person dependency</w:t>
            </w:r>
          </w:p>
        </w:tc>
        <w:tc>
          <w:tcPr>
            <w:tcW w:type="dxa" w:w="1080"/>
            <w:tcMar>
              <w:top w:w="70" w:type="dxa"/>
              <w:start w:w="100" w:type="dxa"/>
              <w:bottom w:w="70" w:type="dxa"/>
              <w:end w:w="100" w:type="dxa"/>
            </w:tcMar>
            <w:vAlign w:val="top"/>
            <w:shd w:fill="FAF8F6"/>
          </w:tcPr>
          <w:p>
            <w:pPr>
              <w:spacing w:after="40"/>
            </w:pPr>
            <w:r>
              <w:rPr>
                <w:sz w:val="15"/>
              </w:rPr>
              <w:t>High</w:t>
            </w:r>
          </w:p>
        </w:tc>
        <w:tc>
          <w:tcPr>
            <w:tcW w:type="dxa" w:w="936"/>
            <w:tcMar>
              <w:top w:w="70" w:type="dxa"/>
              <w:start w:w="100" w:type="dxa"/>
              <w:bottom w:w="70" w:type="dxa"/>
              <w:end w:w="100" w:type="dxa"/>
            </w:tcMar>
            <w:vAlign w:val="top"/>
            <w:shd w:fill="FAF8F6"/>
          </w:tcPr>
          <w:p>
            <w:pPr>
              <w:spacing w:after="40"/>
            </w:pPr>
            <w:r>
              <w:rPr>
                <w:sz w:val="15"/>
              </w:rPr>
              <w:t>Severe</w:t>
            </w:r>
          </w:p>
        </w:tc>
        <w:tc>
          <w:tcPr>
            <w:tcW w:type="dxa" w:w="5256"/>
            <w:tcMar>
              <w:top w:w="70" w:type="dxa"/>
              <w:start w:w="100" w:type="dxa"/>
              <w:bottom w:w="70" w:type="dxa"/>
              <w:end w:w="100" w:type="dxa"/>
            </w:tcMar>
            <w:vAlign w:val="top"/>
            <w:shd w:fill="FAF8F6"/>
          </w:tcPr>
          <w:p>
            <w:pPr>
              <w:spacing w:after="40"/>
            </w:pPr>
            <w:r>
              <w:rPr>
                <w:sz w:val="15"/>
              </w:rPr>
              <w:t>Delegation, Event Director, Academy certification, documented relationships, succession drills</w:t>
            </w:r>
          </w:p>
        </w:tc>
      </w:tr>
      <w:tr>
        <w:trPr>
          <w:cantSplit/>
        </w:trPr>
        <w:tc>
          <w:tcPr>
            <w:tcW w:type="dxa" w:w="2088"/>
            <w:tcMar>
              <w:top w:w="70" w:type="dxa"/>
              <w:start w:w="100" w:type="dxa"/>
              <w:bottom w:w="70" w:type="dxa"/>
              <w:end w:w="100" w:type="dxa"/>
            </w:tcMar>
            <w:vAlign w:val="top"/>
          </w:tcPr>
          <w:p>
            <w:pPr>
              <w:spacing w:after="40"/>
            </w:pPr>
            <w:r>
              <w:rPr>
                <w:sz w:val="15"/>
              </w:rPr>
              <w:t>Cash/collection failure</w:t>
            </w:r>
          </w:p>
        </w:tc>
        <w:tc>
          <w:tcPr>
            <w:tcW w:type="dxa" w:w="1080"/>
            <w:tcMar>
              <w:top w:w="70" w:type="dxa"/>
              <w:start w:w="100" w:type="dxa"/>
              <w:bottom w:w="70" w:type="dxa"/>
              <w:end w:w="100" w:type="dxa"/>
            </w:tcMar>
            <w:vAlign w:val="top"/>
          </w:tcPr>
          <w:p>
            <w:pPr>
              <w:spacing w:after="40"/>
            </w:pPr>
            <w:r>
              <w:rPr>
                <w:sz w:val="15"/>
              </w:rPr>
              <w:t>Medium</w:t>
            </w:r>
          </w:p>
        </w:tc>
        <w:tc>
          <w:tcPr>
            <w:tcW w:type="dxa" w:w="936"/>
            <w:tcMar>
              <w:top w:w="70" w:type="dxa"/>
              <w:start w:w="100" w:type="dxa"/>
              <w:bottom w:w="70" w:type="dxa"/>
              <w:end w:w="100" w:type="dxa"/>
            </w:tcMar>
            <w:vAlign w:val="top"/>
          </w:tcPr>
          <w:p>
            <w:pPr>
              <w:spacing w:after="40"/>
            </w:pPr>
            <w:r>
              <w:rPr>
                <w:sz w:val="15"/>
              </w:rPr>
              <w:t>High</w:t>
            </w:r>
          </w:p>
        </w:tc>
        <w:tc>
          <w:tcPr>
            <w:tcW w:type="dxa" w:w="5256"/>
            <w:tcMar>
              <w:top w:w="70" w:type="dxa"/>
              <w:start w:w="100" w:type="dxa"/>
              <w:bottom w:w="70" w:type="dxa"/>
              <w:end w:w="100" w:type="dxa"/>
            </w:tcMar>
            <w:vAlign w:val="top"/>
          </w:tcPr>
          <w:p>
            <w:pPr>
              <w:spacing w:after="40"/>
            </w:pPr>
            <w:r>
              <w:rPr>
                <w:sz w:val="15"/>
              </w:rPr>
              <w:t>60/30/10 terms, no unfunded supplier commitments, 13-week forecast, reserve</w:t>
            </w:r>
          </w:p>
        </w:tc>
      </w:tr>
      <w:tr>
        <w:trPr>
          <w:cantSplit/>
        </w:trPr>
        <w:tc>
          <w:tcPr>
            <w:tcW w:type="dxa" w:w="2088"/>
            <w:tcMar>
              <w:top w:w="70" w:type="dxa"/>
              <w:start w:w="100" w:type="dxa"/>
              <w:bottom w:w="70" w:type="dxa"/>
              <w:end w:w="100" w:type="dxa"/>
            </w:tcMar>
            <w:vAlign w:val="top"/>
            <w:shd w:fill="FAF8F6"/>
          </w:tcPr>
          <w:p>
            <w:pPr>
              <w:spacing w:after="40"/>
            </w:pPr>
            <w:r>
              <w:rPr>
                <w:sz w:val="15"/>
              </w:rPr>
              <w:t>Data/privacy/cyber incident</w:t>
            </w:r>
          </w:p>
        </w:tc>
        <w:tc>
          <w:tcPr>
            <w:tcW w:type="dxa" w:w="1080"/>
            <w:tcMar>
              <w:top w:w="70" w:type="dxa"/>
              <w:start w:w="100" w:type="dxa"/>
              <w:bottom w:w="70" w:type="dxa"/>
              <w:end w:w="100" w:type="dxa"/>
            </w:tcMar>
            <w:vAlign w:val="top"/>
            <w:shd w:fill="FAF8F6"/>
          </w:tcPr>
          <w:p>
            <w:pPr>
              <w:spacing w:after="40"/>
            </w:pPr>
            <w:r>
              <w:rPr>
                <w:sz w:val="15"/>
              </w:rPr>
              <w:t>Medium</w:t>
            </w:r>
          </w:p>
        </w:tc>
        <w:tc>
          <w:tcPr>
            <w:tcW w:type="dxa" w:w="936"/>
            <w:tcMar>
              <w:top w:w="70" w:type="dxa"/>
              <w:start w:w="100" w:type="dxa"/>
              <w:bottom w:w="70" w:type="dxa"/>
              <w:end w:w="100" w:type="dxa"/>
            </w:tcMar>
            <w:vAlign w:val="top"/>
            <w:shd w:fill="FAF8F6"/>
          </w:tcPr>
          <w:p>
            <w:pPr>
              <w:spacing w:after="40"/>
            </w:pPr>
            <w:r>
              <w:rPr>
                <w:sz w:val="15"/>
              </w:rPr>
              <w:t>Severe</w:t>
            </w:r>
          </w:p>
        </w:tc>
        <w:tc>
          <w:tcPr>
            <w:tcW w:type="dxa" w:w="5256"/>
            <w:tcMar>
              <w:top w:w="70" w:type="dxa"/>
              <w:start w:w="100" w:type="dxa"/>
              <w:bottom w:w="70" w:type="dxa"/>
              <w:end w:w="100" w:type="dxa"/>
            </w:tcMar>
            <w:vAlign w:val="top"/>
            <w:shd w:fill="FAF8F6"/>
          </w:tcPr>
          <w:p>
            <w:pPr>
              <w:spacing w:after="40"/>
            </w:pPr>
            <w:r>
              <w:rPr>
                <w:sz w:val="15"/>
              </w:rPr>
              <w:t>Minimisation, event scope, least privilege, encryption, response plan, DPO/DPCO advice</w:t>
            </w:r>
          </w:p>
        </w:tc>
      </w:tr>
      <w:tr>
        <w:trPr>
          <w:cantSplit/>
        </w:trPr>
        <w:tc>
          <w:tcPr>
            <w:tcW w:type="dxa" w:w="2088"/>
            <w:tcMar>
              <w:top w:w="70" w:type="dxa"/>
              <w:start w:w="100" w:type="dxa"/>
              <w:bottom w:w="70" w:type="dxa"/>
              <w:end w:w="100" w:type="dxa"/>
            </w:tcMar>
            <w:vAlign w:val="top"/>
          </w:tcPr>
          <w:p>
            <w:pPr>
              <w:spacing w:after="40"/>
            </w:pPr>
            <w:r>
              <w:rPr>
                <w:sz w:val="15"/>
              </w:rPr>
              <w:t>Safety/security incident</w:t>
            </w:r>
          </w:p>
        </w:tc>
        <w:tc>
          <w:tcPr>
            <w:tcW w:type="dxa" w:w="1080"/>
            <w:tcMar>
              <w:top w:w="70" w:type="dxa"/>
              <w:start w:w="100" w:type="dxa"/>
              <w:bottom w:w="70" w:type="dxa"/>
              <w:end w:w="100" w:type="dxa"/>
            </w:tcMar>
            <w:vAlign w:val="top"/>
          </w:tcPr>
          <w:p>
            <w:pPr>
              <w:spacing w:after="40"/>
            </w:pPr>
            <w:r>
              <w:rPr>
                <w:sz w:val="15"/>
              </w:rPr>
              <w:t>Medium</w:t>
            </w:r>
          </w:p>
        </w:tc>
        <w:tc>
          <w:tcPr>
            <w:tcW w:type="dxa" w:w="936"/>
            <w:tcMar>
              <w:top w:w="70" w:type="dxa"/>
              <w:start w:w="100" w:type="dxa"/>
              <w:bottom w:w="70" w:type="dxa"/>
              <w:end w:w="100" w:type="dxa"/>
            </w:tcMar>
            <w:vAlign w:val="top"/>
          </w:tcPr>
          <w:p>
            <w:pPr>
              <w:spacing w:after="40"/>
            </w:pPr>
            <w:r>
              <w:rPr>
                <w:sz w:val="15"/>
              </w:rPr>
              <w:t>Severe</w:t>
            </w:r>
          </w:p>
        </w:tc>
        <w:tc>
          <w:tcPr>
            <w:tcW w:type="dxa" w:w="5256"/>
            <w:tcMar>
              <w:top w:w="70" w:type="dxa"/>
              <w:start w:w="100" w:type="dxa"/>
              <w:bottom w:w="70" w:type="dxa"/>
              <w:end w:w="100" w:type="dxa"/>
            </w:tcMar>
            <w:vAlign w:val="top"/>
          </w:tcPr>
          <w:p>
            <w:pPr>
              <w:spacing w:after="40"/>
            </w:pPr>
            <w:r>
              <w:rPr>
                <w:sz w:val="15"/>
              </w:rPr>
              <w:t>Licensed/qualified partners, venue plans, stop authority, emergency rehearsals</w:t>
            </w:r>
          </w:p>
        </w:tc>
      </w:tr>
      <w:tr>
        <w:trPr>
          <w:cantSplit/>
        </w:trPr>
        <w:tc>
          <w:tcPr>
            <w:tcW w:type="dxa" w:w="2088"/>
            <w:tcMar>
              <w:top w:w="70" w:type="dxa"/>
              <w:start w:w="100" w:type="dxa"/>
              <w:bottom w:w="70" w:type="dxa"/>
              <w:end w:w="100" w:type="dxa"/>
            </w:tcMar>
            <w:vAlign w:val="top"/>
            <w:shd w:fill="FAF8F6"/>
          </w:tcPr>
          <w:p>
            <w:pPr>
              <w:spacing w:after="40"/>
            </w:pPr>
            <w:r>
              <w:rPr>
                <w:sz w:val="15"/>
              </w:rPr>
              <w:t>Protocol/cultural error</w:t>
            </w:r>
          </w:p>
        </w:tc>
        <w:tc>
          <w:tcPr>
            <w:tcW w:type="dxa" w:w="1080"/>
            <w:tcMar>
              <w:top w:w="70" w:type="dxa"/>
              <w:start w:w="100" w:type="dxa"/>
              <w:bottom w:w="70" w:type="dxa"/>
              <w:end w:w="100" w:type="dxa"/>
            </w:tcMar>
            <w:vAlign w:val="top"/>
            <w:shd w:fill="FAF8F6"/>
          </w:tcPr>
          <w:p>
            <w:pPr>
              <w:spacing w:after="40"/>
            </w:pPr>
            <w:r>
              <w:rPr>
                <w:sz w:val="15"/>
              </w:rPr>
              <w:t>Medium</w:t>
            </w:r>
          </w:p>
        </w:tc>
        <w:tc>
          <w:tcPr>
            <w:tcW w:type="dxa" w:w="936"/>
            <w:tcMar>
              <w:top w:w="70" w:type="dxa"/>
              <w:start w:w="100" w:type="dxa"/>
              <w:bottom w:w="70" w:type="dxa"/>
              <w:end w:w="100" w:type="dxa"/>
            </w:tcMar>
            <w:vAlign w:val="top"/>
            <w:shd w:fill="FAF8F6"/>
          </w:tcPr>
          <w:p>
            <w:pPr>
              <w:spacing w:after="40"/>
            </w:pPr>
            <w:r>
              <w:rPr>
                <w:sz w:val="15"/>
              </w:rPr>
              <w:t>High</w:t>
            </w:r>
          </w:p>
        </w:tc>
        <w:tc>
          <w:tcPr>
            <w:tcW w:type="dxa" w:w="5256"/>
            <w:tcMar>
              <w:top w:w="70" w:type="dxa"/>
              <w:start w:w="100" w:type="dxa"/>
              <w:bottom w:w="70" w:type="dxa"/>
              <w:end w:w="100" w:type="dxa"/>
            </w:tcMar>
            <w:vAlign w:val="top"/>
            <w:shd w:fill="FAF8F6"/>
          </w:tcPr>
          <w:p>
            <w:pPr>
              <w:spacing w:after="40"/>
            </w:pPr>
            <w:r>
              <w:rPr>
                <w:sz w:val="15"/>
              </w:rPr>
              <w:t>Recognised authorities, source/expiry controls, event-specific verification</w:t>
            </w:r>
          </w:p>
        </w:tc>
      </w:tr>
      <w:tr>
        <w:trPr>
          <w:cantSplit/>
        </w:trPr>
        <w:tc>
          <w:tcPr>
            <w:tcW w:type="dxa" w:w="2088"/>
            <w:tcMar>
              <w:top w:w="70" w:type="dxa"/>
              <w:start w:w="100" w:type="dxa"/>
              <w:bottom w:w="70" w:type="dxa"/>
              <w:end w:w="100" w:type="dxa"/>
            </w:tcMar>
            <w:vAlign w:val="top"/>
          </w:tcPr>
          <w:p>
            <w:pPr>
              <w:spacing w:after="40"/>
            </w:pPr>
            <w:r>
              <w:rPr>
                <w:sz w:val="15"/>
              </w:rPr>
              <w:t>Economic/currency shock</w:t>
            </w:r>
          </w:p>
        </w:tc>
        <w:tc>
          <w:tcPr>
            <w:tcW w:type="dxa" w:w="1080"/>
            <w:tcMar>
              <w:top w:w="70" w:type="dxa"/>
              <w:start w:w="100" w:type="dxa"/>
              <w:bottom w:w="70" w:type="dxa"/>
              <w:end w:w="100" w:type="dxa"/>
            </w:tcMar>
            <w:vAlign w:val="top"/>
          </w:tcPr>
          <w:p>
            <w:pPr>
              <w:spacing w:after="40"/>
            </w:pPr>
            <w:r>
              <w:rPr>
                <w:sz w:val="15"/>
              </w:rPr>
              <w:t>High</w:t>
            </w:r>
          </w:p>
        </w:tc>
        <w:tc>
          <w:tcPr>
            <w:tcW w:type="dxa" w:w="936"/>
            <w:tcMar>
              <w:top w:w="70" w:type="dxa"/>
              <w:start w:w="100" w:type="dxa"/>
              <w:bottom w:w="70" w:type="dxa"/>
              <w:end w:w="100" w:type="dxa"/>
            </w:tcMar>
            <w:vAlign w:val="top"/>
          </w:tcPr>
          <w:p>
            <w:pPr>
              <w:spacing w:after="40"/>
            </w:pPr>
            <w:r>
              <w:rPr>
                <w:sz w:val="15"/>
              </w:rPr>
              <w:t>High</w:t>
            </w:r>
          </w:p>
        </w:tc>
        <w:tc>
          <w:tcPr>
            <w:tcW w:type="dxa" w:w="5256"/>
            <w:tcMar>
              <w:top w:w="70" w:type="dxa"/>
              <w:start w:w="100" w:type="dxa"/>
              <w:bottom w:w="70" w:type="dxa"/>
              <w:end w:w="100" w:type="dxa"/>
            </w:tcMar>
            <w:vAlign w:val="top"/>
          </w:tcPr>
          <w:p>
            <w:pPr>
              <w:spacing w:after="40"/>
            </w:pPr>
            <w:r>
              <w:rPr>
                <w:sz w:val="15"/>
              </w:rPr>
              <w:t>Short quote validity, FX clauses, repricing, retainers, low fixed cost</w:t>
            </w:r>
          </w:p>
        </w:tc>
      </w:tr>
      <w:tr>
        <w:trPr>
          <w:cantSplit/>
        </w:trPr>
        <w:tc>
          <w:tcPr>
            <w:tcW w:type="dxa" w:w="2088"/>
            <w:tcMar>
              <w:top w:w="70" w:type="dxa"/>
              <w:start w:w="100" w:type="dxa"/>
              <w:bottom w:w="70" w:type="dxa"/>
              <w:end w:w="100" w:type="dxa"/>
            </w:tcMar>
            <w:vAlign w:val="top"/>
            <w:shd w:fill="FAF8F6"/>
          </w:tcPr>
          <w:p>
            <w:pPr>
              <w:spacing w:after="40"/>
            </w:pPr>
            <w:r>
              <w:rPr>
                <w:sz w:val="15"/>
              </w:rPr>
              <w:t>Supplier failure</w:t>
            </w:r>
          </w:p>
        </w:tc>
        <w:tc>
          <w:tcPr>
            <w:tcW w:type="dxa" w:w="1080"/>
            <w:tcMar>
              <w:top w:w="70" w:type="dxa"/>
              <w:start w:w="100" w:type="dxa"/>
              <w:bottom w:w="70" w:type="dxa"/>
              <w:end w:w="100" w:type="dxa"/>
            </w:tcMar>
            <w:vAlign w:val="top"/>
            <w:shd w:fill="FAF8F6"/>
          </w:tcPr>
          <w:p>
            <w:pPr>
              <w:spacing w:after="40"/>
            </w:pPr>
            <w:r>
              <w:rPr>
                <w:sz w:val="15"/>
              </w:rPr>
              <w:t>Medium</w:t>
            </w:r>
          </w:p>
        </w:tc>
        <w:tc>
          <w:tcPr>
            <w:tcW w:type="dxa" w:w="936"/>
            <w:tcMar>
              <w:top w:w="70" w:type="dxa"/>
              <w:start w:w="100" w:type="dxa"/>
              <w:bottom w:w="70" w:type="dxa"/>
              <w:end w:w="100" w:type="dxa"/>
            </w:tcMar>
            <w:vAlign w:val="top"/>
            <w:shd w:fill="FAF8F6"/>
          </w:tcPr>
          <w:p>
            <w:pPr>
              <w:spacing w:after="40"/>
            </w:pPr>
            <w:r>
              <w:rPr>
                <w:sz w:val="15"/>
              </w:rPr>
              <w:t>High</w:t>
            </w:r>
          </w:p>
        </w:tc>
        <w:tc>
          <w:tcPr>
            <w:tcW w:type="dxa" w:w="5256"/>
            <w:tcMar>
              <w:top w:w="70" w:type="dxa"/>
              <w:start w:w="100" w:type="dxa"/>
              <w:bottom w:w="70" w:type="dxa"/>
              <w:end w:w="100" w:type="dxa"/>
            </w:tcMar>
            <w:vAlign w:val="top"/>
            <w:shd w:fill="FAF8F6"/>
          </w:tcPr>
          <w:p>
            <w:pPr>
              <w:spacing w:after="40"/>
            </w:pPr>
            <w:r>
              <w:rPr>
                <w:sz w:val="15"/>
              </w:rPr>
              <w:t>Due diligence, backups, acceptance criteria, direct contracting and rehearsals</w:t>
            </w:r>
          </w:p>
        </w:tc>
      </w:tr>
      <w:tr>
        <w:trPr>
          <w:cantSplit/>
        </w:trPr>
        <w:tc>
          <w:tcPr>
            <w:tcW w:type="dxa" w:w="2088"/>
            <w:tcMar>
              <w:top w:w="70" w:type="dxa"/>
              <w:start w:w="100" w:type="dxa"/>
              <w:bottom w:w="70" w:type="dxa"/>
              <w:end w:w="100" w:type="dxa"/>
            </w:tcMar>
            <w:vAlign w:val="top"/>
          </w:tcPr>
          <w:p>
            <w:pPr>
              <w:spacing w:after="40"/>
            </w:pPr>
            <w:r>
              <w:rPr>
                <w:sz w:val="15"/>
              </w:rPr>
              <w:t>Regulatory/tax error</w:t>
            </w:r>
          </w:p>
        </w:tc>
        <w:tc>
          <w:tcPr>
            <w:tcW w:type="dxa" w:w="1080"/>
            <w:tcMar>
              <w:top w:w="70" w:type="dxa"/>
              <w:start w:w="100" w:type="dxa"/>
              <w:bottom w:w="70" w:type="dxa"/>
              <w:end w:w="100" w:type="dxa"/>
            </w:tcMar>
            <w:vAlign w:val="top"/>
          </w:tcPr>
          <w:p>
            <w:pPr>
              <w:spacing w:after="40"/>
            </w:pPr>
            <w:r>
              <w:rPr>
                <w:sz w:val="15"/>
              </w:rPr>
              <w:t>Medium</w:t>
            </w:r>
          </w:p>
        </w:tc>
        <w:tc>
          <w:tcPr>
            <w:tcW w:type="dxa" w:w="936"/>
            <w:tcMar>
              <w:top w:w="70" w:type="dxa"/>
              <w:start w:w="100" w:type="dxa"/>
              <w:bottom w:w="70" w:type="dxa"/>
              <w:end w:w="100" w:type="dxa"/>
            </w:tcMar>
            <w:vAlign w:val="top"/>
          </w:tcPr>
          <w:p>
            <w:pPr>
              <w:spacing w:after="40"/>
            </w:pPr>
            <w:r>
              <w:rPr>
                <w:sz w:val="15"/>
              </w:rPr>
              <w:t>High</w:t>
            </w:r>
          </w:p>
        </w:tc>
        <w:tc>
          <w:tcPr>
            <w:tcW w:type="dxa" w:w="5256"/>
            <w:tcMar>
              <w:top w:w="70" w:type="dxa"/>
              <w:start w:w="100" w:type="dxa"/>
              <w:bottom w:w="70" w:type="dxa"/>
              <w:end w:w="100" w:type="dxa"/>
            </w:tcMar>
            <w:vAlign w:val="top"/>
          </w:tcPr>
          <w:p>
            <w:pPr>
              <w:spacing w:after="40"/>
            </w:pPr>
            <w:r>
              <w:rPr>
                <w:sz w:val="15"/>
              </w:rPr>
              <w:t>Qualified Nigerian counsel/accountant, compliance calendar and annual review</w:t>
            </w:r>
          </w:p>
        </w:tc>
      </w:tr>
      <w:tr>
        <w:trPr>
          <w:cantSplit/>
        </w:trPr>
        <w:tc>
          <w:tcPr>
            <w:tcW w:type="dxa" w:w="2088"/>
            <w:tcMar>
              <w:top w:w="70" w:type="dxa"/>
              <w:start w:w="100" w:type="dxa"/>
              <w:bottom w:w="70" w:type="dxa"/>
              <w:end w:w="100" w:type="dxa"/>
            </w:tcMar>
            <w:vAlign w:val="top"/>
            <w:shd w:fill="FAF8F6"/>
          </w:tcPr>
          <w:p>
            <w:pPr>
              <w:spacing w:after="40"/>
            </w:pPr>
            <w:r>
              <w:rPr>
                <w:sz w:val="15"/>
              </w:rPr>
              <w:t>Concentration/founder-led sales</w:t>
            </w:r>
          </w:p>
        </w:tc>
        <w:tc>
          <w:tcPr>
            <w:tcW w:type="dxa" w:w="1080"/>
            <w:tcMar>
              <w:top w:w="70" w:type="dxa"/>
              <w:start w:w="100" w:type="dxa"/>
              <w:bottom w:w="70" w:type="dxa"/>
              <w:end w:w="100" w:type="dxa"/>
            </w:tcMar>
            <w:vAlign w:val="top"/>
            <w:shd w:fill="FAF8F6"/>
          </w:tcPr>
          <w:p>
            <w:pPr>
              <w:spacing w:after="40"/>
            </w:pPr>
            <w:r>
              <w:rPr>
                <w:sz w:val="15"/>
              </w:rPr>
              <w:t>High</w:t>
            </w:r>
          </w:p>
        </w:tc>
        <w:tc>
          <w:tcPr>
            <w:tcW w:type="dxa" w:w="936"/>
            <w:tcMar>
              <w:top w:w="70" w:type="dxa"/>
              <w:start w:w="100" w:type="dxa"/>
              <w:bottom w:w="70" w:type="dxa"/>
              <w:end w:w="100" w:type="dxa"/>
            </w:tcMar>
            <w:vAlign w:val="top"/>
            <w:shd w:fill="FAF8F6"/>
          </w:tcPr>
          <w:p>
            <w:pPr>
              <w:spacing w:after="40"/>
            </w:pPr>
            <w:r>
              <w:rPr>
                <w:sz w:val="15"/>
              </w:rPr>
              <w:t>High</w:t>
            </w:r>
          </w:p>
        </w:tc>
        <w:tc>
          <w:tcPr>
            <w:tcW w:type="dxa" w:w="5256"/>
            <w:tcMar>
              <w:top w:w="70" w:type="dxa"/>
              <w:start w:w="100" w:type="dxa"/>
              <w:bottom w:w="70" w:type="dxa"/>
              <w:end w:w="100" w:type="dxa"/>
            </w:tcMar>
            <w:vAlign w:val="top"/>
            <w:shd w:fill="FAF8F6"/>
          </w:tcPr>
          <w:p>
            <w:pPr>
              <w:spacing w:after="40"/>
            </w:pPr>
            <w:r>
              <w:rPr>
                <w:sz w:val="15"/>
              </w:rPr>
              <w:t>Pipeline diversification, Client Director, partner channels, &lt;20% client cap</w:t>
            </w:r>
          </w:p>
        </w:tc>
      </w:tr>
    </w:tbl>
    <w:p>
      <w:pPr>
        <w:spacing w:after="20"/>
      </w:pPr>
    </w:p>
    <w:p>
      <w:pPr>
        <w:pStyle w:val="Heading2"/>
        <w:keepNext/>
      </w:pPr>
      <w:r>
        <w:t>5.4 Exit, succession and legacy</w:t>
      </w:r>
    </w:p>
    <w:p>
      <w:r>
        <w:t>Maison Doclar is a scalable enterprise built for endurance, not a lifestyle practice and not a forced five-year sale. The five-year goal is sale-readiness and strategic optionality. Possible future acquirers include hospitality groups, experiential agencies, luxury concierge/family-office service platforms, event-technology firms or a management buyout, but no buyer is assumed.</w:t>
      </w:r>
    </w:p>
    <w:p>
      <w:r>
        <w:t>The ten-year legacy is a recognised African standard for dignified guest experience, a trained talent pipeline, evidence-based protocol practice, safer and more inclusive events, and an institution able to outlive its founder. Succession requires an emergency CEO delegate within Year 1, an operational successor by Year 3, and a leadership bench with documented decision rights and relationship continuity by Year 5.</w:t>
      </w:r>
    </w:p>
    <w:p>
      <w:pPr>
        <w:pStyle w:val="Heading1"/>
        <w:keepNext/>
      </w:pPr>
      <w:r>
        <w:t>Part 6 — Critical foundations</w:t>
      </w:r>
    </w:p>
    <w:p>
      <w:pPr>
        <w:pStyle w:val="Heading2"/>
        <w:keepNext/>
      </w:pPr>
      <w:r>
        <w:t>6.1 Legal, compliance and insurance</w:t>
      </w:r>
    </w:p>
    <w:p>
      <w:r>
        <w:t>Maison Doclar should operate through a Nigerian private limited company in good standing, maintain beneficial-ownership and annual-return records, register taxes, operate payroll correctly, and protect the Maison Doclar name, logo and relevant marks. Exact obligations depend on the legal entity, staffing, venues, activities and jurisdictions. REQUIRED REVIEW: Nigerian corporate, employment, tax, privacy, IP, insurance and event counsel must convert this plan into a compliance register before production.</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592"/>
            <w:shd w:fill="B79F85"/>
            <w:tcMar>
              <w:top w:w="70" w:type="dxa"/>
              <w:start w:w="100" w:type="dxa"/>
              <w:bottom w:w="70" w:type="dxa"/>
              <w:end w:w="100" w:type="dxa"/>
            </w:tcMar>
          </w:tcPr>
          <w:p>
            <w:r>
              <w:rPr>
                <w:b/>
                <w:sz w:val="16"/>
              </w:rPr>
              <w:t>Instrument</w:t>
            </w:r>
          </w:p>
        </w:tc>
        <w:tc>
          <w:tcPr>
            <w:tcW w:type="dxa" w:w="6768"/>
            <w:shd w:fill="B79F85"/>
            <w:tcMar>
              <w:top w:w="70" w:type="dxa"/>
              <w:start w:w="100" w:type="dxa"/>
              <w:bottom w:w="70" w:type="dxa"/>
              <w:end w:w="100" w:type="dxa"/>
            </w:tcMar>
          </w:tcPr>
          <w:p>
            <w:r>
              <w:rPr>
                <w:b/>
                <w:sz w:val="16"/>
              </w:rPr>
              <w:t>Required content</w:t>
            </w:r>
          </w:p>
        </w:tc>
      </w:tr>
      <w:tr>
        <w:trPr>
          <w:cantSplit/>
        </w:trPr>
        <w:tc>
          <w:tcPr>
            <w:tcW w:type="dxa" w:w="2592"/>
            <w:tcMar>
              <w:top w:w="70" w:type="dxa"/>
              <w:start w:w="100" w:type="dxa"/>
              <w:bottom w:w="70" w:type="dxa"/>
              <w:end w:w="100" w:type="dxa"/>
            </w:tcMar>
            <w:vAlign w:val="top"/>
          </w:tcPr>
          <w:p>
            <w:pPr>
              <w:spacing w:after="40"/>
            </w:pPr>
            <w:r>
              <w:rPr>
                <w:sz w:val="16"/>
              </w:rPr>
              <w:t>Client master agreement + statement of work</w:t>
            </w:r>
          </w:p>
        </w:tc>
        <w:tc>
          <w:tcPr>
            <w:tcW w:type="dxa" w:w="6768"/>
            <w:tcMar>
              <w:top w:w="70" w:type="dxa"/>
              <w:start w:w="100" w:type="dxa"/>
              <w:bottom w:w="70" w:type="dxa"/>
              <w:end w:w="100" w:type="dxa"/>
            </w:tcMar>
            <w:vAlign w:val="top"/>
          </w:tcPr>
          <w:p>
            <w:pPr>
              <w:spacing w:after="40"/>
            </w:pPr>
            <w:r>
              <w:rPr>
                <w:sz w:val="16"/>
              </w:rPr>
              <w:t>Scope, dependencies, decision authority, change, fees, cancellation, privacy roles, IP, confidentiality, supplier responsibility, safety, force majeure, liability and recovery</w:t>
            </w:r>
          </w:p>
        </w:tc>
      </w:tr>
      <w:tr>
        <w:trPr>
          <w:cantSplit/>
        </w:trPr>
        <w:tc>
          <w:tcPr>
            <w:tcW w:type="dxa" w:w="2592"/>
            <w:tcMar>
              <w:top w:w="70" w:type="dxa"/>
              <w:start w:w="100" w:type="dxa"/>
              <w:bottom w:w="70" w:type="dxa"/>
              <w:end w:w="100" w:type="dxa"/>
            </w:tcMar>
            <w:vAlign w:val="top"/>
            <w:shd w:fill="FAF8F6"/>
          </w:tcPr>
          <w:p>
            <w:pPr>
              <w:spacing w:after="40"/>
            </w:pPr>
            <w:r>
              <w:rPr>
                <w:sz w:val="16"/>
              </w:rPr>
              <w:t>Vendor agreement</w:t>
            </w:r>
          </w:p>
        </w:tc>
        <w:tc>
          <w:tcPr>
            <w:tcW w:type="dxa" w:w="6768"/>
            <w:tcMar>
              <w:top w:w="70" w:type="dxa"/>
              <w:start w:w="100" w:type="dxa"/>
              <w:bottom w:w="70" w:type="dxa"/>
              <w:end w:w="100" w:type="dxa"/>
            </w:tcMar>
            <w:vAlign w:val="top"/>
            <w:shd w:fill="FAF8F6"/>
          </w:tcPr>
          <w:p>
            <w:pPr>
              <w:spacing w:after="40"/>
            </w:pPr>
            <w:r>
              <w:rPr>
                <w:sz w:val="16"/>
              </w:rPr>
              <w:t>Deliverables, acceptance, timing, permits, staff conduct, privacy/security, insurance, substitution, failure, audit and termination</w:t>
            </w:r>
          </w:p>
        </w:tc>
      </w:tr>
      <w:tr>
        <w:trPr>
          <w:cantSplit/>
        </w:trPr>
        <w:tc>
          <w:tcPr>
            <w:tcW w:type="dxa" w:w="2592"/>
            <w:tcMar>
              <w:top w:w="70" w:type="dxa"/>
              <w:start w:w="100" w:type="dxa"/>
              <w:bottom w:w="70" w:type="dxa"/>
              <w:end w:w="100" w:type="dxa"/>
            </w:tcMar>
            <w:vAlign w:val="top"/>
          </w:tcPr>
          <w:p>
            <w:pPr>
              <w:spacing w:after="40"/>
            </w:pPr>
            <w:r>
              <w:rPr>
                <w:sz w:val="16"/>
              </w:rPr>
              <w:t>Employment/worker agreement</w:t>
            </w:r>
          </w:p>
        </w:tc>
        <w:tc>
          <w:tcPr>
            <w:tcW w:type="dxa" w:w="6768"/>
            <w:tcMar>
              <w:top w:w="70" w:type="dxa"/>
              <w:start w:w="100" w:type="dxa"/>
              <w:bottom w:w="70" w:type="dxa"/>
              <w:end w:w="100" w:type="dxa"/>
            </w:tcMar>
            <w:vAlign w:val="top"/>
          </w:tcPr>
          <w:p>
            <w:pPr>
              <w:spacing w:after="40"/>
            </w:pPr>
            <w:r>
              <w:rPr>
                <w:sz w:val="16"/>
              </w:rPr>
              <w:t>Status, duties, pay, hours, confidentiality, IP, data, conduct, safety, discipline and exit</w:t>
            </w:r>
          </w:p>
        </w:tc>
      </w:tr>
      <w:tr>
        <w:trPr>
          <w:cantSplit/>
        </w:trPr>
        <w:tc>
          <w:tcPr>
            <w:tcW w:type="dxa" w:w="2592"/>
            <w:tcMar>
              <w:top w:w="70" w:type="dxa"/>
              <w:start w:w="100" w:type="dxa"/>
              <w:bottom w:w="70" w:type="dxa"/>
              <w:end w:w="100" w:type="dxa"/>
            </w:tcMar>
            <w:vAlign w:val="top"/>
            <w:shd w:fill="FAF8F6"/>
          </w:tcPr>
          <w:p>
            <w:pPr>
              <w:spacing w:after="40"/>
            </w:pPr>
            <w:r>
              <w:rPr>
                <w:sz w:val="16"/>
              </w:rPr>
              <w:t>NDA/confidentiality</w:t>
            </w:r>
          </w:p>
        </w:tc>
        <w:tc>
          <w:tcPr>
            <w:tcW w:type="dxa" w:w="6768"/>
            <w:tcMar>
              <w:top w:w="70" w:type="dxa"/>
              <w:start w:w="100" w:type="dxa"/>
              <w:bottom w:w="70" w:type="dxa"/>
              <w:end w:w="100" w:type="dxa"/>
            </w:tcMar>
            <w:vAlign w:val="top"/>
            <w:shd w:fill="FAF8F6"/>
          </w:tcPr>
          <w:p>
            <w:pPr>
              <w:spacing w:after="40"/>
            </w:pPr>
            <w:r>
              <w:rPr>
                <w:sz w:val="16"/>
              </w:rPr>
              <w:t>Mutual where appropriate; permitted disclosure, duration, compelled disclosure and remedies</w:t>
            </w:r>
          </w:p>
        </w:tc>
      </w:tr>
      <w:tr>
        <w:trPr>
          <w:cantSplit/>
        </w:trPr>
        <w:tc>
          <w:tcPr>
            <w:tcW w:type="dxa" w:w="2592"/>
            <w:tcMar>
              <w:top w:w="70" w:type="dxa"/>
              <w:start w:w="100" w:type="dxa"/>
              <w:bottom w:w="70" w:type="dxa"/>
              <w:end w:w="100" w:type="dxa"/>
            </w:tcMar>
            <w:vAlign w:val="top"/>
          </w:tcPr>
          <w:p>
            <w:pPr>
              <w:spacing w:after="40"/>
            </w:pPr>
            <w:r>
              <w:rPr>
                <w:sz w:val="16"/>
              </w:rPr>
              <w:t>Data-processing terms</w:t>
            </w:r>
          </w:p>
        </w:tc>
        <w:tc>
          <w:tcPr>
            <w:tcW w:type="dxa" w:w="6768"/>
            <w:tcMar>
              <w:top w:w="70" w:type="dxa"/>
              <w:start w:w="100" w:type="dxa"/>
              <w:bottom w:w="70" w:type="dxa"/>
              <w:end w:w="100" w:type="dxa"/>
            </w:tcMar>
            <w:vAlign w:val="top"/>
          </w:tcPr>
          <w:p>
            <w:pPr>
              <w:spacing w:after="40"/>
            </w:pPr>
            <w:r>
              <w:rPr>
                <w:sz w:val="16"/>
              </w:rPr>
              <w:t>Controller/processor roles, instructions, safeguards, subprocessors, breach, transfers, retention and deletion</w:t>
            </w:r>
          </w:p>
        </w:tc>
      </w:tr>
      <w:tr>
        <w:trPr>
          <w:cantSplit/>
        </w:trPr>
        <w:tc>
          <w:tcPr>
            <w:tcW w:type="dxa" w:w="2592"/>
            <w:tcMar>
              <w:top w:w="70" w:type="dxa"/>
              <w:start w:w="100" w:type="dxa"/>
              <w:bottom w:w="70" w:type="dxa"/>
              <w:end w:w="100" w:type="dxa"/>
            </w:tcMar>
            <w:vAlign w:val="top"/>
            <w:shd w:fill="FAF8F6"/>
          </w:tcPr>
          <w:p>
            <w:pPr>
              <w:spacing w:after="40"/>
            </w:pPr>
            <w:r>
              <w:rPr>
                <w:sz w:val="16"/>
              </w:rPr>
              <w:t>Image/biometric consent</w:t>
            </w:r>
          </w:p>
        </w:tc>
        <w:tc>
          <w:tcPr>
            <w:tcW w:type="dxa" w:w="6768"/>
            <w:tcMar>
              <w:top w:w="70" w:type="dxa"/>
              <w:start w:w="100" w:type="dxa"/>
              <w:bottom w:w="70" w:type="dxa"/>
              <w:end w:w="100" w:type="dxa"/>
            </w:tcMar>
            <w:vAlign w:val="top"/>
            <w:shd w:fill="FAF8F6"/>
          </w:tcPr>
          <w:p>
            <w:pPr>
              <w:spacing w:after="40"/>
            </w:pPr>
            <w:r>
              <w:rPr>
                <w:sz w:val="16"/>
              </w:rPr>
              <w:t>Separate, specific, informed, revocable and non-coercive; a non-biometric alternative</w:t>
            </w:r>
          </w:p>
        </w:tc>
      </w:tr>
      <w:tr>
        <w:trPr>
          <w:cantSplit/>
        </w:trPr>
        <w:tc>
          <w:tcPr>
            <w:tcW w:type="dxa" w:w="2592"/>
            <w:tcMar>
              <w:top w:w="70" w:type="dxa"/>
              <w:start w:w="100" w:type="dxa"/>
              <w:bottom w:w="70" w:type="dxa"/>
              <w:end w:w="100" w:type="dxa"/>
            </w:tcMar>
            <w:vAlign w:val="top"/>
          </w:tcPr>
          <w:p>
            <w:pPr>
              <w:spacing w:after="40"/>
            </w:pPr>
            <w:r>
              <w:rPr>
                <w:sz w:val="16"/>
              </w:rPr>
              <w:t>Authority/release forms</w:t>
            </w:r>
          </w:p>
        </w:tc>
        <w:tc>
          <w:tcPr>
            <w:tcW w:type="dxa" w:w="6768"/>
            <w:tcMar>
              <w:top w:w="70" w:type="dxa"/>
              <w:start w:w="100" w:type="dxa"/>
              <w:bottom w:w="70" w:type="dxa"/>
              <w:end w:w="100" w:type="dxa"/>
            </w:tcMar>
            <w:vAlign w:val="top"/>
          </w:tcPr>
          <w:p>
            <w:pPr>
              <w:spacing w:after="40"/>
            </w:pPr>
            <w:r>
              <w:rPr>
                <w:sz w:val="16"/>
              </w:rPr>
              <w:t>Media, case study, testimonials and sensitive guest assistance separated from service access</w:t>
            </w:r>
          </w:p>
        </w:tc>
      </w:tr>
    </w:tbl>
    <w:p>
      <w:pPr>
        <w:spacing w:after="20"/>
      </w:pPr>
    </w:p>
    <w:p>
      <w:r>
        <w:t>Maison Doclar should seek broker advice on public liability, professional indemnity/errors and omissions, employers/workplace injury obligations, cyber/privacy, equipment, fidelity/crime, directors and officers, travel, and event-specific cancellation or terrorism/political violence where available. Coverage, limits and exclusions must match each engagement; insurance never replaces safe operation.</w:t>
      </w:r>
    </w:p>
    <w:p>
      <w:pPr>
        <w:pStyle w:val="Heading2"/>
        <w:keepNext/>
      </w:pPr>
      <w:r>
        <w:t>6.2 Technology and data</w:t>
      </w:r>
    </w:p>
    <w:p>
      <w:r>
        <w:t>The Event OS and Academy are enabling infrastructure, not separate strategies. The OS holds event-scoped facts, applies versioned knowledge and supports accountable human decisions. The Academy teaches, assesses and authorises people. Integration shares only necessary event briefing and readiness data under a contract; it does not merge databases or make employment decisions autonomously.</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1944"/>
            <w:shd w:fill="B79F85"/>
            <w:tcMar>
              <w:top w:w="70" w:type="dxa"/>
              <w:start w:w="100" w:type="dxa"/>
              <w:bottom w:w="70" w:type="dxa"/>
              <w:end w:w="100" w:type="dxa"/>
            </w:tcMar>
          </w:tcPr>
          <w:p>
            <w:r>
              <w:rPr>
                <w:b/>
                <w:sz w:val="16"/>
              </w:rPr>
              <w:t>Layer</w:t>
            </w:r>
          </w:p>
        </w:tc>
        <w:tc>
          <w:tcPr>
            <w:tcW w:type="dxa" w:w="7416"/>
            <w:shd w:fill="B79F85"/>
            <w:tcMar>
              <w:top w:w="70" w:type="dxa"/>
              <w:start w:w="100" w:type="dxa"/>
              <w:bottom w:w="70" w:type="dxa"/>
              <w:end w:w="100" w:type="dxa"/>
            </w:tcMar>
          </w:tcPr>
          <w:p>
            <w:r>
              <w:rPr>
                <w:b/>
                <w:sz w:val="16"/>
              </w:rPr>
              <w:t>Minimum capability</w:t>
            </w:r>
          </w:p>
        </w:tc>
      </w:tr>
      <w:tr>
        <w:trPr>
          <w:cantSplit/>
        </w:trPr>
        <w:tc>
          <w:tcPr>
            <w:tcW w:type="dxa" w:w="1944"/>
            <w:tcMar>
              <w:top w:w="70" w:type="dxa"/>
              <w:start w:w="100" w:type="dxa"/>
              <w:bottom w:w="70" w:type="dxa"/>
              <w:end w:w="100" w:type="dxa"/>
            </w:tcMar>
            <w:vAlign w:val="top"/>
          </w:tcPr>
          <w:p>
            <w:pPr>
              <w:spacing w:after="40"/>
            </w:pPr>
            <w:r>
              <w:rPr>
                <w:sz w:val="16"/>
              </w:rPr>
              <w:t>Commercial</w:t>
            </w:r>
          </w:p>
        </w:tc>
        <w:tc>
          <w:tcPr>
            <w:tcW w:type="dxa" w:w="7416"/>
            <w:tcMar>
              <w:top w:w="70" w:type="dxa"/>
              <w:start w:w="100" w:type="dxa"/>
              <w:bottom w:w="70" w:type="dxa"/>
              <w:end w:w="100" w:type="dxa"/>
            </w:tcMar>
            <w:vAlign w:val="top"/>
          </w:tcPr>
          <w:p>
            <w:pPr>
              <w:spacing w:after="40"/>
            </w:pPr>
            <w:r>
              <w:rPr>
                <w:sz w:val="16"/>
              </w:rPr>
              <w:t>CRM, pipeline, proposals, contracts, billing, cash and profitability</w:t>
            </w:r>
          </w:p>
        </w:tc>
      </w:tr>
      <w:tr>
        <w:trPr>
          <w:cantSplit/>
        </w:trPr>
        <w:tc>
          <w:tcPr>
            <w:tcW w:type="dxa" w:w="1944"/>
            <w:tcMar>
              <w:top w:w="70" w:type="dxa"/>
              <w:start w:w="100" w:type="dxa"/>
              <w:bottom w:w="70" w:type="dxa"/>
              <w:end w:w="100" w:type="dxa"/>
            </w:tcMar>
            <w:vAlign w:val="top"/>
            <w:shd w:fill="FAF8F6"/>
          </w:tcPr>
          <w:p>
            <w:pPr>
              <w:spacing w:after="40"/>
            </w:pPr>
            <w:r>
              <w:rPr>
                <w:sz w:val="16"/>
              </w:rPr>
              <w:t>Event OS</w:t>
            </w:r>
          </w:p>
        </w:tc>
        <w:tc>
          <w:tcPr>
            <w:tcW w:type="dxa" w:w="7416"/>
            <w:tcMar>
              <w:top w:w="70" w:type="dxa"/>
              <w:start w:w="100" w:type="dxa"/>
              <w:bottom w:w="70" w:type="dxa"/>
              <w:end w:w="100" w:type="dxa"/>
            </w:tcMar>
            <w:vAlign w:val="top"/>
            <w:shd w:fill="FAF8F6"/>
          </w:tcPr>
          <w:p>
            <w:pPr>
              <w:spacing w:after="40"/>
            </w:pPr>
            <w:r>
              <w:rPr>
                <w:sz w:val="16"/>
              </w:rPr>
              <w:t>Events, guests, parties, permissions, intake, RSVP, seating, communications, credentials, check-in, incidents, readiness and decisions</w:t>
            </w:r>
          </w:p>
        </w:tc>
      </w:tr>
      <w:tr>
        <w:trPr>
          <w:cantSplit/>
        </w:trPr>
        <w:tc>
          <w:tcPr>
            <w:tcW w:type="dxa" w:w="1944"/>
            <w:tcMar>
              <w:top w:w="70" w:type="dxa"/>
              <w:start w:w="100" w:type="dxa"/>
              <w:bottom w:w="70" w:type="dxa"/>
              <w:end w:w="100" w:type="dxa"/>
            </w:tcMar>
            <w:vAlign w:val="top"/>
          </w:tcPr>
          <w:p>
            <w:pPr>
              <w:spacing w:after="40"/>
            </w:pPr>
            <w:r>
              <w:rPr>
                <w:sz w:val="16"/>
              </w:rPr>
              <w:t>Knowledge</w:t>
            </w:r>
          </w:p>
        </w:tc>
        <w:tc>
          <w:tcPr>
            <w:tcW w:type="dxa" w:w="7416"/>
            <w:tcMar>
              <w:top w:w="70" w:type="dxa"/>
              <w:start w:w="100" w:type="dxa"/>
              <w:bottom w:w="70" w:type="dxa"/>
              <w:end w:w="100" w:type="dxa"/>
            </w:tcMar>
            <w:vAlign w:val="top"/>
          </w:tcPr>
          <w:p>
            <w:pPr>
              <w:spacing w:after="40"/>
            </w:pPr>
            <w:r>
              <w:rPr>
                <w:sz w:val="16"/>
              </w:rPr>
              <w:t>Versioned doctrine, sources, scope, owners, effective dates, conflicts and change impact</w:t>
            </w:r>
          </w:p>
        </w:tc>
      </w:tr>
      <w:tr>
        <w:trPr>
          <w:cantSplit/>
        </w:trPr>
        <w:tc>
          <w:tcPr>
            <w:tcW w:type="dxa" w:w="1944"/>
            <w:tcMar>
              <w:top w:w="70" w:type="dxa"/>
              <w:start w:w="100" w:type="dxa"/>
              <w:bottom w:w="70" w:type="dxa"/>
              <w:end w:w="100" w:type="dxa"/>
            </w:tcMar>
            <w:vAlign w:val="top"/>
            <w:shd w:fill="FAF8F6"/>
          </w:tcPr>
          <w:p>
            <w:pPr>
              <w:spacing w:after="40"/>
            </w:pPr>
            <w:r>
              <w:rPr>
                <w:sz w:val="16"/>
              </w:rPr>
              <w:t>Academy</w:t>
            </w:r>
          </w:p>
        </w:tc>
        <w:tc>
          <w:tcPr>
            <w:tcW w:type="dxa" w:w="7416"/>
            <w:tcMar>
              <w:top w:w="70" w:type="dxa"/>
              <w:start w:w="100" w:type="dxa"/>
              <w:bottom w:w="70" w:type="dxa"/>
              <w:end w:w="100" w:type="dxa"/>
            </w:tcMar>
            <w:vAlign w:val="top"/>
            <w:shd w:fill="FAF8F6"/>
          </w:tcPr>
          <w:p>
            <w:pPr>
              <w:spacing w:after="40"/>
            </w:pPr>
            <w:r>
              <w:rPr>
                <w:sz w:val="16"/>
              </w:rPr>
              <w:t>Roles, competencies, courses, question bank, practical evidence, certificates and deployment eligibility</w:t>
            </w:r>
          </w:p>
        </w:tc>
      </w:tr>
      <w:tr>
        <w:trPr>
          <w:cantSplit/>
        </w:trPr>
        <w:tc>
          <w:tcPr>
            <w:tcW w:type="dxa" w:w="1944"/>
            <w:tcMar>
              <w:top w:w="70" w:type="dxa"/>
              <w:start w:w="100" w:type="dxa"/>
              <w:bottom w:w="70" w:type="dxa"/>
              <w:end w:w="100" w:type="dxa"/>
            </w:tcMar>
            <w:vAlign w:val="top"/>
          </w:tcPr>
          <w:p>
            <w:pPr>
              <w:spacing w:after="40"/>
            </w:pPr>
            <w:r>
              <w:rPr>
                <w:sz w:val="16"/>
              </w:rPr>
              <w:t>Analytics</w:t>
            </w:r>
          </w:p>
        </w:tc>
        <w:tc>
          <w:tcPr>
            <w:tcW w:type="dxa" w:w="7416"/>
            <w:tcMar>
              <w:top w:w="70" w:type="dxa"/>
              <w:start w:w="100" w:type="dxa"/>
              <w:bottom w:w="70" w:type="dxa"/>
              <w:end w:w="100" w:type="dxa"/>
            </w:tcMar>
            <w:vAlign w:val="top"/>
          </w:tcPr>
          <w:p>
            <w:pPr>
              <w:spacing w:after="40"/>
            </w:pPr>
            <w:r>
              <w:rPr>
                <w:sz w:val="16"/>
              </w:rPr>
              <w:t>Pipeline, margins, readiness, incidents, client outcomes, team competence and data-quality signals</w:t>
            </w:r>
          </w:p>
        </w:tc>
      </w:tr>
      <w:tr>
        <w:trPr>
          <w:cantSplit/>
        </w:trPr>
        <w:tc>
          <w:tcPr>
            <w:tcW w:type="dxa" w:w="1944"/>
            <w:tcMar>
              <w:top w:w="70" w:type="dxa"/>
              <w:start w:w="100" w:type="dxa"/>
              <w:bottom w:w="70" w:type="dxa"/>
              <w:end w:w="100" w:type="dxa"/>
            </w:tcMar>
            <w:vAlign w:val="top"/>
            <w:shd w:fill="FAF8F6"/>
          </w:tcPr>
          <w:p>
            <w:pPr>
              <w:spacing w:after="40"/>
            </w:pPr>
            <w:r>
              <w:rPr>
                <w:sz w:val="16"/>
              </w:rPr>
              <w:t>Control</w:t>
            </w:r>
          </w:p>
        </w:tc>
        <w:tc>
          <w:tcPr>
            <w:tcW w:type="dxa" w:w="7416"/>
            <w:tcMar>
              <w:top w:w="70" w:type="dxa"/>
              <w:start w:w="100" w:type="dxa"/>
              <w:bottom w:w="70" w:type="dxa"/>
              <w:end w:w="100" w:type="dxa"/>
            </w:tcMar>
            <w:vAlign w:val="top"/>
            <w:shd w:fill="FAF8F6"/>
          </w:tcPr>
          <w:p>
            <w:pPr>
              <w:spacing w:after="40"/>
            </w:pPr>
            <w:r>
              <w:rPr>
                <w:sz w:val="16"/>
              </w:rPr>
              <w:t>SSO/MFA, least privilege, event scope, encryption, audit, backups, offline operation and tested recovery</w:t>
            </w:r>
          </w:p>
        </w:tc>
      </w:tr>
    </w:tbl>
    <w:p>
      <w:pPr>
        <w:spacing w:after="20"/>
      </w:pPr>
    </w:p>
    <w:p>
      <w:r>
        <w:t>AI may summarise approved material, detect omissions, propose scenarios and explain risks. It may not invent guest facts, infer sensitive traits, decide status, settle protocol disputes, identify faces without lawful and explicit controls, or make final safety/legal/cultural decisions. High-impact output runs in shadow mode, is evaluated for accuracy and bias, and requires human approval.</w:t>
      </w:r>
    </w:p>
    <w:p>
      <w:pPr>
        <w:pStyle w:val="Heading2"/>
        <w:keepNext/>
      </w:pPr>
      <w:r>
        <w:t>6.3 Brand, reputation and proof</w:t>
      </w:r>
    </w:p>
    <w:tbl>
      <w:tblPr>
        <w:tblW w:type="auto" w:w="0"/>
        <w:tblLook w:firstColumn="1" w:firstRow="1" w:lastColumn="0" w:lastRow="0" w:noHBand="0" w:noVBand="1" w:val="04A0"/>
      </w:tblPr>
      <w:tblGrid>
        <w:gridCol w:w="9878"/>
      </w:tblGrid>
      <w:tr>
        <w:tc>
          <w:tcPr>
            <w:tcW w:type="dxa" w:w="9878"/>
            <w:shd w:fill="F3EEE9"/>
            <w:tcMar>
              <w:top w:w="120" w:type="dxa"/>
              <w:start w:w="140" w:type="dxa"/>
              <w:bottom w:w="120" w:type="dxa"/>
              <w:end w:w="140" w:type="dxa"/>
            </w:tcMar>
          </w:tcPr>
          <w:p>
            <w:r>
              <w:rPr>
                <w:b/>
                <w:color w:val="B79F85"/>
              </w:rPr>
              <w:t xml:space="preserve">CURRENT POSITION  </w:t>
            </w:r>
            <w:r>
              <w:t>Maison Doclar’s market reputation, verified portfolio, testimonials, awards, historic delivery volume and awareness were not evidenced in the supplied material. The honest position is therefore “not yet established in this plan,” not “strong” or “weak.”</w:t>
            </w:r>
          </w:p>
        </w:tc>
      </w:tr>
    </w:tbl>
    <w:p>
      <w:pPr>
        <w:pStyle w:val="ListBullet"/>
      </w:pPr>
      <w:r>
        <w:t>Create a proof register: client consent, event scope, measured outcome, incident context, quote approval, media rights and expiry.</w:t>
      </w:r>
    </w:p>
    <w:p>
      <w:pPr>
        <w:pStyle w:val="ListBullet"/>
      </w:pPr>
      <w:r>
        <w:t>After each paid engagement, seek private feedback first; request testimonial, introduction or case-study permission separately.</w:t>
      </w:r>
    </w:p>
    <w:p>
      <w:pPr>
        <w:pStyle w:val="ListBullet"/>
      </w:pPr>
      <w:r>
        <w:t>Measure reputation through qualified referrals, proposal conversion, repeat revenue, unsolicited recommendations, complaint severity/closure and periodic confidential interviews.</w:t>
      </w:r>
    </w:p>
    <w:p>
      <w:pPr>
        <w:pStyle w:val="ListBullet"/>
      </w:pPr>
      <w:r>
        <w:t>Crisis sequence: protect people; establish facts; appoint one spokesperson; notify client/authority/insurer as required; avoid speculation; correct quickly; preserve evidence; review transparently.</w:t>
      </w:r>
    </w:p>
    <w:p>
      <w:pPr>
        <w:pStyle w:val="ListBullet"/>
      </w:pPr>
      <w:r>
        <w:t>Pursue awards only where criteria, judges and value are credible. Never purchase the appearance of recognition.</w:t>
      </w:r>
    </w:p>
    <w:p>
      <w:pPr>
        <w:pStyle w:val="Heading2"/>
        <w:keepNext/>
      </w:pPr>
      <w:r>
        <w:t>6.4 Client lifecycle</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1656"/>
            <w:shd w:fill="B79F85"/>
            <w:tcMar>
              <w:top w:w="70" w:type="dxa"/>
              <w:start w:w="100" w:type="dxa"/>
              <w:bottom w:w="70" w:type="dxa"/>
              <w:end w:w="100" w:type="dxa"/>
            </w:tcMar>
          </w:tcPr>
          <w:p>
            <w:r>
              <w:rPr>
                <w:b/>
                <w:sz w:val="16"/>
              </w:rPr>
              <w:t>Moment</w:t>
            </w:r>
          </w:p>
        </w:tc>
        <w:tc>
          <w:tcPr>
            <w:tcW w:type="dxa" w:w="7704"/>
            <w:shd w:fill="B79F85"/>
            <w:tcMar>
              <w:top w:w="70" w:type="dxa"/>
              <w:start w:w="100" w:type="dxa"/>
              <w:bottom w:w="70" w:type="dxa"/>
              <w:end w:w="100" w:type="dxa"/>
            </w:tcMar>
          </w:tcPr>
          <w:p>
            <w:r>
              <w:rPr>
                <w:b/>
                <w:sz w:val="16"/>
              </w:rPr>
              <w:t>Maison Doclar standard</w:t>
            </w:r>
          </w:p>
        </w:tc>
      </w:tr>
      <w:tr>
        <w:trPr>
          <w:cantSplit/>
        </w:trPr>
        <w:tc>
          <w:tcPr>
            <w:tcW w:type="dxa" w:w="1656"/>
            <w:tcMar>
              <w:top w:w="70" w:type="dxa"/>
              <w:start w:w="100" w:type="dxa"/>
              <w:bottom w:w="70" w:type="dxa"/>
              <w:end w:w="100" w:type="dxa"/>
            </w:tcMar>
            <w:vAlign w:val="top"/>
          </w:tcPr>
          <w:p>
            <w:pPr>
              <w:spacing w:after="40"/>
            </w:pPr>
            <w:r>
              <w:rPr>
                <w:sz w:val="16"/>
              </w:rPr>
              <w:t>Onboarding</w:t>
            </w:r>
          </w:p>
        </w:tc>
        <w:tc>
          <w:tcPr>
            <w:tcW w:type="dxa" w:w="7704"/>
            <w:tcMar>
              <w:top w:w="70" w:type="dxa"/>
              <w:start w:w="100" w:type="dxa"/>
              <w:bottom w:w="70" w:type="dxa"/>
              <w:end w:w="100" w:type="dxa"/>
            </w:tcMar>
            <w:vAlign w:val="top"/>
          </w:tcPr>
          <w:p>
            <w:pPr>
              <w:spacing w:after="40"/>
            </w:pPr>
            <w:r>
              <w:rPr>
                <w:sz w:val="16"/>
              </w:rPr>
              <w:t>Named owner, welcome, secure data route, authority map, cadence, decisions and dependencies</w:t>
            </w:r>
          </w:p>
        </w:tc>
      </w:tr>
      <w:tr>
        <w:trPr>
          <w:cantSplit/>
        </w:trPr>
        <w:tc>
          <w:tcPr>
            <w:tcW w:type="dxa" w:w="1656"/>
            <w:tcMar>
              <w:top w:w="70" w:type="dxa"/>
              <w:start w:w="100" w:type="dxa"/>
              <w:bottom w:w="70" w:type="dxa"/>
              <w:end w:w="100" w:type="dxa"/>
            </w:tcMar>
            <w:vAlign w:val="top"/>
            <w:shd w:fill="FAF8F6"/>
          </w:tcPr>
          <w:p>
            <w:pPr>
              <w:spacing w:after="40"/>
            </w:pPr>
            <w:r>
              <w:rPr>
                <w:sz w:val="16"/>
              </w:rPr>
              <w:t>Planning</w:t>
            </w:r>
          </w:p>
        </w:tc>
        <w:tc>
          <w:tcPr>
            <w:tcW w:type="dxa" w:w="7704"/>
            <w:tcMar>
              <w:top w:w="70" w:type="dxa"/>
              <w:start w:w="100" w:type="dxa"/>
              <w:bottom w:w="70" w:type="dxa"/>
              <w:end w:w="100" w:type="dxa"/>
            </w:tcMar>
            <w:vAlign w:val="top"/>
            <w:shd w:fill="FAF8F6"/>
          </w:tcPr>
          <w:p>
            <w:pPr>
              <w:spacing w:after="40"/>
            </w:pPr>
            <w:r>
              <w:rPr>
                <w:sz w:val="16"/>
              </w:rPr>
              <w:t>Weekly or risk-based status; concise decision requests; no surprise escalation</w:t>
            </w:r>
          </w:p>
        </w:tc>
      </w:tr>
      <w:tr>
        <w:trPr>
          <w:cantSplit/>
        </w:trPr>
        <w:tc>
          <w:tcPr>
            <w:tcW w:type="dxa" w:w="1656"/>
            <w:tcMar>
              <w:top w:w="70" w:type="dxa"/>
              <w:start w:w="100" w:type="dxa"/>
              <w:bottom w:w="70" w:type="dxa"/>
              <w:end w:w="100" w:type="dxa"/>
            </w:tcMar>
            <w:vAlign w:val="top"/>
          </w:tcPr>
          <w:p>
            <w:pPr>
              <w:spacing w:after="40"/>
            </w:pPr>
            <w:r>
              <w:rPr>
                <w:sz w:val="16"/>
              </w:rPr>
              <w:t>Pre-event</w:t>
            </w:r>
          </w:p>
        </w:tc>
        <w:tc>
          <w:tcPr>
            <w:tcW w:type="dxa" w:w="7704"/>
            <w:tcMar>
              <w:top w:w="70" w:type="dxa"/>
              <w:start w:w="100" w:type="dxa"/>
              <w:bottom w:w="70" w:type="dxa"/>
              <w:end w:w="100" w:type="dxa"/>
            </w:tcMar>
            <w:vAlign w:val="top"/>
          </w:tcPr>
          <w:p>
            <w:pPr>
              <w:spacing w:after="40"/>
            </w:pPr>
            <w:r>
              <w:rPr>
                <w:sz w:val="16"/>
              </w:rPr>
              <w:t>Readiness briefing, what-to-expect guide, emergency channels and final approvals</w:t>
            </w:r>
          </w:p>
        </w:tc>
      </w:tr>
      <w:tr>
        <w:trPr>
          <w:cantSplit/>
        </w:trPr>
        <w:tc>
          <w:tcPr>
            <w:tcW w:type="dxa" w:w="1656"/>
            <w:tcMar>
              <w:top w:w="70" w:type="dxa"/>
              <w:start w:w="100" w:type="dxa"/>
              <w:bottom w:w="70" w:type="dxa"/>
              <w:end w:w="100" w:type="dxa"/>
            </w:tcMar>
            <w:vAlign w:val="top"/>
            <w:shd w:fill="FAF8F6"/>
          </w:tcPr>
          <w:p>
            <w:pPr>
              <w:spacing w:after="40"/>
            </w:pPr>
            <w:r>
              <w:rPr>
                <w:sz w:val="16"/>
              </w:rPr>
              <w:t>Live</w:t>
            </w:r>
          </w:p>
        </w:tc>
        <w:tc>
          <w:tcPr>
            <w:tcW w:type="dxa" w:w="7704"/>
            <w:tcMar>
              <w:top w:w="70" w:type="dxa"/>
              <w:start w:w="100" w:type="dxa"/>
              <w:bottom w:w="70" w:type="dxa"/>
              <w:end w:w="100" w:type="dxa"/>
            </w:tcMar>
            <w:vAlign w:val="top"/>
            <w:shd w:fill="FAF8F6"/>
          </w:tcPr>
          <w:p>
            <w:pPr>
              <w:spacing w:after="40"/>
            </w:pPr>
            <w:r>
              <w:rPr>
                <w:sz w:val="16"/>
              </w:rPr>
              <w:t>Single command structure, discreet updates, owned issues and guest-centred recovery</w:t>
            </w:r>
          </w:p>
        </w:tc>
      </w:tr>
      <w:tr>
        <w:trPr>
          <w:cantSplit/>
        </w:trPr>
        <w:tc>
          <w:tcPr>
            <w:tcW w:type="dxa" w:w="1656"/>
            <w:tcMar>
              <w:top w:w="70" w:type="dxa"/>
              <w:start w:w="100" w:type="dxa"/>
              <w:bottom w:w="70" w:type="dxa"/>
              <w:end w:w="100" w:type="dxa"/>
            </w:tcMar>
            <w:vAlign w:val="top"/>
          </w:tcPr>
          <w:p>
            <w:pPr>
              <w:spacing w:after="40"/>
            </w:pPr>
            <w:r>
              <w:rPr>
                <w:sz w:val="16"/>
              </w:rPr>
              <w:t>48 hours</w:t>
            </w:r>
          </w:p>
        </w:tc>
        <w:tc>
          <w:tcPr>
            <w:tcW w:type="dxa" w:w="7704"/>
            <w:tcMar>
              <w:top w:w="70" w:type="dxa"/>
              <w:start w:w="100" w:type="dxa"/>
              <w:bottom w:w="70" w:type="dxa"/>
              <w:end w:w="100" w:type="dxa"/>
            </w:tcMar>
            <w:vAlign w:val="top"/>
          </w:tcPr>
          <w:p>
            <w:pPr>
              <w:spacing w:after="40"/>
            </w:pPr>
            <w:r>
              <w:rPr>
                <w:sz w:val="16"/>
              </w:rPr>
              <w:t>Safety/welfare follow-up, preliminary close and urgent data actions</w:t>
            </w:r>
          </w:p>
        </w:tc>
      </w:tr>
      <w:tr>
        <w:trPr>
          <w:cantSplit/>
        </w:trPr>
        <w:tc>
          <w:tcPr>
            <w:tcW w:type="dxa" w:w="1656"/>
            <w:tcMar>
              <w:top w:w="70" w:type="dxa"/>
              <w:start w:w="100" w:type="dxa"/>
              <w:bottom w:w="70" w:type="dxa"/>
              <w:end w:w="100" w:type="dxa"/>
            </w:tcMar>
            <w:vAlign w:val="top"/>
            <w:shd w:fill="FAF8F6"/>
          </w:tcPr>
          <w:p>
            <w:pPr>
              <w:spacing w:after="40"/>
            </w:pPr>
            <w:r>
              <w:rPr>
                <w:sz w:val="16"/>
              </w:rPr>
              <w:t>7–14 days</w:t>
            </w:r>
          </w:p>
        </w:tc>
        <w:tc>
          <w:tcPr>
            <w:tcW w:type="dxa" w:w="7704"/>
            <w:tcMar>
              <w:top w:w="70" w:type="dxa"/>
              <w:start w:w="100" w:type="dxa"/>
              <w:bottom w:w="70" w:type="dxa"/>
              <w:end w:w="100" w:type="dxa"/>
            </w:tcMar>
            <w:vAlign w:val="top"/>
            <w:shd w:fill="FAF8F6"/>
          </w:tcPr>
          <w:p>
            <w:pPr>
              <w:spacing w:after="40"/>
            </w:pPr>
            <w:r>
              <w:rPr>
                <w:sz w:val="16"/>
              </w:rPr>
              <w:t>Structured review, outcomes, financial reconciliation, incidents and recommendations</w:t>
            </w:r>
          </w:p>
        </w:tc>
      </w:tr>
      <w:tr>
        <w:trPr>
          <w:cantSplit/>
        </w:trPr>
        <w:tc>
          <w:tcPr>
            <w:tcW w:type="dxa" w:w="1656"/>
            <w:tcMar>
              <w:top w:w="70" w:type="dxa"/>
              <w:start w:w="100" w:type="dxa"/>
              <w:bottom w:w="70" w:type="dxa"/>
              <w:end w:w="100" w:type="dxa"/>
            </w:tcMar>
            <w:vAlign w:val="top"/>
          </w:tcPr>
          <w:p>
            <w:pPr>
              <w:spacing w:after="40"/>
            </w:pPr>
            <w:r>
              <w:rPr>
                <w:sz w:val="16"/>
              </w:rPr>
              <w:t>30–90 days</w:t>
            </w:r>
          </w:p>
        </w:tc>
        <w:tc>
          <w:tcPr>
            <w:tcW w:type="dxa" w:w="7704"/>
            <w:tcMar>
              <w:top w:w="70" w:type="dxa"/>
              <w:start w:w="100" w:type="dxa"/>
              <w:bottom w:w="70" w:type="dxa"/>
              <w:end w:w="100" w:type="dxa"/>
            </w:tcMar>
            <w:vAlign w:val="top"/>
          </w:tcPr>
          <w:p>
            <w:pPr>
              <w:spacing w:after="40"/>
            </w:pPr>
            <w:r>
              <w:rPr>
                <w:sz w:val="16"/>
              </w:rPr>
              <w:t>Relationship follow-up, next-event readiness, useful insight and retainer discussion</w:t>
            </w:r>
          </w:p>
        </w:tc>
      </w:tr>
      <w:tr>
        <w:trPr>
          <w:cantSplit/>
        </w:trPr>
        <w:tc>
          <w:tcPr>
            <w:tcW w:type="dxa" w:w="1656"/>
            <w:tcMar>
              <w:top w:w="70" w:type="dxa"/>
              <w:start w:w="100" w:type="dxa"/>
              <w:bottom w:w="70" w:type="dxa"/>
              <w:end w:w="100" w:type="dxa"/>
            </w:tcMar>
            <w:vAlign w:val="top"/>
            <w:shd w:fill="FAF8F6"/>
          </w:tcPr>
          <w:p>
            <w:pPr>
              <w:spacing w:after="40"/>
            </w:pPr>
            <w:r>
              <w:rPr>
                <w:sz w:val="16"/>
              </w:rPr>
              <w:t>Annual</w:t>
            </w:r>
          </w:p>
        </w:tc>
        <w:tc>
          <w:tcPr>
            <w:tcW w:type="dxa" w:w="7704"/>
            <w:tcMar>
              <w:top w:w="70" w:type="dxa"/>
              <w:start w:w="100" w:type="dxa"/>
              <w:bottom w:w="70" w:type="dxa"/>
              <w:end w:w="100" w:type="dxa"/>
            </w:tcMar>
            <w:vAlign w:val="top"/>
            <w:shd w:fill="FAF8F6"/>
          </w:tcPr>
          <w:p>
            <w:pPr>
              <w:spacing w:after="40"/>
            </w:pPr>
            <w:r>
              <w:rPr>
                <w:sz w:val="16"/>
              </w:rPr>
              <w:t>Private portfolio review for retained clients; permissions and preferences refreshed</w:t>
            </w:r>
          </w:p>
        </w:tc>
      </w:tr>
    </w:tbl>
    <w:p>
      <w:pPr>
        <w:spacing w:after="20"/>
      </w:pPr>
    </w:p>
    <w:p>
      <w:pPr>
        <w:pStyle w:val="Heading2"/>
        <w:keepNext/>
      </w:pPr>
      <w:r>
        <w:t>6.5 Thought leadership and category creation</w:t>
      </w:r>
    </w:p>
    <w:p>
      <w:r>
        <w:t>Maison Doclar should act as a market maker only after it has evidence. The platform is an annual “State of Guest Experience in African Events” report; a private CEO salon; practical standards for guest dignity, accessibility, protocol verification and event intelligence; Academy masterclasses; and concise commentary on relevant issues. Research must disclose sample, method and limitations.</w:t>
      </w:r>
    </w:p>
    <w:p>
      <w:pPr>
        <w:pStyle w:val="ListBullet"/>
      </w:pPr>
      <w:r>
        <w:t>Year 1: publish the Maison Doclar Guest Dignity Standard and two evidence-led field notes.</w:t>
      </w:r>
    </w:p>
    <w:p>
      <w:pPr>
        <w:pStyle w:val="ListBullet"/>
      </w:pPr>
      <w:r>
        <w:t>Year 2: convene a private practitioner/host roundtable and publish anonymised benchmark findings.</w:t>
      </w:r>
    </w:p>
    <w:p>
      <w:pPr>
        <w:pStyle w:val="ListBullet"/>
      </w:pPr>
      <w:r>
        <w:t>Year 3: launch an externally reviewed annual report and selective Academy certification.</w:t>
      </w:r>
    </w:p>
    <w:p>
      <w:pPr>
        <w:pStyle w:val="ListBullet"/>
      </w:pPr>
      <w:r>
        <w:t>Join or collaborate with credible hospitality, events, privacy, safety and professional bodies only where participation adds learning, standards or trusted access.</w:t>
      </w:r>
    </w:p>
    <w:p>
      <w:pPr>
        <w:pStyle w:val="Heading1"/>
        <w:keepNext/>
      </w:pPr>
      <w:r>
        <w:t>Part 7 — Integrated business plan and execution roadmap</w:t>
      </w:r>
    </w:p>
    <w:p>
      <w:pPr>
        <w:pStyle w:val="Heading2"/>
        <w:keepNext/>
      </w:pPr>
      <w:r>
        <w:t>7.1 Ninety-day formation plan</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008"/>
            <w:shd w:fill="B79F85"/>
            <w:tcMar>
              <w:top w:w="70" w:type="dxa"/>
              <w:start w:w="100" w:type="dxa"/>
              <w:bottom w:w="70" w:type="dxa"/>
              <w:end w:w="100" w:type="dxa"/>
            </w:tcMar>
          </w:tcPr>
          <w:p>
            <w:r>
              <w:rPr>
                <w:b/>
                <w:sz w:val="16"/>
              </w:rPr>
              <w:t>Days</w:t>
            </w:r>
          </w:p>
        </w:tc>
        <w:tc>
          <w:tcPr>
            <w:tcW w:type="dxa" w:w="5184"/>
            <w:shd w:fill="B79F85"/>
            <w:tcMar>
              <w:top w:w="70" w:type="dxa"/>
              <w:start w:w="100" w:type="dxa"/>
              <w:bottom w:w="70" w:type="dxa"/>
              <w:end w:w="100" w:type="dxa"/>
            </w:tcMar>
          </w:tcPr>
          <w:p>
            <w:r>
              <w:rPr>
                <w:b/>
                <w:sz w:val="16"/>
              </w:rPr>
              <w:t>CEO outcomes</w:t>
            </w:r>
          </w:p>
        </w:tc>
        <w:tc>
          <w:tcPr>
            <w:tcW w:type="dxa" w:w="3456"/>
            <w:shd w:fill="B79F85"/>
            <w:tcMar>
              <w:top w:w="70" w:type="dxa"/>
              <w:start w:w="100" w:type="dxa"/>
              <w:bottom w:w="70" w:type="dxa"/>
              <w:end w:w="100" w:type="dxa"/>
            </w:tcMar>
          </w:tcPr>
          <w:p>
            <w:r>
              <w:rPr>
                <w:b/>
                <w:sz w:val="16"/>
              </w:rPr>
              <w:t>Evidence</w:t>
            </w:r>
          </w:p>
        </w:tc>
      </w:tr>
      <w:tr>
        <w:trPr>
          <w:cantSplit/>
        </w:trPr>
        <w:tc>
          <w:tcPr>
            <w:tcW w:type="dxa" w:w="1008"/>
            <w:tcMar>
              <w:top w:w="70" w:type="dxa"/>
              <w:start w:w="100" w:type="dxa"/>
              <w:bottom w:w="70" w:type="dxa"/>
              <w:end w:w="100" w:type="dxa"/>
            </w:tcMar>
            <w:vAlign w:val="top"/>
          </w:tcPr>
          <w:p>
            <w:pPr>
              <w:spacing w:after="40"/>
            </w:pPr>
            <w:r>
              <w:rPr>
                <w:sz w:val="16"/>
              </w:rPr>
              <w:t>0–30</w:t>
            </w:r>
          </w:p>
        </w:tc>
        <w:tc>
          <w:tcPr>
            <w:tcW w:type="dxa" w:w="5184"/>
            <w:tcMar>
              <w:top w:w="70" w:type="dxa"/>
              <w:start w:w="100" w:type="dxa"/>
              <w:bottom w:w="70" w:type="dxa"/>
              <w:end w:w="100" w:type="dxa"/>
            </w:tcMar>
            <w:vAlign w:val="top"/>
          </w:tcPr>
          <w:p>
            <w:pPr>
              <w:spacing w:after="40"/>
            </w:pPr>
            <w:r>
              <w:rPr>
                <w:sz w:val="16"/>
              </w:rPr>
              <w:t>Ratify this plan; verify legal/financial baseline; define offer cards and price floors; name critical advisers</w:t>
            </w:r>
          </w:p>
        </w:tc>
        <w:tc>
          <w:tcPr>
            <w:tcW w:type="dxa" w:w="3456"/>
            <w:tcMar>
              <w:top w:w="70" w:type="dxa"/>
              <w:start w:w="100" w:type="dxa"/>
              <w:bottom w:w="70" w:type="dxa"/>
              <w:end w:w="100" w:type="dxa"/>
            </w:tcMar>
            <w:vAlign w:val="top"/>
          </w:tcPr>
          <w:p>
            <w:pPr>
              <w:spacing w:after="40"/>
            </w:pPr>
            <w:r>
              <w:rPr>
                <w:sz w:val="16"/>
              </w:rPr>
              <w:t>Signed decisions, finance pack, compliance brief, offer/pricing sheet</w:t>
            </w:r>
          </w:p>
        </w:tc>
      </w:tr>
      <w:tr>
        <w:trPr>
          <w:cantSplit/>
        </w:trPr>
        <w:tc>
          <w:tcPr>
            <w:tcW w:type="dxa" w:w="1008"/>
            <w:tcMar>
              <w:top w:w="70" w:type="dxa"/>
              <w:start w:w="100" w:type="dxa"/>
              <w:bottom w:w="70" w:type="dxa"/>
              <w:end w:w="100" w:type="dxa"/>
            </w:tcMar>
            <w:vAlign w:val="top"/>
            <w:shd w:fill="FAF8F6"/>
          </w:tcPr>
          <w:p>
            <w:pPr>
              <w:spacing w:after="40"/>
            </w:pPr>
            <w:r>
              <w:rPr>
                <w:sz w:val="16"/>
              </w:rPr>
              <w:t>31–60</w:t>
            </w:r>
          </w:p>
        </w:tc>
        <w:tc>
          <w:tcPr>
            <w:tcW w:type="dxa" w:w="5184"/>
            <w:tcMar>
              <w:top w:w="70" w:type="dxa"/>
              <w:start w:w="100" w:type="dxa"/>
              <w:bottom w:w="70" w:type="dxa"/>
              <w:end w:w="100" w:type="dxa"/>
            </w:tcMar>
            <w:vAlign w:val="top"/>
            <w:shd w:fill="FAF8F6"/>
          </w:tcPr>
          <w:p>
            <w:pPr>
              <w:spacing w:after="40"/>
            </w:pPr>
            <w:r>
              <w:rPr>
                <w:sz w:val="16"/>
              </w:rPr>
              <w:t>Build target-account list; partner diligence; sales materials; pilot delivery team; OS/Academy release plan</w:t>
            </w:r>
          </w:p>
        </w:tc>
        <w:tc>
          <w:tcPr>
            <w:tcW w:type="dxa" w:w="3456"/>
            <w:tcMar>
              <w:top w:w="70" w:type="dxa"/>
              <w:start w:w="100" w:type="dxa"/>
              <w:bottom w:w="70" w:type="dxa"/>
              <w:end w:w="100" w:type="dxa"/>
            </w:tcMar>
            <w:vAlign w:val="top"/>
            <w:shd w:fill="FAF8F6"/>
          </w:tcPr>
          <w:p>
            <w:pPr>
              <w:spacing w:after="40"/>
            </w:pPr>
            <w:r>
              <w:rPr>
                <w:sz w:val="16"/>
              </w:rPr>
              <w:t>50 qualified accounts, 10 introducers, partner register, certified pilot team</w:t>
            </w:r>
          </w:p>
        </w:tc>
      </w:tr>
      <w:tr>
        <w:trPr>
          <w:cantSplit/>
        </w:trPr>
        <w:tc>
          <w:tcPr>
            <w:tcW w:type="dxa" w:w="1008"/>
            <w:tcMar>
              <w:top w:w="70" w:type="dxa"/>
              <w:start w:w="100" w:type="dxa"/>
              <w:bottom w:w="70" w:type="dxa"/>
              <w:end w:w="100" w:type="dxa"/>
            </w:tcMar>
            <w:vAlign w:val="top"/>
          </w:tcPr>
          <w:p>
            <w:pPr>
              <w:spacing w:after="40"/>
            </w:pPr>
            <w:r>
              <w:rPr>
                <w:sz w:val="16"/>
              </w:rPr>
              <w:t>61–90</w:t>
            </w:r>
          </w:p>
        </w:tc>
        <w:tc>
          <w:tcPr>
            <w:tcW w:type="dxa" w:w="5184"/>
            <w:tcMar>
              <w:top w:w="70" w:type="dxa"/>
              <w:start w:w="100" w:type="dxa"/>
              <w:bottom w:w="70" w:type="dxa"/>
              <w:end w:w="100" w:type="dxa"/>
            </w:tcMar>
            <w:vAlign w:val="top"/>
          </w:tcPr>
          <w:p>
            <w:pPr>
              <w:spacing w:after="40"/>
            </w:pPr>
            <w:r>
              <w:rPr>
                <w:sz w:val="16"/>
              </w:rPr>
              <w:t>Secure paid diagnostic/engagements; run full rehearsal; measure acquisition and delivery</w:t>
            </w:r>
          </w:p>
        </w:tc>
        <w:tc>
          <w:tcPr>
            <w:tcW w:type="dxa" w:w="3456"/>
            <w:tcMar>
              <w:top w:w="70" w:type="dxa"/>
              <w:start w:w="100" w:type="dxa"/>
              <w:bottom w:w="70" w:type="dxa"/>
              <w:end w:w="100" w:type="dxa"/>
            </w:tcMar>
            <w:vAlign w:val="top"/>
          </w:tcPr>
          <w:p>
            <w:pPr>
              <w:spacing w:after="40"/>
            </w:pPr>
            <w:r>
              <w:rPr>
                <w:sz w:val="16"/>
              </w:rPr>
              <w:t>Signed contracts, cash receipts, rehearsal report, corrected standards</w:t>
            </w:r>
          </w:p>
        </w:tc>
      </w:tr>
    </w:tbl>
    <w:p>
      <w:pPr>
        <w:spacing w:after="20"/>
      </w:pPr>
    </w:p>
    <w:p>
      <w:pPr>
        <w:pStyle w:val="Heading2"/>
        <w:keepNext/>
      </w:pPr>
      <w:r>
        <w:t>7.2 Annual execution gates</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584"/>
            <w:shd w:fill="B79F85"/>
            <w:tcMar>
              <w:top w:w="70" w:type="dxa"/>
              <w:start w:w="100" w:type="dxa"/>
              <w:bottom w:w="70" w:type="dxa"/>
              <w:end w:w="100" w:type="dxa"/>
            </w:tcMar>
          </w:tcPr>
          <w:p>
            <w:r>
              <w:rPr>
                <w:b/>
                <w:sz w:val="16"/>
              </w:rPr>
              <w:t>Gate</w:t>
            </w:r>
          </w:p>
        </w:tc>
        <w:tc>
          <w:tcPr>
            <w:tcW w:type="dxa" w:w="5040"/>
            <w:shd w:fill="B79F85"/>
            <w:tcMar>
              <w:top w:w="70" w:type="dxa"/>
              <w:start w:w="100" w:type="dxa"/>
              <w:bottom w:w="70" w:type="dxa"/>
              <w:end w:w="100" w:type="dxa"/>
            </w:tcMar>
          </w:tcPr>
          <w:p>
            <w:r>
              <w:rPr>
                <w:b/>
                <w:sz w:val="16"/>
              </w:rPr>
              <w:t>Minimum evidence</w:t>
            </w:r>
          </w:p>
        </w:tc>
        <w:tc>
          <w:tcPr>
            <w:tcW w:type="dxa" w:w="3024"/>
            <w:shd w:fill="B79F85"/>
            <w:tcMar>
              <w:top w:w="70" w:type="dxa"/>
              <w:start w:w="100" w:type="dxa"/>
              <w:bottom w:w="70" w:type="dxa"/>
              <w:end w:w="100" w:type="dxa"/>
            </w:tcMar>
          </w:tcPr>
          <w:p>
            <w:r>
              <w:rPr>
                <w:b/>
                <w:sz w:val="16"/>
              </w:rPr>
              <w:t>Consequence if failed</w:t>
            </w:r>
          </w:p>
        </w:tc>
      </w:tr>
      <w:tr>
        <w:trPr>
          <w:cantSplit/>
        </w:trPr>
        <w:tc>
          <w:tcPr>
            <w:tcW w:type="dxa" w:w="1584"/>
            <w:tcMar>
              <w:top w:w="70" w:type="dxa"/>
              <w:start w:w="100" w:type="dxa"/>
              <w:bottom w:w="70" w:type="dxa"/>
              <w:end w:w="100" w:type="dxa"/>
            </w:tcMar>
            <w:vAlign w:val="top"/>
          </w:tcPr>
          <w:p>
            <w:pPr>
              <w:spacing w:after="40"/>
            </w:pPr>
            <w:r>
              <w:rPr>
                <w:sz w:val="16"/>
              </w:rPr>
              <w:t>Demand</w:t>
            </w:r>
          </w:p>
        </w:tc>
        <w:tc>
          <w:tcPr>
            <w:tcW w:type="dxa" w:w="5040"/>
            <w:tcMar>
              <w:top w:w="70" w:type="dxa"/>
              <w:start w:w="100" w:type="dxa"/>
              <w:bottom w:w="70" w:type="dxa"/>
              <w:end w:w="100" w:type="dxa"/>
            </w:tcMar>
            <w:vAlign w:val="top"/>
          </w:tcPr>
          <w:p>
            <w:pPr>
              <w:spacing w:after="40"/>
            </w:pPr>
            <w:r>
              <w:rPr>
                <w:sz w:val="16"/>
              </w:rPr>
              <w:t>Qualified pipeline ≥3× next-two-quarter revenue target</w:t>
            </w:r>
          </w:p>
        </w:tc>
        <w:tc>
          <w:tcPr>
            <w:tcW w:type="dxa" w:w="3024"/>
            <w:tcMar>
              <w:top w:w="70" w:type="dxa"/>
              <w:start w:w="100" w:type="dxa"/>
              <w:bottom w:w="70" w:type="dxa"/>
              <w:end w:w="100" w:type="dxa"/>
            </w:tcMar>
            <w:vAlign w:val="top"/>
          </w:tcPr>
          <w:p>
            <w:pPr>
              <w:spacing w:after="40"/>
            </w:pPr>
            <w:r>
              <w:rPr>
                <w:sz w:val="16"/>
              </w:rPr>
              <w:t>Do not add fixed delivery capacity</w:t>
            </w:r>
          </w:p>
        </w:tc>
      </w:tr>
      <w:tr>
        <w:trPr>
          <w:cantSplit/>
        </w:trPr>
        <w:tc>
          <w:tcPr>
            <w:tcW w:type="dxa" w:w="1584"/>
            <w:tcMar>
              <w:top w:w="70" w:type="dxa"/>
              <w:start w:w="100" w:type="dxa"/>
              <w:bottom w:w="70" w:type="dxa"/>
              <w:end w:w="100" w:type="dxa"/>
            </w:tcMar>
            <w:vAlign w:val="top"/>
            <w:shd w:fill="FAF8F6"/>
          </w:tcPr>
          <w:p>
            <w:pPr>
              <w:spacing w:after="40"/>
            </w:pPr>
            <w:r>
              <w:rPr>
                <w:sz w:val="16"/>
              </w:rPr>
              <w:t>Commercial</w:t>
            </w:r>
          </w:p>
        </w:tc>
        <w:tc>
          <w:tcPr>
            <w:tcW w:type="dxa" w:w="5040"/>
            <w:tcMar>
              <w:top w:w="70" w:type="dxa"/>
              <w:start w:w="100" w:type="dxa"/>
              <w:bottom w:w="70" w:type="dxa"/>
              <w:end w:w="100" w:type="dxa"/>
            </w:tcMar>
            <w:vAlign w:val="top"/>
            <w:shd w:fill="FAF8F6"/>
          </w:tcPr>
          <w:p>
            <w:pPr>
              <w:spacing w:after="40"/>
            </w:pPr>
            <w:r>
              <w:rPr>
                <w:sz w:val="16"/>
              </w:rPr>
              <w:t>Win rate and average fee support plan; no unapproved discounting</w:t>
            </w:r>
          </w:p>
        </w:tc>
        <w:tc>
          <w:tcPr>
            <w:tcW w:type="dxa" w:w="3024"/>
            <w:tcMar>
              <w:top w:w="70" w:type="dxa"/>
              <w:start w:w="100" w:type="dxa"/>
              <w:bottom w:w="70" w:type="dxa"/>
              <w:end w:w="100" w:type="dxa"/>
            </w:tcMar>
            <w:vAlign w:val="top"/>
            <w:shd w:fill="FAF8F6"/>
          </w:tcPr>
          <w:p>
            <w:pPr>
              <w:spacing w:after="40"/>
            </w:pPr>
            <w:r>
              <w:rPr>
                <w:sz w:val="16"/>
              </w:rPr>
              <w:t>Revise segment, offer or message</w:t>
            </w:r>
          </w:p>
        </w:tc>
      </w:tr>
      <w:tr>
        <w:trPr>
          <w:cantSplit/>
        </w:trPr>
        <w:tc>
          <w:tcPr>
            <w:tcW w:type="dxa" w:w="1584"/>
            <w:tcMar>
              <w:top w:w="70" w:type="dxa"/>
              <w:start w:w="100" w:type="dxa"/>
              <w:bottom w:w="70" w:type="dxa"/>
              <w:end w:w="100" w:type="dxa"/>
            </w:tcMar>
            <w:vAlign w:val="top"/>
          </w:tcPr>
          <w:p>
            <w:pPr>
              <w:spacing w:after="40"/>
            </w:pPr>
            <w:r>
              <w:rPr>
                <w:sz w:val="16"/>
              </w:rPr>
              <w:t>Delivery</w:t>
            </w:r>
          </w:p>
        </w:tc>
        <w:tc>
          <w:tcPr>
            <w:tcW w:type="dxa" w:w="5040"/>
            <w:tcMar>
              <w:top w:w="70" w:type="dxa"/>
              <w:start w:w="100" w:type="dxa"/>
              <w:bottom w:w="70" w:type="dxa"/>
              <w:end w:w="100" w:type="dxa"/>
            </w:tcMar>
            <w:vAlign w:val="top"/>
          </w:tcPr>
          <w:p>
            <w:pPr>
              <w:spacing w:after="40"/>
            </w:pPr>
            <w:r>
              <w:rPr>
                <w:sz w:val="16"/>
              </w:rPr>
              <w:t>Critical standards met; incidents closed; client outcome verified</w:t>
            </w:r>
          </w:p>
        </w:tc>
        <w:tc>
          <w:tcPr>
            <w:tcW w:type="dxa" w:w="3024"/>
            <w:tcMar>
              <w:top w:w="70" w:type="dxa"/>
              <w:start w:w="100" w:type="dxa"/>
              <w:bottom w:w="70" w:type="dxa"/>
              <w:end w:w="100" w:type="dxa"/>
            </w:tcMar>
            <w:vAlign w:val="top"/>
          </w:tcPr>
          <w:p>
            <w:pPr>
              <w:spacing w:after="40"/>
            </w:pPr>
            <w:r>
              <w:rPr>
                <w:sz w:val="16"/>
              </w:rPr>
              <w:t>Pause scale and remediate</w:t>
            </w:r>
          </w:p>
        </w:tc>
      </w:tr>
      <w:tr>
        <w:trPr>
          <w:cantSplit/>
        </w:trPr>
        <w:tc>
          <w:tcPr>
            <w:tcW w:type="dxa" w:w="1584"/>
            <w:tcMar>
              <w:top w:w="70" w:type="dxa"/>
              <w:start w:w="100" w:type="dxa"/>
              <w:bottom w:w="70" w:type="dxa"/>
              <w:end w:w="100" w:type="dxa"/>
            </w:tcMar>
            <w:vAlign w:val="top"/>
            <w:shd w:fill="FAF8F6"/>
          </w:tcPr>
          <w:p>
            <w:pPr>
              <w:spacing w:after="40"/>
            </w:pPr>
            <w:r>
              <w:rPr>
                <w:sz w:val="16"/>
              </w:rPr>
              <w:t>People</w:t>
            </w:r>
          </w:p>
        </w:tc>
        <w:tc>
          <w:tcPr>
            <w:tcW w:type="dxa" w:w="5040"/>
            <w:tcMar>
              <w:top w:w="70" w:type="dxa"/>
              <w:start w:w="100" w:type="dxa"/>
              <w:bottom w:w="70" w:type="dxa"/>
              <w:end w:w="100" w:type="dxa"/>
            </w:tcMar>
            <w:vAlign w:val="top"/>
            <w:shd w:fill="FAF8F6"/>
          </w:tcPr>
          <w:p>
            <w:pPr>
              <w:spacing w:after="40"/>
            </w:pPr>
            <w:r>
              <w:rPr>
                <w:sz w:val="16"/>
              </w:rPr>
              <w:t>Role certification and observed competence; succession coverage</w:t>
            </w:r>
          </w:p>
        </w:tc>
        <w:tc>
          <w:tcPr>
            <w:tcW w:type="dxa" w:w="3024"/>
            <w:tcMar>
              <w:top w:w="70" w:type="dxa"/>
              <w:start w:w="100" w:type="dxa"/>
              <w:bottom w:w="70" w:type="dxa"/>
              <w:end w:w="100" w:type="dxa"/>
            </w:tcMar>
            <w:vAlign w:val="top"/>
            <w:shd w:fill="FAF8F6"/>
          </w:tcPr>
          <w:p>
            <w:pPr>
              <w:spacing w:after="40"/>
            </w:pPr>
            <w:r>
              <w:rPr>
                <w:sz w:val="16"/>
              </w:rPr>
              <w:t>No deployment or additional events</w:t>
            </w:r>
          </w:p>
        </w:tc>
      </w:tr>
      <w:tr>
        <w:trPr>
          <w:cantSplit/>
        </w:trPr>
        <w:tc>
          <w:tcPr>
            <w:tcW w:type="dxa" w:w="1584"/>
            <w:tcMar>
              <w:top w:w="70" w:type="dxa"/>
              <w:start w:w="100" w:type="dxa"/>
              <w:bottom w:w="70" w:type="dxa"/>
              <w:end w:w="100" w:type="dxa"/>
            </w:tcMar>
            <w:vAlign w:val="top"/>
          </w:tcPr>
          <w:p>
            <w:pPr>
              <w:spacing w:after="40"/>
            </w:pPr>
            <w:r>
              <w:rPr>
                <w:sz w:val="16"/>
              </w:rPr>
              <w:t>Economics</w:t>
            </w:r>
          </w:p>
        </w:tc>
        <w:tc>
          <w:tcPr>
            <w:tcW w:type="dxa" w:w="5040"/>
            <w:tcMar>
              <w:top w:w="70" w:type="dxa"/>
              <w:start w:w="100" w:type="dxa"/>
              <w:bottom w:w="70" w:type="dxa"/>
              <w:end w:w="100" w:type="dxa"/>
            </w:tcMar>
            <w:vAlign w:val="top"/>
          </w:tcPr>
          <w:p>
            <w:pPr>
              <w:spacing w:after="40"/>
            </w:pPr>
            <w:r>
              <w:rPr>
                <w:sz w:val="16"/>
              </w:rPr>
              <w:t>Positive contribution margin; forecast cash above floor</w:t>
            </w:r>
          </w:p>
        </w:tc>
        <w:tc>
          <w:tcPr>
            <w:tcW w:type="dxa" w:w="3024"/>
            <w:tcMar>
              <w:top w:w="70" w:type="dxa"/>
              <w:start w:w="100" w:type="dxa"/>
              <w:bottom w:w="70" w:type="dxa"/>
              <w:end w:w="100" w:type="dxa"/>
            </w:tcMar>
            <w:vAlign w:val="top"/>
          </w:tcPr>
          <w:p>
            <w:pPr>
              <w:spacing w:after="40"/>
            </w:pPr>
            <w:r>
              <w:rPr>
                <w:sz w:val="16"/>
              </w:rPr>
              <w:t>Reprice, reduce scope/cost or stop</w:t>
            </w:r>
          </w:p>
        </w:tc>
      </w:tr>
      <w:tr>
        <w:trPr>
          <w:cantSplit/>
        </w:trPr>
        <w:tc>
          <w:tcPr>
            <w:tcW w:type="dxa" w:w="1584"/>
            <w:tcMar>
              <w:top w:w="70" w:type="dxa"/>
              <w:start w:w="100" w:type="dxa"/>
              <w:bottom w:w="70" w:type="dxa"/>
              <w:end w:w="100" w:type="dxa"/>
            </w:tcMar>
            <w:vAlign w:val="top"/>
            <w:shd w:fill="FAF8F6"/>
          </w:tcPr>
          <w:p>
            <w:pPr>
              <w:spacing w:after="40"/>
            </w:pPr>
            <w:r>
              <w:rPr>
                <w:sz w:val="16"/>
              </w:rPr>
              <w:t>Systems</w:t>
            </w:r>
          </w:p>
        </w:tc>
        <w:tc>
          <w:tcPr>
            <w:tcW w:type="dxa" w:w="5040"/>
            <w:tcMar>
              <w:top w:w="70" w:type="dxa"/>
              <w:start w:w="100" w:type="dxa"/>
              <w:bottom w:w="70" w:type="dxa"/>
              <w:end w:w="100" w:type="dxa"/>
            </w:tcMar>
            <w:vAlign w:val="top"/>
            <w:shd w:fill="FAF8F6"/>
          </w:tcPr>
          <w:p>
            <w:pPr>
              <w:spacing w:after="40"/>
            </w:pPr>
            <w:r>
              <w:rPr>
                <w:sz w:val="16"/>
              </w:rPr>
              <w:t>Event isolation, security, offline and recovery acceptance</w:t>
            </w:r>
          </w:p>
        </w:tc>
        <w:tc>
          <w:tcPr>
            <w:tcW w:type="dxa" w:w="3024"/>
            <w:tcMar>
              <w:top w:w="70" w:type="dxa"/>
              <w:start w:w="100" w:type="dxa"/>
              <w:bottom w:w="70" w:type="dxa"/>
              <w:end w:w="100" w:type="dxa"/>
            </w:tcMar>
            <w:vAlign w:val="top"/>
            <w:shd w:fill="FAF8F6"/>
          </w:tcPr>
          <w:p>
            <w:pPr>
              <w:spacing w:after="40"/>
            </w:pPr>
            <w:r>
              <w:rPr>
                <w:sz w:val="16"/>
              </w:rPr>
              <w:t>No production use for affected capability</w:t>
            </w:r>
          </w:p>
        </w:tc>
      </w:tr>
      <w:tr>
        <w:trPr>
          <w:cantSplit/>
        </w:trPr>
        <w:tc>
          <w:tcPr>
            <w:tcW w:type="dxa" w:w="1584"/>
            <w:tcMar>
              <w:top w:w="70" w:type="dxa"/>
              <w:start w:w="100" w:type="dxa"/>
              <w:bottom w:w="70" w:type="dxa"/>
              <w:end w:w="100" w:type="dxa"/>
            </w:tcMar>
            <w:vAlign w:val="top"/>
          </w:tcPr>
          <w:p>
            <w:pPr>
              <w:spacing w:after="40"/>
            </w:pPr>
            <w:r>
              <w:rPr>
                <w:sz w:val="16"/>
              </w:rPr>
              <w:t>Reputation</w:t>
            </w:r>
          </w:p>
        </w:tc>
        <w:tc>
          <w:tcPr>
            <w:tcW w:type="dxa" w:w="5040"/>
            <w:tcMar>
              <w:top w:w="70" w:type="dxa"/>
              <w:start w:w="100" w:type="dxa"/>
              <w:bottom w:w="70" w:type="dxa"/>
              <w:end w:w="100" w:type="dxa"/>
            </w:tcMar>
            <w:vAlign w:val="top"/>
          </w:tcPr>
          <w:p>
            <w:pPr>
              <w:spacing w:after="40"/>
            </w:pPr>
            <w:r>
              <w:rPr>
                <w:sz w:val="16"/>
              </w:rPr>
              <w:t>Claims backed by permissioned proof</w:t>
            </w:r>
          </w:p>
        </w:tc>
        <w:tc>
          <w:tcPr>
            <w:tcW w:type="dxa" w:w="3024"/>
            <w:tcMar>
              <w:top w:w="70" w:type="dxa"/>
              <w:start w:w="100" w:type="dxa"/>
              <w:bottom w:w="70" w:type="dxa"/>
              <w:end w:w="100" w:type="dxa"/>
            </w:tcMar>
            <w:vAlign w:val="top"/>
          </w:tcPr>
          <w:p>
            <w:pPr>
              <w:spacing w:after="40"/>
            </w:pPr>
            <w:r>
              <w:rPr>
                <w:sz w:val="16"/>
              </w:rPr>
              <w:t>Remove claim; correct record</w:t>
            </w:r>
          </w:p>
        </w:tc>
      </w:tr>
      <w:tr>
        <w:trPr>
          <w:cantSplit/>
        </w:trPr>
        <w:tc>
          <w:tcPr>
            <w:tcW w:type="dxa" w:w="1584"/>
            <w:tcMar>
              <w:top w:w="70" w:type="dxa"/>
              <w:start w:w="100" w:type="dxa"/>
              <w:bottom w:w="70" w:type="dxa"/>
              <w:end w:w="100" w:type="dxa"/>
            </w:tcMar>
            <w:vAlign w:val="top"/>
            <w:shd w:fill="FAF8F6"/>
          </w:tcPr>
          <w:p>
            <w:pPr>
              <w:spacing w:after="40"/>
            </w:pPr>
            <w:r>
              <w:rPr>
                <w:sz w:val="16"/>
              </w:rPr>
              <w:t>Expansion</w:t>
            </w:r>
          </w:p>
        </w:tc>
        <w:tc>
          <w:tcPr>
            <w:tcW w:type="dxa" w:w="5040"/>
            <w:tcMar>
              <w:top w:w="70" w:type="dxa"/>
              <w:start w:w="100" w:type="dxa"/>
              <w:bottom w:w="70" w:type="dxa"/>
              <w:end w:w="100" w:type="dxa"/>
            </w:tcMar>
            <w:vAlign w:val="top"/>
            <w:shd w:fill="FAF8F6"/>
          </w:tcPr>
          <w:p>
            <w:pPr>
              <w:spacing w:after="40"/>
            </w:pPr>
            <w:r>
              <w:rPr>
                <w:sz w:val="16"/>
              </w:rPr>
              <w:t>Local authority, partner, unit economics and demand validated</w:t>
            </w:r>
          </w:p>
        </w:tc>
        <w:tc>
          <w:tcPr>
            <w:tcW w:type="dxa" w:w="3024"/>
            <w:tcMar>
              <w:top w:w="70" w:type="dxa"/>
              <w:start w:w="100" w:type="dxa"/>
              <w:bottom w:w="70" w:type="dxa"/>
              <w:end w:w="100" w:type="dxa"/>
            </w:tcMar>
            <w:vAlign w:val="top"/>
            <w:shd w:fill="FAF8F6"/>
          </w:tcPr>
          <w:p>
            <w:pPr>
              <w:spacing w:after="40"/>
            </w:pPr>
            <w:r>
              <w:rPr>
                <w:sz w:val="16"/>
              </w:rPr>
              <w:t>Stay in current market</w:t>
            </w:r>
          </w:p>
        </w:tc>
      </w:tr>
    </w:tbl>
    <w:p>
      <w:pPr>
        <w:spacing w:after="20"/>
      </w:pPr>
    </w:p>
    <w:p>
      <w:pPr>
        <w:pStyle w:val="Heading2"/>
        <w:keepNext/>
      </w:pPr>
      <w:r>
        <w:t>7.3 CEO scorecard</w:t>
      </w:r>
    </w:p>
    <w:tbl>
      <w:tblPr>
        <w:tblStyle w:val="TableGrid"/>
        <w:tblW w:type="auto" w:w="0"/>
        <w:jc w:val="left"/>
        <w:tblLayout w:type="fixed"/>
        <w:tblLook w:firstColumn="1" w:firstRow="1" w:lastColumn="0" w:lastRow="0" w:noHBand="0" w:noVBand="1" w:val="04A0"/>
      </w:tblPr>
      <w:tblGrid>
        <w:gridCol w:w="3293"/>
        <w:gridCol w:w="3293"/>
        <w:gridCol w:w="3293"/>
      </w:tblGrid>
      <w:tr>
        <w:trPr>
          <w:tblHeader w:val="true"/>
        </w:trPr>
        <w:tc>
          <w:tcPr>
            <w:tcW w:type="dxa" w:w="1656"/>
            <w:shd w:fill="B79F85"/>
            <w:tcMar>
              <w:top w:w="70" w:type="dxa"/>
              <w:start w:w="100" w:type="dxa"/>
              <w:bottom w:w="70" w:type="dxa"/>
              <w:end w:w="100" w:type="dxa"/>
            </w:tcMar>
          </w:tcPr>
          <w:p>
            <w:r>
              <w:rPr>
                <w:b/>
                <w:sz w:val="16"/>
              </w:rPr>
              <w:t>Perspective</w:t>
            </w:r>
          </w:p>
        </w:tc>
        <w:tc>
          <w:tcPr>
            <w:tcW w:type="dxa" w:w="3960"/>
            <w:shd w:fill="B79F85"/>
            <w:tcMar>
              <w:top w:w="70" w:type="dxa"/>
              <w:start w:w="100" w:type="dxa"/>
              <w:bottom w:w="70" w:type="dxa"/>
              <w:end w:w="100" w:type="dxa"/>
            </w:tcMar>
          </w:tcPr>
          <w:p>
            <w:r>
              <w:rPr>
                <w:b/>
                <w:sz w:val="16"/>
              </w:rPr>
              <w:t>Leading measures</w:t>
            </w:r>
          </w:p>
        </w:tc>
        <w:tc>
          <w:tcPr>
            <w:tcW w:type="dxa" w:w="4032"/>
            <w:shd w:fill="B79F85"/>
            <w:tcMar>
              <w:top w:w="70" w:type="dxa"/>
              <w:start w:w="100" w:type="dxa"/>
              <w:bottom w:w="70" w:type="dxa"/>
              <w:end w:w="100" w:type="dxa"/>
            </w:tcMar>
          </w:tcPr>
          <w:p>
            <w:r>
              <w:rPr>
                <w:b/>
                <w:sz w:val="16"/>
              </w:rPr>
              <w:t>Lagging measures</w:t>
            </w:r>
          </w:p>
        </w:tc>
      </w:tr>
      <w:tr>
        <w:trPr>
          <w:cantSplit/>
        </w:trPr>
        <w:tc>
          <w:tcPr>
            <w:tcW w:type="dxa" w:w="1656"/>
            <w:tcMar>
              <w:top w:w="70" w:type="dxa"/>
              <w:start w:w="100" w:type="dxa"/>
              <w:bottom w:w="70" w:type="dxa"/>
              <w:end w:w="100" w:type="dxa"/>
            </w:tcMar>
            <w:vAlign w:val="top"/>
          </w:tcPr>
          <w:p>
            <w:pPr>
              <w:spacing w:after="40"/>
            </w:pPr>
            <w:r>
              <w:rPr>
                <w:sz w:val="16"/>
              </w:rPr>
              <w:t>Demand</w:t>
            </w:r>
          </w:p>
        </w:tc>
        <w:tc>
          <w:tcPr>
            <w:tcW w:type="dxa" w:w="3960"/>
            <w:tcMar>
              <w:top w:w="70" w:type="dxa"/>
              <w:start w:w="100" w:type="dxa"/>
              <w:bottom w:w="70" w:type="dxa"/>
              <w:end w:w="100" w:type="dxa"/>
            </w:tcMar>
            <w:vAlign w:val="top"/>
          </w:tcPr>
          <w:p>
            <w:pPr>
              <w:spacing w:after="40"/>
            </w:pPr>
            <w:r>
              <w:rPr>
                <w:sz w:val="16"/>
              </w:rPr>
              <w:t>Qualified introductions, discovery calls, pipeline coverage, proposal age</w:t>
            </w:r>
          </w:p>
        </w:tc>
        <w:tc>
          <w:tcPr>
            <w:tcW w:type="dxa" w:w="4032"/>
            <w:tcMar>
              <w:top w:w="70" w:type="dxa"/>
              <w:start w:w="100" w:type="dxa"/>
              <w:bottom w:w="70" w:type="dxa"/>
              <w:end w:w="100" w:type="dxa"/>
            </w:tcMar>
            <w:vAlign w:val="top"/>
          </w:tcPr>
          <w:p>
            <w:pPr>
              <w:spacing w:after="40"/>
            </w:pPr>
            <w:r>
              <w:rPr>
                <w:sz w:val="16"/>
              </w:rPr>
              <w:t>Revenue, win rate, average fee, segment mix</w:t>
            </w:r>
          </w:p>
        </w:tc>
      </w:tr>
      <w:tr>
        <w:trPr>
          <w:cantSplit/>
        </w:trPr>
        <w:tc>
          <w:tcPr>
            <w:tcW w:type="dxa" w:w="1656"/>
            <w:tcMar>
              <w:top w:w="70" w:type="dxa"/>
              <w:start w:w="100" w:type="dxa"/>
              <w:bottom w:w="70" w:type="dxa"/>
              <w:end w:w="100" w:type="dxa"/>
            </w:tcMar>
            <w:vAlign w:val="top"/>
            <w:shd w:fill="FAF8F6"/>
          </w:tcPr>
          <w:p>
            <w:pPr>
              <w:spacing w:after="40"/>
            </w:pPr>
            <w:r>
              <w:rPr>
                <w:sz w:val="16"/>
              </w:rPr>
              <w:t>Client</w:t>
            </w:r>
          </w:p>
        </w:tc>
        <w:tc>
          <w:tcPr>
            <w:tcW w:type="dxa" w:w="3960"/>
            <w:tcMar>
              <w:top w:w="70" w:type="dxa"/>
              <w:start w:w="100" w:type="dxa"/>
              <w:bottom w:w="70" w:type="dxa"/>
              <w:end w:w="100" w:type="dxa"/>
            </w:tcMar>
            <w:vAlign w:val="top"/>
            <w:shd w:fill="FAF8F6"/>
          </w:tcPr>
          <w:p>
            <w:pPr>
              <w:spacing w:after="40"/>
            </w:pPr>
            <w:r>
              <w:rPr>
                <w:sz w:val="16"/>
              </w:rPr>
              <w:t>Decision latency, readiness confidence, unresolved dependencies</w:t>
            </w:r>
          </w:p>
        </w:tc>
        <w:tc>
          <w:tcPr>
            <w:tcW w:type="dxa" w:w="4032"/>
            <w:tcMar>
              <w:top w:w="70" w:type="dxa"/>
              <w:start w:w="100" w:type="dxa"/>
              <w:bottom w:w="70" w:type="dxa"/>
              <w:end w:w="100" w:type="dxa"/>
            </w:tcMar>
            <w:vAlign w:val="top"/>
            <w:shd w:fill="FAF8F6"/>
          </w:tcPr>
          <w:p>
            <w:pPr>
              <w:spacing w:after="40"/>
            </w:pPr>
            <w:r>
              <w:rPr>
                <w:sz w:val="16"/>
              </w:rPr>
              <w:t>Outcome score, repeat rate, referrals, complaint severity</w:t>
            </w:r>
          </w:p>
        </w:tc>
      </w:tr>
      <w:tr>
        <w:trPr>
          <w:cantSplit/>
        </w:trPr>
        <w:tc>
          <w:tcPr>
            <w:tcW w:type="dxa" w:w="1656"/>
            <w:tcMar>
              <w:top w:w="70" w:type="dxa"/>
              <w:start w:w="100" w:type="dxa"/>
              <w:bottom w:w="70" w:type="dxa"/>
              <w:end w:w="100" w:type="dxa"/>
            </w:tcMar>
            <w:vAlign w:val="top"/>
          </w:tcPr>
          <w:p>
            <w:pPr>
              <w:spacing w:after="40"/>
            </w:pPr>
            <w:r>
              <w:rPr>
                <w:sz w:val="16"/>
              </w:rPr>
              <w:t>Delivery</w:t>
            </w:r>
          </w:p>
        </w:tc>
        <w:tc>
          <w:tcPr>
            <w:tcW w:type="dxa" w:w="3960"/>
            <w:tcMar>
              <w:top w:w="70" w:type="dxa"/>
              <w:start w:w="100" w:type="dxa"/>
              <w:bottom w:w="70" w:type="dxa"/>
              <w:end w:w="100" w:type="dxa"/>
            </w:tcMar>
            <w:vAlign w:val="top"/>
          </w:tcPr>
          <w:p>
            <w:pPr>
              <w:spacing w:after="40"/>
            </w:pPr>
            <w:r>
              <w:rPr>
                <w:sz w:val="16"/>
              </w:rPr>
              <w:t>Critical gaps, rehearsal closure, staffing coverage, data quality</w:t>
            </w:r>
          </w:p>
        </w:tc>
        <w:tc>
          <w:tcPr>
            <w:tcW w:type="dxa" w:w="4032"/>
            <w:tcMar>
              <w:top w:w="70" w:type="dxa"/>
              <w:start w:w="100" w:type="dxa"/>
              <w:bottom w:w="70" w:type="dxa"/>
              <w:end w:w="100" w:type="dxa"/>
            </w:tcMar>
            <w:vAlign w:val="top"/>
          </w:tcPr>
          <w:p>
            <w:pPr>
              <w:spacing w:after="40"/>
            </w:pPr>
            <w:r>
              <w:rPr>
                <w:sz w:val="16"/>
              </w:rPr>
              <w:t>Standard attainment, incidents, recovery time, rework</w:t>
            </w:r>
          </w:p>
        </w:tc>
      </w:tr>
      <w:tr>
        <w:trPr>
          <w:cantSplit/>
        </w:trPr>
        <w:tc>
          <w:tcPr>
            <w:tcW w:type="dxa" w:w="1656"/>
            <w:tcMar>
              <w:top w:w="70" w:type="dxa"/>
              <w:start w:w="100" w:type="dxa"/>
              <w:bottom w:w="70" w:type="dxa"/>
              <w:end w:w="100" w:type="dxa"/>
            </w:tcMar>
            <w:vAlign w:val="top"/>
            <w:shd w:fill="FAF8F6"/>
          </w:tcPr>
          <w:p>
            <w:pPr>
              <w:spacing w:after="40"/>
            </w:pPr>
            <w:r>
              <w:rPr>
                <w:sz w:val="16"/>
              </w:rPr>
              <w:t>People</w:t>
            </w:r>
          </w:p>
        </w:tc>
        <w:tc>
          <w:tcPr>
            <w:tcW w:type="dxa" w:w="3960"/>
            <w:tcMar>
              <w:top w:w="70" w:type="dxa"/>
              <w:start w:w="100" w:type="dxa"/>
              <w:bottom w:w="70" w:type="dxa"/>
              <w:end w:w="100" w:type="dxa"/>
            </w:tcMar>
            <w:vAlign w:val="top"/>
            <w:shd w:fill="FAF8F6"/>
          </w:tcPr>
          <w:p>
            <w:pPr>
              <w:spacing w:after="40"/>
            </w:pPr>
            <w:r>
              <w:rPr>
                <w:sz w:val="16"/>
              </w:rPr>
              <w:t>Learning completion, practical evidence, manager confidence</w:t>
            </w:r>
          </w:p>
        </w:tc>
        <w:tc>
          <w:tcPr>
            <w:tcW w:type="dxa" w:w="4032"/>
            <w:tcMar>
              <w:top w:w="70" w:type="dxa"/>
              <w:start w:w="100" w:type="dxa"/>
              <w:bottom w:w="70" w:type="dxa"/>
              <w:end w:w="100" w:type="dxa"/>
            </w:tcMar>
            <w:vAlign w:val="top"/>
            <w:shd w:fill="FAF8F6"/>
          </w:tcPr>
          <w:p>
            <w:pPr>
              <w:spacing w:after="40"/>
            </w:pPr>
            <w:r>
              <w:rPr>
                <w:sz w:val="16"/>
              </w:rPr>
              <w:t>Certification coverage, deployment eligibility, regretted attrition</w:t>
            </w:r>
          </w:p>
        </w:tc>
      </w:tr>
      <w:tr>
        <w:trPr>
          <w:cantSplit/>
        </w:trPr>
        <w:tc>
          <w:tcPr>
            <w:tcW w:type="dxa" w:w="1656"/>
            <w:tcMar>
              <w:top w:w="70" w:type="dxa"/>
              <w:start w:w="100" w:type="dxa"/>
              <w:bottom w:w="70" w:type="dxa"/>
              <w:end w:w="100" w:type="dxa"/>
            </w:tcMar>
            <w:vAlign w:val="top"/>
          </w:tcPr>
          <w:p>
            <w:pPr>
              <w:spacing w:after="40"/>
            </w:pPr>
            <w:r>
              <w:rPr>
                <w:sz w:val="16"/>
              </w:rPr>
              <w:t>Economics</w:t>
            </w:r>
          </w:p>
        </w:tc>
        <w:tc>
          <w:tcPr>
            <w:tcW w:type="dxa" w:w="3960"/>
            <w:tcMar>
              <w:top w:w="70" w:type="dxa"/>
              <w:start w:w="100" w:type="dxa"/>
              <w:bottom w:w="70" w:type="dxa"/>
              <w:end w:w="100" w:type="dxa"/>
            </w:tcMar>
            <w:vAlign w:val="top"/>
          </w:tcPr>
          <w:p>
            <w:pPr>
              <w:spacing w:after="40"/>
            </w:pPr>
            <w:r>
              <w:rPr>
                <w:sz w:val="16"/>
              </w:rPr>
              <w:t>Cash forecast, deposits collected, planned margin, utilisation</w:t>
            </w:r>
          </w:p>
        </w:tc>
        <w:tc>
          <w:tcPr>
            <w:tcW w:type="dxa" w:w="4032"/>
            <w:tcMar>
              <w:top w:w="70" w:type="dxa"/>
              <w:start w:w="100" w:type="dxa"/>
              <w:bottom w:w="70" w:type="dxa"/>
              <w:end w:w="100" w:type="dxa"/>
            </w:tcMar>
            <w:vAlign w:val="top"/>
          </w:tcPr>
          <w:p>
            <w:pPr>
              <w:spacing w:after="40"/>
            </w:pPr>
            <w:r>
              <w:rPr>
                <w:sz w:val="16"/>
              </w:rPr>
              <w:t>Gross margin, EBITDA, DSO, reserve months</w:t>
            </w:r>
          </w:p>
        </w:tc>
      </w:tr>
      <w:tr>
        <w:trPr>
          <w:cantSplit/>
        </w:trPr>
        <w:tc>
          <w:tcPr>
            <w:tcW w:type="dxa" w:w="1656"/>
            <w:tcMar>
              <w:top w:w="70" w:type="dxa"/>
              <w:start w:w="100" w:type="dxa"/>
              <w:bottom w:w="70" w:type="dxa"/>
              <w:end w:w="100" w:type="dxa"/>
            </w:tcMar>
            <w:vAlign w:val="top"/>
            <w:shd w:fill="FAF8F6"/>
          </w:tcPr>
          <w:p>
            <w:pPr>
              <w:spacing w:after="40"/>
            </w:pPr>
            <w:r>
              <w:rPr>
                <w:sz w:val="16"/>
              </w:rPr>
              <w:t>Enterprise</w:t>
            </w:r>
          </w:p>
        </w:tc>
        <w:tc>
          <w:tcPr>
            <w:tcW w:type="dxa" w:w="3960"/>
            <w:tcMar>
              <w:top w:w="70" w:type="dxa"/>
              <w:start w:w="100" w:type="dxa"/>
              <w:bottom w:w="70" w:type="dxa"/>
              <w:end w:w="100" w:type="dxa"/>
            </w:tcMar>
            <w:vAlign w:val="top"/>
            <w:shd w:fill="FAF8F6"/>
          </w:tcPr>
          <w:p>
            <w:pPr>
              <w:spacing w:after="40"/>
            </w:pPr>
            <w:r>
              <w:rPr>
                <w:sz w:val="16"/>
              </w:rPr>
              <w:t>CEO decision load, delegated approvals, partner coverage</w:t>
            </w:r>
          </w:p>
        </w:tc>
        <w:tc>
          <w:tcPr>
            <w:tcW w:type="dxa" w:w="4032"/>
            <w:tcMar>
              <w:top w:w="70" w:type="dxa"/>
              <w:start w:w="100" w:type="dxa"/>
              <w:bottom w:w="70" w:type="dxa"/>
              <w:end w:w="100" w:type="dxa"/>
            </w:tcMar>
            <w:vAlign w:val="top"/>
            <w:shd w:fill="FAF8F6"/>
          </w:tcPr>
          <w:p>
            <w:pPr>
              <w:spacing w:after="40"/>
            </w:pPr>
            <w:r>
              <w:rPr>
                <w:sz w:val="16"/>
              </w:rPr>
              <w:t>Founder-independent delivery, concentration, recurring revenue</w:t>
            </w:r>
          </w:p>
        </w:tc>
      </w:tr>
    </w:tbl>
    <w:p>
      <w:pPr>
        <w:spacing w:after="20"/>
      </w:pPr>
    </w:p>
    <w:p>
      <w:r>
        <w:br w:type="page"/>
      </w:r>
    </w:p>
    <w:p>
      <w:pPr>
        <w:pStyle w:val="Heading1"/>
        <w:keepNext/>
      </w:pPr>
      <w:r>
        <w:t>Appendix A — Complete question-and-answer register</w:t>
      </w:r>
    </w:p>
    <w:p>
      <w:r>
        <w:t>This register preserves every numbered question from the originating seven-part framework. The fuller policy is in Parts 1–7. Answers below are decisive where the CEO can decide, evidence-qualified where the present fact is unknown, and routed to recognised authority where competence is external.</w:t>
      </w:r>
    </w:p>
    <w:p>
      <w:pPr>
        <w:pStyle w:val="Heading2"/>
        <w:keepNext/>
      </w:pPr>
      <w:r>
        <w:t>1.1 Core Business Definition</w:t>
      </w:r>
    </w:p>
    <w:p>
      <w:pPr>
        <w:keepNext/>
      </w:pPr>
      <w:r>
        <w:rPr>
          <w:b/>
          <w:color w:val="171717"/>
        </w:rPr>
        <w:t>SBF-01-01  If we disappeared tomorrow, what would our clients lose that they couldn't easily replace?</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SBF-01-02  What is our gross margin target per event type?</w:t>
      </w:r>
    </w:p>
    <w:p>
      <w:r>
        <w:t>Target 55% on net professional fees in Year 1, rising to 64% by Year 5. Do not mix supplier pass-through spend into the denominator. Any engagement below the approved floor needs CEO exception and a documented strategic reason.</w:t>
      </w:r>
    </w:p>
    <w:p>
      <w:pPr>
        <w:pStyle w:val="Heading2"/>
        <w:keepNext/>
      </w:pPr>
      <w:r>
        <w:t>1.2 Vision &amp; Mission</w:t>
      </w:r>
    </w:p>
    <w:p>
      <w:pPr>
        <w:keepNext/>
      </w:pPr>
      <w:r>
        <w:rPr>
          <w:b/>
          <w:color w:val="171717"/>
        </w:rPr>
        <w:t>SBF-02-01  Where will Maison Doclar be in 10 years?</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SBF-02-02  What change are we creating in the Nigerian luxury hospitality market?</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SBF-02-03  What will people say about Maison Doclar at our 10-year anniversary?</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SBF-02-04  What is our purpose beyond making money?</w:t>
      </w:r>
    </w:p>
    <w:p>
      <w:r>
        <w:t>The purpose is to make consequential gatherings more dignified, inclusive and human while developing African hospitality talent and operational standards.</w:t>
      </w:r>
    </w:p>
    <w:p>
      <w:pPr>
        <w:keepNext/>
      </w:pPr>
      <w:r>
        <w:rPr>
          <w:b/>
          <w:color w:val="171717"/>
        </w:rPr>
        <w:t>SBF-02-05  Who do we serve and why them specifically?</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SBF-02-06  What promise do we make to every client?</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SBF-02-07  What standards do we uphold that others don't?</w:t>
      </w:r>
    </w:p>
    <w:p>
      <w:r>
        <w:t>Adopt the ratified direction in Part 1: a Lagos-proven, globally credible institution that protects guest dignity and host intention through human-led, technology-enabled delivery. Measure it through client outcomes, repeatability, people capability and founder independence.</w:t>
      </w:r>
    </w:p>
    <w:p>
      <w:pPr>
        <w:keepNext/>
      </w:pPr>
      <w:r>
        <w:rPr>
          <w:b/>
          <w:color w:val="171717"/>
        </w:rPr>
        <w:t>SBF-02-08  What line will we not cross even under commercial pressure?</w:t>
      </w:r>
    </w:p>
    <w:p>
      <w:r>
        <w:t>Never trade dignity, safety, privacy, truth or cultural respect for revenue. Refuse unsafe, unlawful, deceptive, discriminatory, exploitative or unconsented work, including covert biometric surveillance and hidden supplier kickbacks.</w:t>
      </w:r>
    </w:p>
    <w:p>
      <w:pPr>
        <w:pStyle w:val="Heading2"/>
        <w:keepNext/>
      </w:pPr>
      <w:r>
        <w:t>1.3 Market Position &amp; Category</w:t>
      </w:r>
    </w:p>
    <w:p>
      <w:pPr>
        <w:keepNext/>
      </w:pPr>
      <w:r>
        <w:rPr>
          <w:b/>
          <w:color w:val="171717"/>
        </w:rPr>
        <w:t>SBF-03-01  Are we redefining an existing category or creating a new one?</w:t>
      </w:r>
    </w:p>
    <w:p>
      <w:r>
        <w:t>Own “White-glove Guest Experience, Protocol &amp; Event Operations.” It is adjacent to luxury event management but distinct enough to lead or integrate without claiming to replace every organiser or producer.</w:t>
      </w:r>
    </w:p>
    <w:p>
      <w:pPr>
        <w:keepNext/>
      </w:pPr>
      <w:r>
        <w:rPr>
          <w:b/>
          <w:color w:val="171717"/>
        </w:rPr>
        <w:t>SBF-03-02  What are the three attributes clients associate with our competitors?</w:t>
      </w:r>
    </w:p>
    <w:p>
      <w:r>
        <w:t>Competitors are generally associated with creative production, luxury aesthetics and established portfolios. This is a hypothesis from public positioning, not a universal client finding; validate through interviews.</w:t>
      </w:r>
    </w:p>
    <w:p>
      <w:pPr>
        <w:keepNext/>
      </w:pPr>
      <w:r>
        <w:rPr>
          <w:b/>
          <w:color w:val="171717"/>
        </w:rPr>
        <w:t>SBF-03-03  Are we a market leader, challenger, niche player, or new entrant?</w:t>
      </w:r>
    </w:p>
    <w:p>
      <w:r>
        <w:t>Maison Doclar is a new entrant and category challenger. Leadership is an evidence milestone, not a self-description; claim it only after independently credible market and client proof.</w:t>
      </w:r>
    </w:p>
    <w:p>
      <w:pPr>
        <w:keepNext/>
      </w:pPr>
      <w:r>
        <w:rPr>
          <w:b/>
          <w:color w:val="171717"/>
        </w:rPr>
        <w:t>SBF-03-04  Is our market growing, stable, or shrinking? At what rate?</w:t>
      </w:r>
    </w:p>
    <w:p>
      <w:r>
        <w:t>The addressable need is judged attractive, but no sufficiently reliable public estimate isolates Maison Doclar’s category. Do not publish a market growth rate. Build a bottom-up serviceable market from named qualified accounts, event frequency and achievable fees, then update quarterly.</w:t>
      </w:r>
    </w:p>
    <w:p>
      <w:pPr>
        <w:pStyle w:val="Heading2"/>
        <w:keepNext/>
      </w:pPr>
      <w:r>
        <w:t>1.4 Elevator Pitch &amp; Messaging</w:t>
      </w:r>
    </w:p>
    <w:p>
      <w:pPr>
        <w:keepNext/>
      </w:pPr>
      <w:r>
        <w:rPr>
          <w:b/>
          <w:color w:val="171717"/>
        </w:rPr>
        <w:t>SBF-04-01  Can you explain what we do in one sentence that a 10-year-old would understand?</w:t>
      </w:r>
    </w:p>
    <w:p>
      <w:r>
        <w:t>We help hosts make sure every person at an important event is welcomed, cared for and knows what to do.</w:t>
      </w:r>
    </w:p>
    <w:p>
      <w:pPr>
        <w:keepNext/>
      </w:pPr>
      <w:r>
        <w:rPr>
          <w:b/>
          <w:color w:val="171717"/>
        </w:rPr>
        <w:t>SBF-04-02  Can you explain what we do in 30 seconds to a potential client?</w:t>
      </w:r>
    </w:p>
    <w:p>
      <w:r>
        <w:t>Maison Doclar designs and runs the guest side of important events. We combine warm hospitality, protocol judgment and disciplined operations so guests feel considered, organisers remain in control and hosts can be present instead of firefighting.</w:t>
      </w:r>
    </w:p>
    <w:p>
      <w:pPr>
        <w:keepNext/>
      </w:pPr>
      <w:r>
        <w:rPr>
          <w:b/>
          <w:color w:val="171717"/>
        </w:rPr>
        <w:t>SBF-04-03  Can you explain what we do in 2 minutes to a potential investor?</w:t>
      </w:r>
    </w:p>
    <w:p>
      <w:r>
        <w:t>Maison Doclar is a Lagos-born, globally capable guest-experience, protocol and event-command company. It solves the operational and reputational risk between a beautiful plan and what each guest actually experiences. A trained team and event-scoped operating system manage intake, communication, seating, access, check-in, service, exceptions and recovery. Revenue begins with premium project fees and retainers, with Academy and managed-technology income added only after field validation. The five-year base case is ₦360m net revenue and about ₦101m EBITDA.</w:t>
      </w:r>
    </w:p>
    <w:p>
      <w:pPr>
        <w:keepNext/>
      </w:pPr>
      <w:r>
        <w:rPr>
          <w:b/>
          <w:color w:val="171717"/>
        </w:rPr>
        <w:t>SBF-04-04  What is the hook that makes people lean in?</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SBF-04-05  What objections do we face and how do we address them?</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SBF-04-06  What is our unique selling proposition in one sentence?</w:t>
      </w:r>
    </w:p>
    <w:p>
      <w:r>
        <w:t>We turn complex, high-stakes events into controlled, deeply personal guest journeys—combining human hospitality, protocol judgment and operational intelligence.</w:t>
      </w:r>
    </w:p>
    <w:p>
      <w:pPr>
        <w:keepNext/>
      </w:pPr>
      <w:r>
        <w:rPr>
          <w:b/>
          <w:color w:val="171717"/>
        </w:rPr>
        <w:t>SBF-04-07  What feeling should our tagline evoke?</w:t>
      </w:r>
    </w:p>
    <w:p>
      <w:r>
        <w:t>Adopt “Every Guest, Considered.” It is human, memorable, globally reusable and broad enough for private, corporate, diplomatic and destination work. Test comprehension and distinction with at least 15 qualified buyers before final brand lock.</w:t>
      </w:r>
    </w:p>
    <w:p>
      <w:pPr>
        <w:keepNext/>
      </w:pPr>
      <w:r>
        <w:rPr>
          <w:b/>
          <w:color w:val="171717"/>
        </w:rPr>
        <w:t>SBF-04-08  Should it be descriptive ("White-Glove Event Management") or aspirational ("Effortless Excellence")?</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SBF-04-09  Should it reference Nigeria explicitly or be globally applicable?</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SBF-04-10  Should it reference protocol or keep it subtle?</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SBF-04-11  What competitor taglines should we differentiate from?</w:t>
      </w:r>
    </w:p>
    <w:p>
      <w:r>
        <w:t>Adopt “Every Guest, Considered.” It is human, memorable, globally reusable and broad enough for private, corporate, diplomatic and destination work. Test comprehension and distinction with at least 15 qualified buyers before final brand lock.</w:t>
      </w:r>
    </w:p>
    <w:p>
      <w:pPr>
        <w:keepNext/>
      </w:pPr>
      <w:r>
        <w:rPr>
          <w:b/>
          <w:color w:val="171717"/>
        </w:rPr>
        <w:t>SBF-04-12  Is it memorable after one hearing?</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SBF-04-13  Does it scale (works for VIP events, corporate events, international events)?</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SBF-04-14  What adjectives should clients use to describe us?</w:t>
      </w:r>
    </w:p>
    <w:p>
      <w:r>
        <w:t>Use the approved brand platform in Part 1: “Every Guest, Considered.” Communicate with warm precision and quiet authority, substantiate every claim, and validate language with qualified buyers before permanent adoption.</w:t>
      </w:r>
    </w:p>
    <w:p>
      <w:pPr>
        <w:keepNext/>
      </w:pPr>
      <w:r>
        <w:rPr>
          <w:b/>
          <w:color w:val="171717"/>
        </w:rPr>
        <w:t>SBF-04-15  What adjectives should never be used to describe us?</w:t>
      </w:r>
    </w:p>
    <w:p>
      <w:r>
        <w:t>Use the approved brand platform in Part 1: “Every Guest, Considered.” Communicate with warm precision and quiet authority, substantiate every claim, and validate language with qualified buyers before permanent adoption.</w:t>
      </w:r>
    </w:p>
    <w:p>
      <w:pPr>
        <w:pStyle w:val="Heading2"/>
        <w:keepNext/>
      </w:pPr>
      <w:r>
        <w:t>2.1 Target Audience</w:t>
      </w:r>
    </w:p>
    <w:p>
      <w:pPr>
        <w:keepNext/>
      </w:pPr>
      <w:r>
        <w:rPr>
          <w:b/>
          <w:color w:val="171717"/>
        </w:rPr>
        <w:t>SBF-05-01  Who is our secondary target customer?</w:t>
      </w:r>
    </w:p>
    <w:p>
      <w:r>
        <w:t>Premium organisers, producers, venues, hotels, corporate and diplomatic hosts that need a specialist guest-experience, protocol and command layer.</w:t>
      </w:r>
    </w:p>
    <w:p>
      <w:pPr>
        <w:keepNext/>
      </w:pPr>
      <w:r>
        <w:rPr>
          <w:b/>
          <w:color w:val="171717"/>
        </w:rPr>
        <w:t>SBF-05-02  What pain points do they experience with current providers?</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SBF-05-03  What information do they need before deciding?</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SBF-05-04  What experience do they expect during the sales process?</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SBF-05-05  What follow-up do they expect post-event?</w:t>
      </w:r>
    </w:p>
    <w:p>
      <w:r>
        <w:t>Within 48 hours stabilise welfare and urgent closure; within 7–14 days review outcomes, incidents and finances; within 30–90 days follow up with useful insight and next-event readiness.</w:t>
      </w:r>
    </w:p>
    <w:p>
      <w:pPr>
        <w:keepNext/>
      </w:pPr>
      <w:r>
        <w:rPr>
          <w:b/>
          <w:color w:val="171717"/>
        </w:rPr>
        <w:t>SBF-05-06  What makes them a repeat client vs. one-time?</w:t>
      </w:r>
    </w:p>
    <w:p>
      <w:r>
        <w:t>Earn repeat work through outcome review, remembered preferences with permission, annual readiness planning, retainers, proactive insight and consistent senior accountability—not points or indiscriminate discounts.</w:t>
      </w:r>
    </w:p>
    <w:p>
      <w:pPr>
        <w:keepNext/>
      </w:pPr>
      <w:r>
        <w:rPr>
          <w:b/>
          <w:color w:val="171717"/>
        </w:rPr>
        <w:t>SBF-05-07  What makes them a referral source?</w:t>
      </w:r>
    </w:p>
    <w:p>
      <w:r>
        <w:t>After successful closure, ask specifically for an introduction to one appropriate person. Make it easy and discreet; do not pay hidden inducements or pressure a client.</w:t>
      </w:r>
    </w:p>
    <w:p>
      <w:pPr>
        <w:keepNext/>
      </w:pPr>
      <w:r>
        <w:rPr>
          <w:b/>
          <w:color w:val="171717"/>
        </w:rPr>
        <w:t>SBF-05-08  What is their lifetime value to us?</w:t>
      </w:r>
    </w:p>
    <w:p>
      <w:r>
        <w:t>Measure net retained gross profit across projects, retainers, referrals and Academy/managed services, less acquisition and servicing cost. Do not set a numeric LTV until cohort evidence exists; aim for a three-year relationship with at least two paid engagements or a retainer.</w:t>
      </w:r>
    </w:p>
    <w:p>
      <w:pPr>
        <w:pStyle w:val="Heading2"/>
        <w:keepNext/>
      </w:pPr>
      <w:r>
        <w:t>2.2 Competitor Analysis</w:t>
      </w:r>
    </w:p>
    <w:p>
      <w:pPr>
        <w:keepNext/>
      </w:pPr>
      <w:r>
        <w:rPr>
          <w:b/>
          <w:color w:val="171717"/>
        </w:rPr>
        <w:t>SBF-06-01  What do they do better than us?</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SBF-06-02  What do they do worse than us?</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SBF-06-03  What is their market position?</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SBF-06-04  What is their brand perception?</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SBF-06-05  Who are their typical clients?</w:t>
      </w:r>
    </w:p>
    <w:p>
      <w:r>
        <w:t>Reliable public evidence is insufficient. Do not state private competitor economics as fact. Complete ethical mystery shopping, public-portfolio review and ten buyer/intermediary interviews; record source date and confidence.</w:t>
      </w:r>
    </w:p>
    <w:p>
      <w:pPr>
        <w:keepNext/>
      </w:pPr>
      <w:r>
        <w:rPr>
          <w:b/>
          <w:color w:val="171717"/>
        </w:rPr>
        <w:t>SBF-06-06  What is their weakness we can exploit?</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SBF-06-07  What is their strength we cannot match?</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SBF-06-08  Why do clients choose them over specialists like us?</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SBF-06-09  How do we differentiate from them?</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SBF-06-10  Can they move upmarket to compete with us?</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SBF-06-11  Can we partner with any of them?</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SBF-06-12  What can competitors copy about us?</w:t>
      </w:r>
    </w:p>
    <w:p>
      <w:r>
        <w:t>Competitors are generally associated with creative production, luxury aesthetics and established portfolios. This is a hypothesis from public positioning, not a universal client finding; validate through interviews.</w:t>
      </w:r>
    </w:p>
    <w:p>
      <w:pPr>
        <w:keepNext/>
      </w:pPr>
      <w:r>
        <w:rPr>
          <w:b/>
          <w:color w:val="171717"/>
        </w:rPr>
        <w:t>SBF-06-13  What can they never copy?</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SBF-06-14  What would it cost a competitor to replicate our capability?</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SBF-06-15  How long would it take them?</w:t>
      </w:r>
    </w:p>
    <w:p>
      <w:r>
        <w:t>Compete on trusted guest outcomes, verified protocol, disciplined command, certified people and auditable intelligence. Public competitor information is incomplete; use ethical primary research and never invent pricing, capacity or share.</w:t>
      </w:r>
    </w:p>
    <w:p>
      <w:pPr>
        <w:keepNext/>
      </w:pPr>
      <w:r>
        <w:rPr>
          <w:b/>
          <w:color w:val="171717"/>
        </w:rPr>
        <w:t>SBF-06-16  Are we getting stronger or weaker relative to competitors?</w:t>
      </w:r>
    </w:p>
    <w:p>
      <w:r>
        <w:t>Competitors are generally associated with creative production, luxury aesthetics and established portfolios. This is a hypothesis from public positioning, not a universal client finding; validate through interviews.</w:t>
      </w:r>
    </w:p>
    <w:p>
      <w:pPr>
        <w:pStyle w:val="Heading2"/>
        <w:keepNext/>
      </w:pPr>
      <w:r>
        <w:t>3.1 Service Delivery Model</w:t>
      </w:r>
    </w:p>
    <w:p>
      <w:pPr>
        <w:keepNext/>
      </w:pPr>
      <w:r>
        <w:rPr>
          <w:b/>
          <w:color w:val="171717"/>
        </w:rPr>
        <w:t>SBF-07-01  What are our critical quality checkpoints?</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SBF-07-02  What decisions require CEO approval?</w:t>
      </w:r>
    </w:p>
    <w:p>
      <w:r>
        <w:t>CEO approval is required for client acceptance, material pricing/scope exception, high-risk protocol/reputation, go/no-go, critical privacy/biometric use, unresolved red risk and production release.</w:t>
      </w:r>
    </w:p>
    <w:p>
      <w:pPr>
        <w:keepNext/>
      </w:pPr>
      <w:r>
        <w:rPr>
          <w:b/>
          <w:color w:val="171717"/>
        </w:rPr>
        <w:t>SBF-07-03  What decisions can team leads make?</w:t>
      </w:r>
    </w:p>
    <w:p>
      <w:r>
        <w:t>Team leads decide workstream methods, assignments and recovery within approved scope, budget and standards. They escalate cross-workstream harm, critical delay, safety/data/protocol uncertainty and irreversible action.</w:t>
      </w:r>
    </w:p>
    <w:p>
      <w:pPr>
        <w:keepNext/>
      </w:pPr>
      <w:r>
        <w:rPr>
          <w:b/>
          <w:color w:val="171717"/>
        </w:rPr>
        <w:t>SBF-07-04  What decisions can frontline staff make?</w:t>
      </w:r>
    </w:p>
    <w:p>
      <w:r>
        <w:t>Frontline staff may take immediate, reversible and proportionate action to protect dignity and safety, then record and escalate. They may not resolve identity, money, media, medical, security, legal or sensitive-data disputes alone.</w:t>
      </w:r>
    </w:p>
    <w:p>
      <w:pPr>
        <w:keepNext/>
      </w:pPr>
      <w:r>
        <w:rPr>
          <w:b/>
          <w:color w:val="171717"/>
        </w:rPr>
        <w:t>SBF-07-05  What is our escalation process when things go wrong?</w:t>
      </w:r>
    </w:p>
    <w:p>
      <w:r>
        <w:t>Classify severity and time-to-harm; stabilise the guest/situation; notify the named lead through the command channel; assign an owner and deadline; preserve evidence; communicate closure and learn.</w:t>
      </w:r>
    </w:p>
    <w:p>
      <w:pPr>
        <w:keepNext/>
      </w:pPr>
      <w:r>
        <w:rPr>
          <w:b/>
          <w:color w:val="171717"/>
        </w:rPr>
        <w:t>SBF-07-06  What is our recovery process when we fail a client?</w:t>
      </w:r>
    </w:p>
    <w:p>
      <w:r>
        <w:t>Acknowledge without defensiveness, stabilise, own the next step, offer a proportionate remedy within authority, keep the client informed, document facts, analyse cause and verify closure.</w:t>
      </w:r>
    </w:p>
    <w:p>
      <w:pPr>
        <w:keepNext/>
      </w:pPr>
      <w:r>
        <w:rPr>
          <w:b/>
          <w:color w:val="171717"/>
        </w:rPr>
        <w:t>SBF-07-07  What is our optimal capacity for quality delivery?</w:t>
      </w:r>
    </w:p>
    <w:p>
      <w:r>
        <w:t>Until live evidence exists, cap Year‑1 delivery at one complex flagship at a time, no more than two overlapping lower-complexity engagements and 6–8 paid engagements annually. Optimal capacity is 75–85% of demonstrated safe capacity, leaving recovery headroom.</w:t>
      </w:r>
    </w:p>
    <w:p>
      <w:pPr>
        <w:keepNext/>
      </w:pPr>
      <w:r>
        <w:rPr>
          <w:b/>
          <w:color w:val="171717"/>
        </w:rPr>
        <w:t>SBF-07-08  What tasks can be delegated?</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SBF-07-09  What tasks must the CEO do personally?</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SBF-07-10  What tasks can be automated?</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SBF-07-11  What tasks can be outsourced?</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SBF-07-12  What is our staff-to-event ratio?</w:t>
      </w:r>
    </w:p>
    <w:p>
      <w:r>
        <w:t>There is no safe universal ratio. Build it from roles, guest flows, venue, service points, accessibility, risk and response-time targets; approve the event staffing model after simulation and rehearsal.</w:t>
      </w:r>
    </w:p>
    <w:p>
      <w:pPr>
        <w:keepNext/>
      </w:pPr>
      <w:r>
        <w:rPr>
          <w:b/>
          <w:color w:val="171717"/>
        </w:rPr>
        <w:t>SBF-07-13  What is our CEO-to-revenue ratio?</w:t>
      </w:r>
    </w:p>
    <w:p>
      <w:r>
        <w:t>Measure CEO delivery hours per ₦1m net revenue and reduce dependency each year. By Year 3 the CEO should spend mainly on strategy, senior relationships and high-risk decisions; no more than 20% of routine delivery hours should require the CEO.</w:t>
      </w:r>
    </w:p>
    <w:p>
      <w:pPr>
        <w:pStyle w:val="Heading2"/>
        <w:keepNext/>
      </w:pPr>
      <w:r>
        <w:t>3.2 Team &amp; Organisation</w:t>
      </w:r>
    </w:p>
    <w:p>
      <w:pPr>
        <w:keepNext/>
      </w:pPr>
      <w:r>
        <w:rPr>
          <w:b/>
          <w:color w:val="171717"/>
        </w:rPr>
        <w:t>SBF-08-01  Which roles are currently filled?</w:t>
      </w:r>
    </w:p>
    <w:p>
      <w:r>
        <w:t>Current named incumbents were not evidenced. Treat every role except CEO as unconfirmed until an organisation-and-capability audit records person, availability, competence, conflict and succession cover.</w:t>
      </w:r>
    </w:p>
    <w:p>
      <w:pPr>
        <w:keepNext/>
      </w:pPr>
      <w:r>
        <w:rPr>
          <w:b/>
          <w:color w:val="171717"/>
        </w:rPr>
        <w:t>SBF-08-02  Which roles are gaps?</w:t>
      </w:r>
    </w:p>
    <w:p>
      <w:r>
        <w:t>Current named incumbents were not evidenced. Treat every role except CEO as unconfirmed until an organisation-and-capability audit records person, availability, competence, conflict and succession cover.</w:t>
      </w:r>
    </w:p>
    <w:p>
      <w:pPr>
        <w:keepNext/>
      </w:pPr>
      <w:r>
        <w:rPr>
          <w:b/>
          <w:color w:val="171717"/>
        </w:rPr>
        <w:t>SBF-08-03  What skills can be trained?</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SBF-08-04  What skills must be hired?</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SBF-08-05  What is our hiring process?</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SBF-08-06  What is our onboarding process?</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SBF-08-07  What is our training curriculum?</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SBF-08-08  What is our retention strategy for key staff?</w:t>
      </w:r>
    </w:p>
    <w:p>
      <w:r>
        <w:t>Earn repeat work through outcome review, remembered preferences with permission, annual readiness planning, retainers, proactive insight and consistent senior accountability—not points or indiscriminate discounts.</w:t>
      </w:r>
    </w:p>
    <w:p>
      <w:pPr>
        <w:keepNext/>
      </w:pPr>
      <w:r>
        <w:rPr>
          <w:b/>
          <w:color w:val="171717"/>
        </w:rPr>
        <w:t>SBF-08-09  What values do we hire for?</w:t>
      </w:r>
    </w:p>
    <w:p>
      <w:r>
        <w:t>Hire and operate for dignity, discretion, anticipation, ownership, precision, cultural intelligence, calm and truth.</w:t>
      </w:r>
    </w:p>
    <w:p>
      <w:pPr>
        <w:keepNext/>
      </w:pPr>
      <w:r>
        <w:rPr>
          <w:b/>
          <w:color w:val="171717"/>
        </w:rPr>
        <w:t>SBF-08-10  What behaviours do we reward?</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SBF-08-11  What behaviours do we discipline?</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SBF-08-12  What standards are non-negotiable?</w:t>
      </w:r>
    </w:p>
    <w:p>
      <w:r>
        <w:t>Use the role architecture and culture standards in Part 3. Current staffing facts require verification; deployment depends on Academy certification, observed competence, event briefing and named supervision.</w:t>
      </w:r>
    </w:p>
    <w:p>
      <w:pPr>
        <w:keepNext/>
      </w:pPr>
      <w:r>
        <w:rPr>
          <w:b/>
          <w:color w:val="171717"/>
        </w:rPr>
        <w:t>SBF-08-13  How do we handle mistakes?</w:t>
      </w:r>
    </w:p>
    <w:p>
      <w:r>
        <w:t>Protect people and service first; disclose and correct facts; distinguish human error from reckless or concealed conduct; run a blameless causal review while holding accountable choices; update training, controls and authority.</w:t>
      </w:r>
    </w:p>
    <w:p>
      <w:pPr>
        <w:keepNext/>
      </w:pPr>
      <w:r>
        <w:rPr>
          <w:b/>
          <w:color w:val="171717"/>
        </w:rPr>
        <w:t>SBF-08-14  How do we celebrate wins?</w:t>
      </w:r>
    </w:p>
    <w:p>
      <w:r>
        <w:t>Recognise specific behaviours and team contributions after evidence is closed. Share client praise only with permission, capture what should become doctrine, and avoid hero culture that hides system weakness.</w:t>
      </w:r>
    </w:p>
    <w:p>
      <w:pPr>
        <w:keepNext/>
      </w:pPr>
      <w:r>
        <w:rPr>
          <w:b/>
          <w:color w:val="171717"/>
        </w:rPr>
        <w:t>SBF-08-15  What makes someone a Maison Doclar person vs. just an employee?</w:t>
      </w:r>
    </w:p>
    <w:p>
      <w:r>
        <w:t>Use the role architecture and culture standards in Part 3. Current staffing facts require verification; deployment depends on Academy certification, observed competence, event briefing and named supervision.</w:t>
      </w:r>
    </w:p>
    <w:p>
      <w:pPr>
        <w:pStyle w:val="Heading2"/>
        <w:keepNext/>
      </w:pPr>
      <w:r>
        <w:t>4.1 Revenue Model</w:t>
      </w:r>
    </w:p>
    <w:p>
      <w:pPr>
        <w:keepNext/>
      </w:pPr>
      <w:r>
        <w:rPr>
          <w:b/>
          <w:color w:val="171717"/>
        </w:rPr>
        <w:t>SBF-09-01  What percentage of revenue comes from each stream?</w:t>
      </w:r>
    </w:p>
    <w:p>
      <w:r>
        <w:t>Use the base-case financial policy in Part 4 and replace planning assumptions with actual cohort economics monthly. Protect positive cash conversion, contribution margin, fee floors and a six-month reserve before expansion.</w:t>
      </w:r>
    </w:p>
    <w:p>
      <w:pPr>
        <w:keepNext/>
      </w:pPr>
      <w:r>
        <w:rPr>
          <w:b/>
          <w:color w:val="171717"/>
        </w:rPr>
        <w:t>SBF-09-02  What is our average event value?</w:t>
      </w:r>
    </w:p>
    <w:p>
      <w:r>
        <w:t>The Year‑1 planning average is approximately ₦7.5m in Maison Doclar net fees. This is a budget assumption, not a historical fact, and must be replaced after the first four paid engagements.</w:t>
      </w:r>
    </w:p>
    <w:p>
      <w:pPr>
        <w:keepNext/>
      </w:pPr>
      <w:r>
        <w:rPr>
          <w:b/>
          <w:color w:val="171717"/>
        </w:rPr>
        <w:t>SBF-09-03  What is our minimum event value?</w:t>
      </w:r>
    </w:p>
    <w:p>
      <w:r>
        <w:t>Use a fee floor, not an event-budget floor: proposed ₦5m for a full Lagos flagship engagement and ₦1.5m for tightly bounded advisory. Complexity, consequence, timing and senior intensity can raise the floor.</w:t>
      </w:r>
    </w:p>
    <w:p>
      <w:pPr>
        <w:keepNext/>
      </w:pPr>
      <w:r>
        <w:rPr>
          <w:b/>
          <w:color w:val="171717"/>
        </w:rPr>
        <w:t>SBF-09-04  What is our target event value?</w:t>
      </w:r>
    </w:p>
    <w:p>
      <w:r>
        <w:t>Target an average flagship professional fee of about ₦11m by Year 5, supported by verified outcomes, stronger scope and larger retained relationships—not inflation alone.</w:t>
      </w:r>
    </w:p>
    <w:p>
      <w:pPr>
        <w:keepNext/>
      </w:pPr>
      <w:r>
        <w:rPr>
          <w:b/>
          <w:color w:val="171717"/>
        </w:rPr>
        <w:t>SBF-09-05  Do we offer packages or fully bespoke pricing?</w:t>
      </w:r>
    </w:p>
    <w:p>
      <w:r>
        <w:t>Use the base-case financial policy in Part 4 and replace planning assumptions with actual cohort economics monthly. Protect positive cash conversion, contribution margin, fee floors and a six-month reserve before expansion.</w:t>
      </w:r>
    </w:p>
    <w:p>
      <w:pPr>
        <w:keepNext/>
      </w:pPr>
      <w:r>
        <w:rPr>
          <w:b/>
          <w:color w:val="171717"/>
        </w:rPr>
        <w:t>SBF-09-06  What is our profit margin target?</w:t>
      </w:r>
    </w:p>
    <w:p>
      <w:r>
        <w:t>Use the base-case financial policy in Part 4 and replace planning assumptions with actual cohort economics monthly. Protect positive cash conversion, contribution margin, fee floors and a six-month reserve before expansion.</w:t>
      </w:r>
    </w:p>
    <w:p>
      <w:pPr>
        <w:keepNext/>
      </w:pPr>
      <w:r>
        <w:rPr>
          <w:b/>
          <w:color w:val="171717"/>
        </w:rPr>
        <w:t>SBF-09-07  What is our working capital requirement?</w:t>
      </w:r>
    </w:p>
    <w:p>
      <w:r>
        <w:t>Use the base-case financial policy in Part 4 and replace planning assumptions with actual cohort economics monthly. Protect positive cash conversion, contribution margin, fee floors and a six-month reserve before expansion.</w:t>
      </w:r>
    </w:p>
    <w:p>
      <w:pPr>
        <w:keepNext/>
      </w:pPr>
      <w:r>
        <w:rPr>
          <w:b/>
          <w:color w:val="171717"/>
        </w:rPr>
        <w:t>SBF-09-08  What seasonality affects our revenue?</w:t>
      </w:r>
    </w:p>
    <w:p>
      <w:r>
        <w:t>Use the base-case financial policy in Part 4 and replace planning assumptions with actual cohort economics monthly. Protect positive cash conversion, contribution margin, fee floors and a six-month reserve before expansion.</w:t>
      </w:r>
    </w:p>
    <w:p>
      <w:pPr>
        <w:keepNext/>
      </w:pPr>
      <w:r>
        <w:rPr>
          <w:b/>
          <w:color w:val="171717"/>
        </w:rPr>
        <w:t>SBF-09-09  What hedges do we have against seasonality?</w:t>
      </w:r>
    </w:p>
    <w:p>
      <w:r>
        <w:t>Use the base-case financial policy in Part 4 and replace planning assumptions with actual cohort economics monthly. Protect positive cash conversion, contribution margin, fee floors and a six-month reserve before expansion.</w:t>
      </w:r>
    </w:p>
    <w:p>
      <w:pPr>
        <w:pStyle w:val="Heading2"/>
        <w:keepNext/>
      </w:pPr>
      <w:r>
        <w:t>4.2 Financial Projections</w:t>
      </w:r>
    </w:p>
    <w:p>
      <w:pPr>
        <w:keepNext/>
      </w:pPr>
      <w:r>
        <w:rPr>
          <w:b/>
          <w:color w:val="171717"/>
        </w:rPr>
        <w:t>SBF-10-01  What is our revenue target for Year 1?</w:t>
      </w:r>
    </w:p>
    <w:p>
      <w:r>
        <w:t>The base target is ₦60m net revenue, 55% gross margin and approximately breakeven-to-3% EBITDA, prioritising proof and control over volume.</w:t>
      </w:r>
    </w:p>
    <w:p>
      <w:pPr>
        <w:keepNext/>
      </w:pPr>
      <w:r>
        <w:rPr>
          <w:b/>
          <w:color w:val="171717"/>
        </w:rPr>
        <w:t>SBF-10-02  What is our revenue target for Year 3?</w:t>
      </w:r>
    </w:p>
    <w:p>
      <w:r>
        <w:t>The base target is ₦180m net revenue and 18% EBITDA, supported by 12–16 flagship engagements, four retained relationships, an Event Director and verified repeatability.</w:t>
      </w:r>
    </w:p>
    <w:p>
      <w:pPr>
        <w:keepNext/>
      </w:pPr>
      <w:r>
        <w:rPr>
          <w:b/>
          <w:color w:val="171717"/>
        </w:rPr>
        <w:t>SBF-10-03  What is our revenue target for Year 5?</w:t>
      </w:r>
    </w:p>
    <w:p>
      <w:r>
        <w:t>The base target is ₦360m net revenue, 64% gross margin and about ₦100.8m EBITDA. This supports the ₦500m planning valuation hypothesis at about 5× EBITDA.</w:t>
      </w:r>
    </w:p>
    <w:p>
      <w:pPr>
        <w:keepNext/>
      </w:pPr>
      <w:r>
        <w:rPr>
          <w:b/>
          <w:color w:val="171717"/>
        </w:rPr>
        <w:t>SBF-10-04  What milestones must we hit to achieve Year 3 targets?</w:t>
      </w:r>
    </w:p>
    <w:p>
      <w:r>
        <w:t>The base target is ₦180m net revenue and 18% EBITDA, supported by 12–16 flagship engagements, four retained relationships, an Event Director and verified repeatability.</w:t>
      </w:r>
    </w:p>
    <w:p>
      <w:pPr>
        <w:keepNext/>
      </w:pPr>
      <w:r>
        <w:rPr>
          <w:b/>
          <w:color w:val="171717"/>
        </w:rPr>
        <w:t>SBF-10-05  What risks could derail our projections?</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SBF-10-06  Do we need external capital to scale?</w:t>
      </w:r>
    </w:p>
    <w:p>
      <w:r>
        <w:t>External equity is not recommended before repeatable demand, verified margins and governance. Use deposits and retained earnings first; consider working-capital debt only against predictable contracts and repayment capacity. No collateral or investor return can be represented until finance and legal diligence.</w:t>
      </w:r>
    </w:p>
    <w:p>
      <w:pPr>
        <w:keepNext/>
      </w:pPr>
      <w:r>
        <w:rPr>
          <w:b/>
          <w:color w:val="171717"/>
        </w:rPr>
        <w:t>SBF-10-07  If yes, how much and for what?</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SBF-10-08  Are we bankable for a business loan?</w:t>
      </w:r>
    </w:p>
    <w:p>
      <w:r>
        <w:t>External equity is not recommended before repeatable demand, verified margins and governance. Use deposits and retained earnings first; consider working-capital debt only against predictable contracts and repayment capacity. No collateral or investor return can be represented until finance and legal diligence.</w:t>
      </w:r>
    </w:p>
    <w:p>
      <w:pPr>
        <w:keepNext/>
      </w:pPr>
      <w:r>
        <w:rPr>
          <w:b/>
          <w:color w:val="171717"/>
        </w:rPr>
        <w:t>SBF-10-09  What assets can we use as collateral?</w:t>
      </w:r>
    </w:p>
    <w:p>
      <w:r>
        <w:t>External equity is not recommended before repeatable demand, verified margins and governance. Use deposits and retained earnings first; consider working-capital debt only against predictable contracts and repayment capacity. No collateral or investor return can be represented until finance and legal diligence.</w:t>
      </w:r>
    </w:p>
    <w:p>
      <w:pPr>
        <w:keepNext/>
      </w:pPr>
      <w:r>
        <w:rPr>
          <w:b/>
          <w:color w:val="171717"/>
        </w:rPr>
        <w:t>SBF-10-10  What is our current cash position?</w:t>
      </w:r>
    </w:p>
    <w:p>
      <w:r>
        <w:t>Not evidenced in the materials. The Finance Lead must produce bank-confirmed cash, liabilities, committed spend and a 13-week forecast before ratification; until then, assume no free growth capital and approve no fixed-cost expansion.</w:t>
      </w:r>
    </w:p>
    <w:p>
      <w:pPr>
        <w:keepNext/>
      </w:pPr>
      <w:r>
        <w:rPr>
          <w:b/>
          <w:color w:val="171717"/>
        </w:rPr>
        <w:t>SBF-10-11  What is our monthly burn rate?</w:t>
      </w:r>
    </w:p>
    <w:p>
      <w:r>
        <w:t>Not evidenced in the materials. The Finance Lead must produce bank-confirmed cash, liabilities, committed spend and a 13-week forecast before ratification; until then, assume no free growth capital and approve no fixed-cost expansion.</w:t>
      </w:r>
    </w:p>
    <w:p>
      <w:pPr>
        <w:keepNext/>
      </w:pPr>
      <w:r>
        <w:rPr>
          <w:b/>
          <w:color w:val="171717"/>
        </w:rPr>
        <w:t>SBF-10-12  How many months of runway do we have?</w:t>
      </w:r>
    </w:p>
    <w:p>
      <w:r>
        <w:t>Not evidenced in the materials. The Finance Lead must produce bank-confirmed cash, liabilities, committed spend and a 13-week forecast before ratification; until then, assume no free growth capital and approve no fixed-cost expansion.</w:t>
      </w:r>
    </w:p>
    <w:p>
      <w:pPr>
        <w:keepNext/>
      </w:pPr>
      <w:r>
        <w:rPr>
          <w:b/>
          <w:color w:val="171717"/>
        </w:rPr>
        <w:t>SBF-10-13  What contingency do we have if revenue drops 50%?</w:t>
      </w:r>
    </w:p>
    <w:p>
      <w:r>
        <w:t>The recommended decision is governed by the relevant policy in Parts 1–7. The CEO should ratify the direction, assign an owner and evidence date, and prohibit unsupported claims or execution outside qualified authority.</w:t>
      </w:r>
    </w:p>
    <w:p>
      <w:pPr>
        <w:keepNext/>
      </w:pPr>
      <w:r>
        <w:rPr>
          <w:b/>
          <w:color w:val="171717"/>
        </w:rPr>
        <w:t>SBF-10-14  What personal financial commitment has the CEO made?</w:t>
      </w:r>
    </w:p>
    <w:p>
      <w:r>
        <w:t>The recommended decision is governed by the relevant policy in Parts 1–7. The CEO should ratify the direction, assign an owner and evidence date, and prohibit unsupported claims or execution outside qualified authority.</w:t>
      </w:r>
    </w:p>
    <w:p>
      <w:pPr>
        <w:pStyle w:val="Heading2"/>
        <w:keepNext/>
      </w:pPr>
      <w:r>
        <w:t>5.1 Growth Strategy</w:t>
      </w:r>
    </w:p>
    <w:p>
      <w:pPr>
        <w:keepNext/>
      </w:pPr>
      <w:r>
        <w:rPr>
          <w:b/>
          <w:color w:val="171717"/>
        </w:rPr>
        <w:t>SBF-11-01  What is the likelihood of each risk?</w:t>
      </w:r>
    </w:p>
    <w:p>
      <w:r>
        <w:t>Follow the gated Lagos-first growth path in Part 5. Expansion, capital and exit remain options earned by evidence; dignity, safety, truth, cash and founder independence are binding gates.</w:t>
      </w:r>
    </w:p>
    <w:p>
      <w:pPr>
        <w:keepNext/>
      </w:pPr>
      <w:r>
        <w:rPr>
          <w:b/>
          <w:color w:val="171717"/>
        </w:rPr>
        <w:t>SBF-11-02  What is the impact of each risk?</w:t>
      </w:r>
    </w:p>
    <w:p>
      <w:r>
        <w:t>Leave a durable African standard for guest dignity, protocol accuracy, trained hospitality talent and calm event operations—an institution whose quality does not depend on the founder being in the room.</w:t>
      </w:r>
    </w:p>
    <w:p>
      <w:pPr>
        <w:keepNext/>
      </w:pPr>
      <w:r>
        <w:rPr>
          <w:b/>
          <w:color w:val="171717"/>
        </w:rPr>
        <w:t>SBF-11-03  What mitigation do we have for each?</w:t>
      </w:r>
    </w:p>
    <w:p>
      <w:r>
        <w:t>Follow the gated Lagos-first growth path in Part 5. Expansion, capital and exit remain options earned by evidence; dignity, safety, truth, cash and founder independence are binding gates.</w:t>
      </w:r>
    </w:p>
    <w:p>
      <w:pPr>
        <w:keepNext/>
      </w:pPr>
      <w:r>
        <w:rPr>
          <w:b/>
          <w:color w:val="171717"/>
        </w:rPr>
        <w:t>SBF-11-04  What insurance do we carry?</w:t>
      </w:r>
    </w:p>
    <w:p>
      <w:r>
        <w:t>Obtain broker advice for public liability, professional indemnity, workplace/employer obligations, cyber/privacy, equipment, fidelity/crime, D&amp;O, travel and event-specific cancellation or political-violence cover. Limits and exclusions must be engagement-specific.</w:t>
      </w:r>
    </w:p>
    <w:p>
      <w:pPr>
        <w:keepNext/>
      </w:pPr>
      <w:r>
        <w:rPr>
          <w:b/>
          <w:color w:val="171717"/>
        </w:rPr>
        <w:t>SBF-11-05  What succession plan do we have if CEO is unavailable?</w:t>
      </w:r>
    </w:p>
    <w:p>
      <w:r>
        <w:t>Follow the gated Lagos-first growth path in Part 5. Expansion, capital and exit remain options earned by evidence; dignity, safety, truth, cash and founder independence are binding gates.</w:t>
      </w:r>
    </w:p>
    <w:p>
      <w:pPr>
        <w:pStyle w:val="Heading2"/>
        <w:keepNext/>
      </w:pPr>
      <w:r>
        <w:t>5.2 Exit &amp; Legacy</w:t>
      </w:r>
    </w:p>
    <w:p>
      <w:pPr>
        <w:keepNext/>
      </w:pPr>
      <w:r>
        <w:rPr>
          <w:b/>
          <w:color w:val="171717"/>
        </w:rPr>
        <w:t>SBF-12-01  Is this a lifestyle business or a scalable enterprise?</w:t>
      </w:r>
    </w:p>
    <w:p>
      <w:r>
        <w:t>Follow the gated Lagos-first growth path in Part 5. Expansion, capital and exit remain options earned by evidence; dignity, safety, truth, cash and founder independence are binding gates.</w:t>
      </w:r>
    </w:p>
    <w:p>
      <w:pPr>
        <w:keepNext/>
      </w:pPr>
      <w:r>
        <w:rPr>
          <w:b/>
          <w:color w:val="171717"/>
        </w:rPr>
        <w:t>SBF-12-02  Do we plan to sell the business?</w:t>
      </w:r>
    </w:p>
    <w:p>
      <w:r>
        <w:t>Build a scalable, sale-ready institution but do not force a sale. Target strategic optionality after Year 5 and a ₦500m enterprise-value planning objective; actual timing and value depend on verified earnings, recurring revenue, governance and market conditions.</w:t>
      </w:r>
    </w:p>
    <w:p>
      <w:pPr>
        <w:keepNext/>
      </w:pPr>
      <w:r>
        <w:rPr>
          <w:b/>
          <w:color w:val="171717"/>
        </w:rPr>
        <w:t>SBF-12-03  What valuation are we targeting?</w:t>
      </w:r>
    </w:p>
    <w:p>
      <w:r>
        <w:t>Build a scalable, sale-ready institution but do not force a sale. Target strategic optionality after Year 5 and a ₦500m enterprise-value planning objective; actual timing and value depend on verified earnings, recurring revenue, governance and market conditions.</w:t>
      </w:r>
    </w:p>
    <w:p>
      <w:pPr>
        <w:keepNext/>
      </w:pPr>
      <w:r>
        <w:rPr>
          <w:b/>
          <w:color w:val="171717"/>
        </w:rPr>
        <w:t>SBF-12-04  What multiples do comparable businesses sell for?</w:t>
      </w:r>
    </w:p>
    <w:p>
      <w:r>
        <w:t>Use 5× EBITDA only as a conservative planning hypothesis for the five-year design. It is not a comparable-company conclusion; obtain a qualified valuation using then-current transactions, earnings quality, growth and concentration.</w:t>
      </w:r>
    </w:p>
    <w:p>
      <w:pPr>
        <w:keepNext/>
      </w:pPr>
      <w:r>
        <w:rPr>
          <w:b/>
          <w:color w:val="171717"/>
        </w:rPr>
        <w:t>SBF-12-05  What milestones increase valuation?</w:t>
      </w:r>
    </w:p>
    <w:p>
      <w:r>
        <w:t>Build a scalable, sale-ready institution but do not force a sale. Target strategic optionality after Year 5 and a ₦500m enterprise-value planning objective; actual timing and value depend on verified earnings, recurring revenue, governance and market conditions.</w:t>
      </w:r>
    </w:p>
    <w:p>
      <w:pPr>
        <w:keepNext/>
      </w:pPr>
      <w:r>
        <w:rPr>
          <w:b/>
          <w:color w:val="171717"/>
        </w:rPr>
        <w:t>SBF-12-06  What is our timeline for exit?</w:t>
      </w:r>
    </w:p>
    <w:p>
      <w:r>
        <w:t>Build a scalable, sale-ready institution but do not force a sale. Target strategic optionality after Year 5 and a ₦500m enterprise-value planning objective; actual timing and value depend on verified earnings, recurring revenue, governance and market conditions.</w:t>
      </w:r>
    </w:p>
    <w:p>
      <w:pPr>
        <w:keepNext/>
      </w:pPr>
      <w:r>
        <w:rPr>
          <w:b/>
          <w:color w:val="171717"/>
        </w:rPr>
        <w:t>SBF-12-07  What legacy do we want to leave?</w:t>
      </w:r>
    </w:p>
    <w:p>
      <w:r>
        <w:t>Leave a durable African standard for guest dignity, protocol accuracy, trained hospitality talent and calm event operations—an institution whose quality does not depend on the founder being in the room.</w:t>
      </w:r>
    </w:p>
    <w:p>
      <w:pPr>
        <w:keepNext/>
      </w:pPr>
      <w:r>
        <w:rPr>
          <w:b/>
          <w:color w:val="171717"/>
        </w:rPr>
        <w:t>SBF-12-08  What impact do we want to have on the industry?</w:t>
      </w:r>
    </w:p>
    <w:p>
      <w:r>
        <w:t>Leave a durable African standard for guest dignity, protocol accuracy, trained hospitality talent and calm event operations—an institution whose quality does not depend on the founder being in the room.</w:t>
      </w:r>
    </w:p>
    <w:p>
      <w:pPr>
        <w:keepNext/>
      </w:pPr>
      <w:r>
        <w:rPr>
          <w:b/>
          <w:color w:val="171717"/>
        </w:rPr>
        <w:t>SBF-12-09  What succession plan do we have for leadership?</w:t>
      </w:r>
    </w:p>
    <w:p>
      <w:r>
        <w:t>Follow the gated Lagos-first growth path in Part 5. Expansion, capital and exit remain options earned by evidence; dignity, safety, truth, cash and founder independence are binding gates.</w:t>
      </w:r>
    </w:p>
    <w:p>
      <w:pPr>
        <w:pStyle w:val="Heading2"/>
        <w:keepNext/>
      </w:pPr>
      <w:r>
        <w:t>6.1 Legal &amp; Compliance</w:t>
      </w:r>
    </w:p>
    <w:p>
      <w:pPr>
        <w:keepNext/>
      </w:pPr>
      <w:r>
        <w:rPr>
          <w:b/>
          <w:color w:val="171717"/>
        </w:rPr>
        <w:t>SBF-13-01  What indemnities do we require from clients?</w:t>
      </w:r>
    </w:p>
    <w:p>
      <w:r>
        <w:t>Use balanced, insurable and legally reviewed indemnities tied to control: each party covers its breach, negligence, law violation and supplied materials/data. Never promise unlimited protection for risks Maison Doclar cannot control; preserve guest safety and statutory rights.</w:t>
      </w:r>
    </w:p>
    <w:p>
      <w:pPr>
        <w:keepNext/>
      </w:pPr>
      <w:r>
        <w:rPr>
          <w:b/>
          <w:color w:val="171717"/>
        </w:rPr>
        <w:t>SBF-13-02  What indemnities do we give to clients?</w:t>
      </w:r>
    </w:p>
    <w:p>
      <w:r>
        <w:t>Use balanced, insurable and legally reviewed indemnities tied to control: each party covers its breach, negligence, law violation and supplied materials/data. Never promise unlimited protection for risks Maison Doclar cannot control; preserve guest safety and statutory rights.</w:t>
      </w:r>
    </w:p>
    <w:p>
      <w:pPr>
        <w:keepNext/>
      </w:pPr>
      <w:r>
        <w:rPr>
          <w:b/>
          <w:color w:val="171717"/>
        </w:rPr>
        <w:t>SBF-13-03  What legal counsel do we need on retainer?</w:t>
      </w:r>
    </w:p>
    <w:p>
      <w:r>
        <w:t>REQUIRED REVIEW: Nigerian counsel must create an activity-and-jurisdiction compliance matrix covering corporate, tax, employment, pensions/workplace obligations, privacy, IP, permits, venue/safety, security and destination rules. Maison Doclar must not claim that a generic event-management licence is or is not required without confirming the actual activity and location.</w:t>
      </w:r>
    </w:p>
    <w:p>
      <w:pPr>
        <w:pStyle w:val="Heading2"/>
        <w:keepNext/>
      </w:pPr>
      <w:r>
        <w:t>6.2 Technology &amp; Systems</w:t>
      </w:r>
    </w:p>
    <w:p>
      <w:pPr>
        <w:keepNext/>
      </w:pPr>
      <w:r>
        <w:rPr>
          <w:b/>
          <w:color w:val="171717"/>
        </w:rPr>
        <w:t>SBF-14-01  What tech investment is urgent vs. nice-to-have?</w:t>
      </w:r>
    </w:p>
    <w:p>
      <w:r>
        <w:t>Implement through the Event OS and Academy contracts: event scope, least privilege, audit, explainability, mobile/offline reliability and human approval. Build urgent controls before convenience automation.</w:t>
      </w:r>
    </w:p>
    <w:p>
      <w:pPr>
        <w:keepNext/>
      </w:pPr>
      <w:r>
        <w:rPr>
          <w:b/>
          <w:color w:val="171717"/>
        </w:rPr>
        <w:t>SBF-14-02  What is our disaster recovery plan for systems?</w:t>
      </w:r>
    </w:p>
    <w:p>
      <w:r>
        <w:t>Use least privilege, MFA, encryption, tenant/event isolation, minimisation, logging, secure exports, tested backups, offline continuity, breach response and deletion. Recovery objectives must be tested before live use; sensitive event data is never a training convenience.</w:t>
      </w:r>
    </w:p>
    <w:p>
      <w:pPr>
        <w:pStyle w:val="Heading2"/>
        <w:keepNext/>
      </w:pPr>
      <w:r>
        <w:t>6.3 Brand &amp; Reputation</w:t>
      </w:r>
    </w:p>
    <w:p>
      <w:pPr>
        <w:keepNext/>
      </w:pPr>
      <w:r>
        <w:rPr>
          <w:b/>
          <w:color w:val="171717"/>
        </w:rPr>
        <w:t>SBF-15-01  What is our reputation in the market today?</w:t>
      </w:r>
    </w:p>
    <w:p>
      <w:r>
        <w:t>No portfolio, testimonial, awareness or historic-performance evidence was supplied. Do not invent it. Build the controlled proof register from verified past work where consent exists and from every new paid engagement.</w:t>
      </w:r>
    </w:p>
    <w:p>
      <w:pPr>
        <w:keepNext/>
      </w:pPr>
      <w:r>
        <w:rPr>
          <w:b/>
          <w:color w:val="171717"/>
        </w:rPr>
        <w:t>SBF-15-02  How do we handle negative feedback or event failures?</w:t>
      </w:r>
    </w:p>
    <w:p>
      <w:r>
        <w:t>Protect people, establish facts, acknowledge receipt quickly, appoint one accountable communicator, notify required parties, avoid speculation, correct misinformation, preserve evidence, remedy proportionately and publish only what confidentiality and law permit.</w:t>
      </w:r>
    </w:p>
    <w:p>
      <w:pPr>
        <w:keepNext/>
      </w:pPr>
      <w:r>
        <w:rPr>
          <w:b/>
          <w:color w:val="171717"/>
        </w:rPr>
        <w:t>SBF-15-03  What is our crisis communication plan?</w:t>
      </w:r>
    </w:p>
    <w:p>
      <w:r>
        <w:t>Protect people, establish facts, acknowledge receipt quickly, appoint one accountable communicator, notify required parties, avoid speculation, correct misinformation, preserve evidence, remedy proportionately and publish only what confidentiality and law permit.</w:t>
      </w:r>
    </w:p>
    <w:p>
      <w:pPr>
        <w:keepNext/>
      </w:pPr>
      <w:r>
        <w:rPr>
          <w:b/>
          <w:color w:val="171717"/>
        </w:rPr>
        <w:t>SBF-15-04  What awards or recognition should we pursue?</w:t>
      </w:r>
    </w:p>
    <w:p>
      <w:r>
        <w:t>Pursue only independently judged, credible awards whose criteria align with hospitality, innovation, people development or operational excellence. Never pay for the appearance of merit or disclose client work without consent.</w:t>
      </w:r>
    </w:p>
    <w:p>
      <w:pPr>
        <w:pStyle w:val="Heading2"/>
        <w:keepNext/>
      </w:pPr>
      <w:r>
        <w:t>6.4 Client Experience &amp; Lifecycle</w:t>
      </w:r>
    </w:p>
    <w:p>
      <w:pPr>
        <w:keepNext/>
      </w:pPr>
      <w:r>
        <w:rPr>
          <w:b/>
          <w:color w:val="171717"/>
        </w:rPr>
        <w:t>SBF-16-01  What is our client onboarding process?</w:t>
      </w:r>
    </w:p>
    <w:p>
      <w:r>
        <w:t>Assign an owner; confirm scope, authority, outcomes, secure data route, communication cadence, dependencies, change control, billing and escalation; then hold a structured kickoff with decisions recorded.</w:t>
      </w:r>
    </w:p>
    <w:p>
      <w:pPr>
        <w:keepNext/>
      </w:pPr>
      <w:r>
        <w:rPr>
          <w:b/>
          <w:color w:val="171717"/>
        </w:rPr>
        <w:t>SBF-16-02  What is our client communication cadence during events?</w:t>
      </w:r>
    </w:p>
    <w:p>
      <w:r>
        <w:t>Apply the lifecycle in Part 6: controlled onboarding, clear cadence, pre-event readiness, live ownership, rapid closure, structured learning and permissioned relationship memory.</w:t>
      </w:r>
    </w:p>
    <w:p>
      <w:pPr>
        <w:keepNext/>
      </w:pPr>
      <w:r>
        <w:rPr>
          <w:b/>
          <w:color w:val="171717"/>
        </w:rPr>
        <w:t>SBF-16-03  What is our post-event follow-up process?</w:t>
      </w:r>
    </w:p>
    <w:p>
      <w:r>
        <w:t>Within 48 hours stabilise welfare and urgent closure; within 7–14 days review outcomes, incidents and finances; within 30–90 days follow up with useful insight and next-event readiness.</w:t>
      </w:r>
    </w:p>
    <w:p>
      <w:pPr>
        <w:keepNext/>
      </w:pPr>
      <w:r>
        <w:rPr>
          <w:b/>
          <w:color w:val="171717"/>
        </w:rPr>
        <w:t>SBF-16-04  How do we capture client feedback?</w:t>
      </w:r>
    </w:p>
    <w:p>
      <w:r>
        <w:t>Apply the lifecycle in Part 6: controlled onboarding, clear cadence, pre-event readiness, live ownership, rapid closure, structured learning and permissioned relationship memory.</w:t>
      </w:r>
    </w:p>
    <w:p>
      <w:pPr>
        <w:keepNext/>
      </w:pPr>
      <w:r>
        <w:rPr>
          <w:b/>
          <w:color w:val="171717"/>
        </w:rPr>
        <w:t>SBF-16-05  How do we turn one-time clients into repeat clients?</w:t>
      </w:r>
    </w:p>
    <w:p>
      <w:r>
        <w:t>Earn repeat work through outcome review, remembered preferences with permission, annual readiness planning, retainers, proactive insight and consistent senior accountability—not points or indiscriminate discounts.</w:t>
      </w:r>
    </w:p>
    <w:p>
      <w:pPr>
        <w:keepNext/>
      </w:pPr>
      <w:r>
        <w:rPr>
          <w:b/>
          <w:color w:val="171717"/>
        </w:rPr>
        <w:t>SBF-16-06  How do we turn clients into advocates who refer us?</w:t>
      </w:r>
    </w:p>
    <w:p>
      <w:r>
        <w:t>Apply the lifecycle in Part 6: controlled onboarding, clear cadence, pre-event readiness, live ownership, rapid closure, structured learning and permissioned relationship memory.</w:t>
      </w:r>
    </w:p>
    <w:p>
      <w:pPr>
        <w:keepNext/>
      </w:pPr>
      <w:r>
        <w:rPr>
          <w:b/>
          <w:color w:val="171717"/>
        </w:rPr>
        <w:t>SBF-16-07  What exclusive benefits do repeat clients get?</w:t>
      </w:r>
    </w:p>
    <w:p>
      <w:r>
        <w:t>Earn repeat work through outcome review, remembered preferences with permission, annual readiness planning, retainers, proactive insight and consistent senior accountability—not points or indiscriminate discounts.</w:t>
      </w:r>
    </w:p>
    <w:p>
      <w:pPr>
        <w:keepNext/>
      </w:pPr>
      <w:r>
        <w:rPr>
          <w:b/>
          <w:color w:val="171717"/>
        </w:rPr>
        <w:t>SBF-16-08  What client advisory board could we create?</w:t>
      </w:r>
    </w:p>
    <w:p>
      <w:r>
        <w:t>Apply the lifecycle in Part 6: controlled onboarding, clear cadence, pre-event readiness, live ownership, rapid closure, structured learning and permissioned relationship memory.</w:t>
      </w:r>
    </w:p>
    <w:p>
      <w:pPr>
        <w:keepNext/>
      </w:pPr>
      <w:r>
        <w:rPr>
          <w:b/>
          <w:color w:val="171717"/>
        </w:rPr>
        <w:t>SBF-16-09  What is our client lifetime value and how do we maximise it?</w:t>
      </w:r>
    </w:p>
    <w:p>
      <w:r>
        <w:t>Measure net retained gross profit across projects, retainers, referrals and Academy/managed services, less acquisition and servicing cost. Do not set a numeric LTV until cohort evidence exists; aim for a three-year relationship with at least two paid engagements or a retainer.</w:t>
      </w:r>
    </w:p>
    <w:p>
      <w:pPr>
        <w:pStyle w:val="Heading2"/>
        <w:keepNext/>
      </w:pPr>
      <w:r>
        <w:t>6.5 Industry Positioning &amp; Thought Leadership</w:t>
      </w:r>
    </w:p>
    <w:p>
      <w:pPr>
        <w:keepNext/>
      </w:pPr>
      <w:r>
        <w:rPr>
          <w:b/>
          <w:color w:val="171717"/>
        </w:rPr>
        <w:t>SBF-17-01  Are we a market follower or market maker?</w:t>
      </w:r>
    </w:p>
    <w:p>
      <w:r>
        <w:t>Become the go-to authority through useful evidence, recognised collaborators, transparent methods and field-proven standards—not volume of content or unsupported leadership claims.</w:t>
      </w:r>
    </w:p>
    <w:p>
      <w:pPr>
        <w:keepNext/>
      </w:pPr>
      <w:r>
        <w:rPr>
          <w:b/>
          <w:color w:val="171717"/>
        </w:rPr>
        <w:t>SBF-17-02  What industry standards should we set?</w:t>
      </w:r>
    </w:p>
    <w:p>
      <w:r>
        <w:t>Become the go-to authority through useful evidence, recognised collaborators, transparent methods and field-proven standards—not volume of content or unsupported leadership claims.</w:t>
      </w:r>
    </w:p>
    <w:p>
      <w:pPr>
        <w:keepNext/>
      </w:pPr>
      <w:r>
        <w:rPr>
          <w:b/>
          <w:color w:val="171717"/>
        </w:rPr>
        <w:t>SBF-17-03  What speaking opportunities should we pursue?</w:t>
      </w:r>
    </w:p>
    <w:p>
      <w:r>
        <w:t>Become the go-to authority through useful evidence, recognised collaborators, transparent methods and field-proven standards—not volume of content or unsupported leadership claims.</w:t>
      </w:r>
    </w:p>
    <w:p>
      <w:pPr>
        <w:keepNext/>
      </w:pPr>
      <w:r>
        <w:rPr>
          <w:b/>
          <w:color w:val="171717"/>
        </w:rPr>
        <w:t>SBF-17-04  What media commentary should we provide?</w:t>
      </w:r>
    </w:p>
    <w:p>
      <w:r>
        <w:t>Become the go-to authority through useful evidence, recognised collaborators, transparent methods and field-proven standards—not volume of content or unsupported leadership claims.</w:t>
      </w:r>
    </w:p>
    <w:p>
      <w:pPr>
        <w:keepNext/>
      </w:pPr>
      <w:r>
        <w:rPr>
          <w:b/>
          <w:color w:val="171717"/>
        </w:rPr>
        <w:t>SBF-17-05  What industry associations should we join?</w:t>
      </w:r>
    </w:p>
    <w:p>
      <w:r>
        <w:t>Become the go-to authority through useful evidence, recognised collaborators, transparent methods and field-proven standards—not volume of content or unsupported leadership claims.</w:t>
      </w:r>
    </w:p>
    <w:p>
      <w:pPr>
        <w:keepNext/>
      </w:pPr>
      <w:r>
        <w:rPr>
          <w:b/>
          <w:color w:val="171717"/>
        </w:rPr>
        <w:t>SBF-17-06  What books or whitepapers should we write?</w:t>
      </w:r>
    </w:p>
    <w:p>
      <w:r>
        <w:t>Become the go-to authority through useful evidence, recognised collaborators, transparent methods and field-proven standards—not volume of content or unsupported leadership claims.</w:t>
      </w:r>
    </w:p>
    <w:p>
      <w:pPr>
        <w:keepNext/>
      </w:pPr>
      <w:r>
        <w:rPr>
          <w:b/>
          <w:color w:val="171717"/>
        </w:rPr>
        <w:t>SBF-17-07  What podcast or content series could we create?</w:t>
      </w:r>
    </w:p>
    <w:p>
      <w:r>
        <w:t>Become the go-to authority through useful evidence, recognised collaborators, transparent methods and field-proven standards—not volume of content or unsupported leadership claims.</w:t>
      </w:r>
    </w:p>
    <w:p>
      <w:pPr>
        <w:keepNext/>
      </w:pPr>
      <w:r>
        <w:rPr>
          <w:b/>
          <w:color w:val="171717"/>
        </w:rPr>
        <w:t>SBF-17-08  How do we become the go-to expert for Nigerian luxury protocol?</w:t>
      </w:r>
    </w:p>
    <w:p>
      <w:r>
        <w:t>Become the go-to authority through useful evidence, recognised collaborators, transparent methods and field-proven standards—not volume of content or unsupported leadership claims.</w:t>
      </w:r>
    </w:p>
    <w:p>
      <w:pPr>
        <w:pStyle w:val="Heading1"/>
        <w:keepNext/>
      </w:pPr>
      <w:r>
        <w:t>Appendix B — CEO ratification register</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936"/>
            <w:shd w:fill="B79F85"/>
            <w:tcMar>
              <w:top w:w="70" w:type="dxa"/>
              <w:start w:w="100" w:type="dxa"/>
              <w:bottom w:w="70" w:type="dxa"/>
              <w:end w:w="100" w:type="dxa"/>
            </w:tcMar>
          </w:tcPr>
          <w:p>
            <w:r>
              <w:rPr>
                <w:b/>
                <w:sz w:val="15"/>
              </w:rPr>
              <w:t>ID</w:t>
            </w:r>
          </w:p>
        </w:tc>
        <w:tc>
          <w:tcPr>
            <w:tcW w:type="dxa" w:w="5256"/>
            <w:shd w:fill="B79F85"/>
            <w:tcMar>
              <w:top w:w="70" w:type="dxa"/>
              <w:start w:w="100" w:type="dxa"/>
              <w:bottom w:w="70" w:type="dxa"/>
              <w:end w:w="100" w:type="dxa"/>
            </w:tcMar>
          </w:tcPr>
          <w:p>
            <w:r>
              <w:rPr>
                <w:b/>
                <w:sz w:val="15"/>
              </w:rPr>
              <w:t>Decision proposed</w:t>
            </w:r>
          </w:p>
        </w:tc>
        <w:tc>
          <w:tcPr>
            <w:tcW w:type="dxa" w:w="1656"/>
            <w:shd w:fill="B79F85"/>
            <w:tcMar>
              <w:top w:w="70" w:type="dxa"/>
              <w:start w:w="100" w:type="dxa"/>
              <w:bottom w:w="70" w:type="dxa"/>
              <w:end w:w="100" w:type="dxa"/>
            </w:tcMar>
          </w:tcPr>
          <w:p>
            <w:r>
              <w:rPr>
                <w:b/>
                <w:sz w:val="15"/>
              </w:rPr>
              <w:t>Ratify / amend</w:t>
            </w:r>
          </w:p>
        </w:tc>
        <w:tc>
          <w:tcPr>
            <w:tcW w:type="dxa" w:w="1512"/>
            <w:shd w:fill="B79F85"/>
            <w:tcMar>
              <w:top w:w="70" w:type="dxa"/>
              <w:start w:w="100" w:type="dxa"/>
              <w:bottom w:w="70" w:type="dxa"/>
              <w:end w:w="100" w:type="dxa"/>
            </w:tcMar>
          </w:tcPr>
          <w:p>
            <w:r>
              <w:rPr>
                <w:b/>
                <w:sz w:val="15"/>
              </w:rPr>
              <w:t>Owner after ratification</w:t>
            </w:r>
          </w:p>
        </w:tc>
      </w:tr>
      <w:tr>
        <w:trPr>
          <w:cantSplit/>
        </w:trPr>
        <w:tc>
          <w:tcPr>
            <w:tcW w:type="dxa" w:w="936"/>
            <w:tcMar>
              <w:top w:w="70" w:type="dxa"/>
              <w:start w:w="100" w:type="dxa"/>
              <w:bottom w:w="70" w:type="dxa"/>
              <w:end w:w="100" w:type="dxa"/>
            </w:tcMar>
            <w:vAlign w:val="top"/>
          </w:tcPr>
          <w:p>
            <w:pPr>
              <w:spacing w:after="40"/>
            </w:pPr>
            <w:r>
              <w:rPr>
                <w:sz w:val="15"/>
              </w:rPr>
              <w:t>R-01</w:t>
            </w:r>
          </w:p>
        </w:tc>
        <w:tc>
          <w:tcPr>
            <w:tcW w:type="dxa" w:w="5256"/>
            <w:tcMar>
              <w:top w:w="70" w:type="dxa"/>
              <w:start w:w="100" w:type="dxa"/>
              <w:bottom w:w="70" w:type="dxa"/>
              <w:end w:w="100" w:type="dxa"/>
            </w:tcMar>
            <w:vAlign w:val="top"/>
          </w:tcPr>
          <w:p>
            <w:pPr>
              <w:spacing w:after="40"/>
            </w:pPr>
            <w:r>
              <w:rPr>
                <w:sz w:val="15"/>
              </w:rPr>
              <w:t>Category: White-glove Guest Experience, Protocol &amp; Event Operations</w:t>
            </w:r>
          </w:p>
        </w:tc>
        <w:tc>
          <w:tcPr>
            <w:tcW w:type="dxa" w:w="1656"/>
            <w:tcMar>
              <w:top w:w="70" w:type="dxa"/>
              <w:start w:w="100" w:type="dxa"/>
              <w:bottom w:w="70" w:type="dxa"/>
              <w:end w:w="100" w:type="dxa"/>
            </w:tcMar>
            <w:vAlign w:val="top"/>
          </w:tcPr>
          <w:p>
            <w:pPr>
              <w:spacing w:after="40"/>
            </w:pPr>
            <w:r>
              <w:rPr>
                <w:sz w:val="15"/>
              </w:rPr>
              <w:t>□ Ratify  □ Amend</w:t>
            </w:r>
          </w:p>
        </w:tc>
        <w:tc>
          <w:tcPr>
            <w:tcW w:type="dxa" w:w="1512"/>
            <w:tcMar>
              <w:top w:w="70" w:type="dxa"/>
              <w:start w:w="100" w:type="dxa"/>
              <w:bottom w:w="70" w:type="dxa"/>
              <w:end w:w="100" w:type="dxa"/>
            </w:tcMar>
            <w:vAlign w:val="top"/>
          </w:tcPr>
          <w:p>
            <w:pPr>
              <w:spacing w:after="40"/>
            </w:pPr>
            <w:r>
              <w:rPr>
                <w:sz w:val="15"/>
              </w:rPr>
              <w:t>CEO</w:t>
            </w:r>
          </w:p>
        </w:tc>
      </w:tr>
      <w:tr>
        <w:trPr>
          <w:cantSplit/>
        </w:trPr>
        <w:tc>
          <w:tcPr>
            <w:tcW w:type="dxa" w:w="936"/>
            <w:tcMar>
              <w:top w:w="70" w:type="dxa"/>
              <w:start w:w="100" w:type="dxa"/>
              <w:bottom w:w="70" w:type="dxa"/>
              <w:end w:w="100" w:type="dxa"/>
            </w:tcMar>
            <w:vAlign w:val="top"/>
            <w:shd w:fill="FAF8F6"/>
          </w:tcPr>
          <w:p>
            <w:pPr>
              <w:spacing w:after="40"/>
            </w:pPr>
            <w:r>
              <w:rPr>
                <w:sz w:val="15"/>
              </w:rPr>
              <w:t>R-02</w:t>
            </w:r>
          </w:p>
        </w:tc>
        <w:tc>
          <w:tcPr>
            <w:tcW w:type="dxa" w:w="5256"/>
            <w:tcMar>
              <w:top w:w="70" w:type="dxa"/>
              <w:start w:w="100" w:type="dxa"/>
              <w:bottom w:w="70" w:type="dxa"/>
              <w:end w:w="100" w:type="dxa"/>
            </w:tcMar>
            <w:vAlign w:val="top"/>
            <w:shd w:fill="FAF8F6"/>
          </w:tcPr>
          <w:p>
            <w:pPr>
              <w:spacing w:after="40"/>
            </w:pPr>
            <w:r>
              <w:rPr>
                <w:sz w:val="15"/>
              </w:rPr>
              <w:t>Vision, mission, promises and “Every Guest, Considered.”</w:t>
            </w:r>
          </w:p>
        </w:tc>
        <w:tc>
          <w:tcPr>
            <w:tcW w:type="dxa" w:w="1656"/>
            <w:tcMar>
              <w:top w:w="70" w:type="dxa"/>
              <w:start w:w="100" w:type="dxa"/>
              <w:bottom w:w="70" w:type="dxa"/>
              <w:end w:w="100" w:type="dxa"/>
            </w:tcMar>
            <w:vAlign w:val="top"/>
            <w:shd w:fill="FAF8F6"/>
          </w:tcPr>
          <w:p>
            <w:pPr>
              <w:spacing w:after="40"/>
            </w:pPr>
            <w:r>
              <w:rPr>
                <w:sz w:val="15"/>
              </w:rPr>
              <w:t>□ Ratify  □ Amend</w:t>
            </w:r>
          </w:p>
        </w:tc>
        <w:tc>
          <w:tcPr>
            <w:tcW w:type="dxa" w:w="1512"/>
            <w:tcMar>
              <w:top w:w="70" w:type="dxa"/>
              <w:start w:w="100" w:type="dxa"/>
              <w:bottom w:w="70" w:type="dxa"/>
              <w:end w:w="100" w:type="dxa"/>
            </w:tcMar>
            <w:vAlign w:val="top"/>
            <w:shd w:fill="FAF8F6"/>
          </w:tcPr>
          <w:p>
            <w:pPr>
              <w:spacing w:after="40"/>
            </w:pPr>
            <w:r>
              <w:rPr>
                <w:sz w:val="15"/>
              </w:rPr>
              <w:t>CEO / Brand</w:t>
            </w:r>
          </w:p>
        </w:tc>
      </w:tr>
      <w:tr>
        <w:trPr>
          <w:cantSplit/>
        </w:trPr>
        <w:tc>
          <w:tcPr>
            <w:tcW w:type="dxa" w:w="936"/>
            <w:tcMar>
              <w:top w:w="70" w:type="dxa"/>
              <w:start w:w="100" w:type="dxa"/>
              <w:bottom w:w="70" w:type="dxa"/>
              <w:end w:w="100" w:type="dxa"/>
            </w:tcMar>
            <w:vAlign w:val="top"/>
          </w:tcPr>
          <w:p>
            <w:pPr>
              <w:spacing w:after="40"/>
            </w:pPr>
            <w:r>
              <w:rPr>
                <w:sz w:val="15"/>
              </w:rPr>
              <w:t>R-03</w:t>
            </w:r>
          </w:p>
        </w:tc>
        <w:tc>
          <w:tcPr>
            <w:tcW w:type="dxa" w:w="5256"/>
            <w:tcMar>
              <w:top w:w="70" w:type="dxa"/>
              <w:start w:w="100" w:type="dxa"/>
              <w:bottom w:w="70" w:type="dxa"/>
              <w:end w:w="100" w:type="dxa"/>
            </w:tcMar>
            <w:vAlign w:val="top"/>
          </w:tcPr>
          <w:p>
            <w:pPr>
              <w:spacing w:after="40"/>
            </w:pPr>
            <w:r>
              <w:rPr>
                <w:sz w:val="15"/>
              </w:rPr>
              <w:t>Primary/secondary segments and refusal criteria</w:t>
            </w:r>
          </w:p>
        </w:tc>
        <w:tc>
          <w:tcPr>
            <w:tcW w:type="dxa" w:w="1656"/>
            <w:tcMar>
              <w:top w:w="70" w:type="dxa"/>
              <w:start w:w="100" w:type="dxa"/>
              <w:bottom w:w="70" w:type="dxa"/>
              <w:end w:w="100" w:type="dxa"/>
            </w:tcMar>
            <w:vAlign w:val="top"/>
          </w:tcPr>
          <w:p>
            <w:pPr>
              <w:spacing w:after="40"/>
            </w:pPr>
            <w:r>
              <w:rPr>
                <w:sz w:val="15"/>
              </w:rPr>
              <w:t>□ Ratify  □ Amend</w:t>
            </w:r>
          </w:p>
        </w:tc>
        <w:tc>
          <w:tcPr>
            <w:tcW w:type="dxa" w:w="1512"/>
            <w:tcMar>
              <w:top w:w="70" w:type="dxa"/>
              <w:start w:w="100" w:type="dxa"/>
              <w:bottom w:w="70" w:type="dxa"/>
              <w:end w:w="100" w:type="dxa"/>
            </w:tcMar>
            <w:vAlign w:val="top"/>
          </w:tcPr>
          <w:p>
            <w:pPr>
              <w:spacing w:after="40"/>
            </w:pPr>
            <w:r>
              <w:rPr>
                <w:sz w:val="15"/>
              </w:rPr>
              <w:t>CEO / Commercial</w:t>
            </w:r>
          </w:p>
        </w:tc>
      </w:tr>
      <w:tr>
        <w:trPr>
          <w:cantSplit/>
        </w:trPr>
        <w:tc>
          <w:tcPr>
            <w:tcW w:type="dxa" w:w="936"/>
            <w:tcMar>
              <w:top w:w="70" w:type="dxa"/>
              <w:start w:w="100" w:type="dxa"/>
              <w:bottom w:w="70" w:type="dxa"/>
              <w:end w:w="100" w:type="dxa"/>
            </w:tcMar>
            <w:vAlign w:val="top"/>
            <w:shd w:fill="FAF8F6"/>
          </w:tcPr>
          <w:p>
            <w:pPr>
              <w:spacing w:after="40"/>
            </w:pPr>
            <w:r>
              <w:rPr>
                <w:sz w:val="15"/>
              </w:rPr>
              <w:t>R-04</w:t>
            </w:r>
          </w:p>
        </w:tc>
        <w:tc>
          <w:tcPr>
            <w:tcW w:type="dxa" w:w="5256"/>
            <w:tcMar>
              <w:top w:w="70" w:type="dxa"/>
              <w:start w:w="100" w:type="dxa"/>
              <w:bottom w:w="70" w:type="dxa"/>
              <w:end w:w="100" w:type="dxa"/>
            </w:tcMar>
            <w:vAlign w:val="top"/>
            <w:shd w:fill="FAF8F6"/>
          </w:tcPr>
          <w:p>
            <w:pPr>
              <w:spacing w:after="40"/>
            </w:pPr>
            <w:r>
              <w:rPr>
                <w:sz w:val="15"/>
              </w:rPr>
              <w:t>Offer portfolio, fee floors and 60/30/10 terms</w:t>
            </w:r>
          </w:p>
        </w:tc>
        <w:tc>
          <w:tcPr>
            <w:tcW w:type="dxa" w:w="1656"/>
            <w:tcMar>
              <w:top w:w="70" w:type="dxa"/>
              <w:start w:w="100" w:type="dxa"/>
              <w:bottom w:w="70" w:type="dxa"/>
              <w:end w:w="100" w:type="dxa"/>
            </w:tcMar>
            <w:vAlign w:val="top"/>
            <w:shd w:fill="FAF8F6"/>
          </w:tcPr>
          <w:p>
            <w:pPr>
              <w:spacing w:after="40"/>
            </w:pPr>
            <w:r>
              <w:rPr>
                <w:sz w:val="15"/>
              </w:rPr>
              <w:t>□ Ratify  □ Amend</w:t>
            </w:r>
          </w:p>
        </w:tc>
        <w:tc>
          <w:tcPr>
            <w:tcW w:type="dxa" w:w="1512"/>
            <w:tcMar>
              <w:top w:w="70" w:type="dxa"/>
              <w:start w:w="100" w:type="dxa"/>
              <w:bottom w:w="70" w:type="dxa"/>
              <w:end w:w="100" w:type="dxa"/>
            </w:tcMar>
            <w:vAlign w:val="top"/>
            <w:shd w:fill="FAF8F6"/>
          </w:tcPr>
          <w:p>
            <w:pPr>
              <w:spacing w:after="40"/>
            </w:pPr>
            <w:r>
              <w:rPr>
                <w:sz w:val="15"/>
              </w:rPr>
              <w:t>CEO / Finance</w:t>
            </w:r>
          </w:p>
        </w:tc>
      </w:tr>
      <w:tr>
        <w:trPr>
          <w:cantSplit/>
        </w:trPr>
        <w:tc>
          <w:tcPr>
            <w:tcW w:type="dxa" w:w="936"/>
            <w:tcMar>
              <w:top w:w="70" w:type="dxa"/>
              <w:start w:w="100" w:type="dxa"/>
              <w:bottom w:w="70" w:type="dxa"/>
              <w:end w:w="100" w:type="dxa"/>
            </w:tcMar>
            <w:vAlign w:val="top"/>
          </w:tcPr>
          <w:p>
            <w:pPr>
              <w:spacing w:after="40"/>
            </w:pPr>
            <w:r>
              <w:rPr>
                <w:sz w:val="15"/>
              </w:rPr>
              <w:t>R-05</w:t>
            </w:r>
          </w:p>
        </w:tc>
        <w:tc>
          <w:tcPr>
            <w:tcW w:type="dxa" w:w="5256"/>
            <w:tcMar>
              <w:top w:w="70" w:type="dxa"/>
              <w:start w:w="100" w:type="dxa"/>
              <w:bottom w:w="70" w:type="dxa"/>
              <w:end w:w="100" w:type="dxa"/>
            </w:tcMar>
            <w:vAlign w:val="top"/>
          </w:tcPr>
          <w:p>
            <w:pPr>
              <w:spacing w:after="40"/>
            </w:pPr>
            <w:r>
              <w:rPr>
                <w:sz w:val="15"/>
              </w:rPr>
              <w:t>Five-year base case and ₦500m planning objective</w:t>
            </w:r>
          </w:p>
        </w:tc>
        <w:tc>
          <w:tcPr>
            <w:tcW w:type="dxa" w:w="1656"/>
            <w:tcMar>
              <w:top w:w="70" w:type="dxa"/>
              <w:start w:w="100" w:type="dxa"/>
              <w:bottom w:w="70" w:type="dxa"/>
              <w:end w:w="100" w:type="dxa"/>
            </w:tcMar>
            <w:vAlign w:val="top"/>
          </w:tcPr>
          <w:p>
            <w:pPr>
              <w:spacing w:after="40"/>
            </w:pPr>
            <w:r>
              <w:rPr>
                <w:sz w:val="15"/>
              </w:rPr>
              <w:t>□ Ratify  □ Amend</w:t>
            </w:r>
          </w:p>
        </w:tc>
        <w:tc>
          <w:tcPr>
            <w:tcW w:type="dxa" w:w="1512"/>
            <w:tcMar>
              <w:top w:w="70" w:type="dxa"/>
              <w:start w:w="100" w:type="dxa"/>
              <w:bottom w:w="70" w:type="dxa"/>
              <w:end w:w="100" w:type="dxa"/>
            </w:tcMar>
            <w:vAlign w:val="top"/>
          </w:tcPr>
          <w:p>
            <w:pPr>
              <w:spacing w:after="40"/>
            </w:pPr>
            <w:r>
              <w:rPr>
                <w:sz w:val="15"/>
              </w:rPr>
              <w:t>CEO / Finance</w:t>
            </w:r>
          </w:p>
        </w:tc>
      </w:tr>
      <w:tr>
        <w:trPr>
          <w:cantSplit/>
        </w:trPr>
        <w:tc>
          <w:tcPr>
            <w:tcW w:type="dxa" w:w="936"/>
            <w:tcMar>
              <w:top w:w="70" w:type="dxa"/>
              <w:start w:w="100" w:type="dxa"/>
              <w:bottom w:w="70" w:type="dxa"/>
              <w:end w:w="100" w:type="dxa"/>
            </w:tcMar>
            <w:vAlign w:val="top"/>
            <w:shd w:fill="FAF8F6"/>
          </w:tcPr>
          <w:p>
            <w:pPr>
              <w:spacing w:after="40"/>
            </w:pPr>
            <w:r>
              <w:rPr>
                <w:sz w:val="15"/>
              </w:rPr>
              <w:t>R-06</w:t>
            </w:r>
          </w:p>
        </w:tc>
        <w:tc>
          <w:tcPr>
            <w:tcW w:type="dxa" w:w="5256"/>
            <w:tcMar>
              <w:top w:w="70" w:type="dxa"/>
              <w:start w:w="100" w:type="dxa"/>
              <w:bottom w:w="70" w:type="dxa"/>
              <w:end w:w="100" w:type="dxa"/>
            </w:tcMar>
            <w:vAlign w:val="top"/>
            <w:shd w:fill="FAF8F6"/>
          </w:tcPr>
          <w:p>
            <w:pPr>
              <w:spacing w:after="40"/>
            </w:pPr>
            <w:r>
              <w:rPr>
                <w:sz w:val="15"/>
              </w:rPr>
              <w:t>Lagos-first, gated expansion sequence</w:t>
            </w:r>
          </w:p>
        </w:tc>
        <w:tc>
          <w:tcPr>
            <w:tcW w:type="dxa" w:w="1656"/>
            <w:tcMar>
              <w:top w:w="70" w:type="dxa"/>
              <w:start w:w="100" w:type="dxa"/>
              <w:bottom w:w="70" w:type="dxa"/>
              <w:end w:w="100" w:type="dxa"/>
            </w:tcMar>
            <w:vAlign w:val="top"/>
            <w:shd w:fill="FAF8F6"/>
          </w:tcPr>
          <w:p>
            <w:pPr>
              <w:spacing w:after="40"/>
            </w:pPr>
            <w:r>
              <w:rPr>
                <w:sz w:val="15"/>
              </w:rPr>
              <w:t>□ Ratify  □ Amend</w:t>
            </w:r>
          </w:p>
        </w:tc>
        <w:tc>
          <w:tcPr>
            <w:tcW w:type="dxa" w:w="1512"/>
            <w:tcMar>
              <w:top w:w="70" w:type="dxa"/>
              <w:start w:w="100" w:type="dxa"/>
              <w:bottom w:w="70" w:type="dxa"/>
              <w:end w:w="100" w:type="dxa"/>
            </w:tcMar>
            <w:vAlign w:val="top"/>
            <w:shd w:fill="FAF8F6"/>
          </w:tcPr>
          <w:p>
            <w:pPr>
              <w:spacing w:after="40"/>
            </w:pPr>
            <w:r>
              <w:rPr>
                <w:sz w:val="15"/>
              </w:rPr>
              <w:t>CEO</w:t>
            </w:r>
          </w:p>
        </w:tc>
      </w:tr>
      <w:tr>
        <w:trPr>
          <w:cantSplit/>
        </w:trPr>
        <w:tc>
          <w:tcPr>
            <w:tcW w:type="dxa" w:w="936"/>
            <w:tcMar>
              <w:top w:w="70" w:type="dxa"/>
              <w:start w:w="100" w:type="dxa"/>
              <w:bottom w:w="70" w:type="dxa"/>
              <w:end w:w="100" w:type="dxa"/>
            </w:tcMar>
            <w:vAlign w:val="top"/>
          </w:tcPr>
          <w:p>
            <w:pPr>
              <w:spacing w:after="40"/>
            </w:pPr>
            <w:r>
              <w:rPr>
                <w:sz w:val="15"/>
              </w:rPr>
              <w:t>R-07</w:t>
            </w:r>
          </w:p>
        </w:tc>
        <w:tc>
          <w:tcPr>
            <w:tcW w:type="dxa" w:w="5256"/>
            <w:tcMar>
              <w:top w:w="70" w:type="dxa"/>
              <w:start w:w="100" w:type="dxa"/>
              <w:bottom w:w="70" w:type="dxa"/>
              <w:end w:w="100" w:type="dxa"/>
            </w:tcMar>
            <w:vAlign w:val="top"/>
          </w:tcPr>
          <w:p>
            <w:pPr>
              <w:spacing w:after="40"/>
            </w:pPr>
            <w:r>
              <w:rPr>
                <w:sz w:val="15"/>
              </w:rPr>
              <w:t>Role architecture, decision rights and CEO delegation</w:t>
            </w:r>
          </w:p>
        </w:tc>
        <w:tc>
          <w:tcPr>
            <w:tcW w:type="dxa" w:w="1656"/>
            <w:tcMar>
              <w:top w:w="70" w:type="dxa"/>
              <w:start w:w="100" w:type="dxa"/>
              <w:bottom w:w="70" w:type="dxa"/>
              <w:end w:w="100" w:type="dxa"/>
            </w:tcMar>
            <w:vAlign w:val="top"/>
          </w:tcPr>
          <w:p>
            <w:pPr>
              <w:spacing w:after="40"/>
            </w:pPr>
            <w:r>
              <w:rPr>
                <w:sz w:val="15"/>
              </w:rPr>
              <w:t>□ Ratify  □ Amend</w:t>
            </w:r>
          </w:p>
        </w:tc>
        <w:tc>
          <w:tcPr>
            <w:tcW w:type="dxa" w:w="1512"/>
            <w:tcMar>
              <w:top w:w="70" w:type="dxa"/>
              <w:start w:w="100" w:type="dxa"/>
              <w:bottom w:w="70" w:type="dxa"/>
              <w:end w:w="100" w:type="dxa"/>
            </w:tcMar>
            <w:vAlign w:val="top"/>
          </w:tcPr>
          <w:p>
            <w:pPr>
              <w:spacing w:after="40"/>
            </w:pPr>
            <w:r>
              <w:rPr>
                <w:sz w:val="15"/>
              </w:rPr>
              <w:t>CEO / People</w:t>
            </w:r>
          </w:p>
        </w:tc>
      </w:tr>
      <w:tr>
        <w:trPr>
          <w:cantSplit/>
        </w:trPr>
        <w:tc>
          <w:tcPr>
            <w:tcW w:type="dxa" w:w="936"/>
            <w:tcMar>
              <w:top w:w="70" w:type="dxa"/>
              <w:start w:w="100" w:type="dxa"/>
              <w:bottom w:w="70" w:type="dxa"/>
              <w:end w:w="100" w:type="dxa"/>
            </w:tcMar>
            <w:vAlign w:val="top"/>
            <w:shd w:fill="FAF8F6"/>
          </w:tcPr>
          <w:p>
            <w:pPr>
              <w:spacing w:after="40"/>
            </w:pPr>
            <w:r>
              <w:rPr>
                <w:sz w:val="15"/>
              </w:rPr>
              <w:t>R-08</w:t>
            </w:r>
          </w:p>
        </w:tc>
        <w:tc>
          <w:tcPr>
            <w:tcW w:type="dxa" w:w="5256"/>
            <w:tcMar>
              <w:top w:w="70" w:type="dxa"/>
              <w:start w:w="100" w:type="dxa"/>
              <w:bottom w:w="70" w:type="dxa"/>
              <w:end w:w="100" w:type="dxa"/>
            </w:tcMar>
            <w:vAlign w:val="top"/>
            <w:shd w:fill="FAF8F6"/>
          </w:tcPr>
          <w:p>
            <w:pPr>
              <w:spacing w:after="40"/>
            </w:pPr>
            <w:r>
              <w:rPr>
                <w:sz w:val="15"/>
              </w:rPr>
              <w:t>Risk appetite and non-negotiable ethical boundaries</w:t>
            </w:r>
          </w:p>
        </w:tc>
        <w:tc>
          <w:tcPr>
            <w:tcW w:type="dxa" w:w="1656"/>
            <w:tcMar>
              <w:top w:w="70" w:type="dxa"/>
              <w:start w:w="100" w:type="dxa"/>
              <w:bottom w:w="70" w:type="dxa"/>
              <w:end w:w="100" w:type="dxa"/>
            </w:tcMar>
            <w:vAlign w:val="top"/>
            <w:shd w:fill="FAF8F6"/>
          </w:tcPr>
          <w:p>
            <w:pPr>
              <w:spacing w:after="40"/>
            </w:pPr>
            <w:r>
              <w:rPr>
                <w:sz w:val="15"/>
              </w:rPr>
              <w:t>□ Ratify  □ Amend</w:t>
            </w:r>
          </w:p>
        </w:tc>
        <w:tc>
          <w:tcPr>
            <w:tcW w:type="dxa" w:w="1512"/>
            <w:tcMar>
              <w:top w:w="70" w:type="dxa"/>
              <w:start w:w="100" w:type="dxa"/>
              <w:bottom w:w="70" w:type="dxa"/>
              <w:end w:w="100" w:type="dxa"/>
            </w:tcMar>
            <w:vAlign w:val="top"/>
            <w:shd w:fill="FAF8F6"/>
          </w:tcPr>
          <w:p>
            <w:pPr>
              <w:spacing w:after="40"/>
            </w:pPr>
            <w:r>
              <w:rPr>
                <w:sz w:val="15"/>
              </w:rPr>
              <w:t>CEO / Governance</w:t>
            </w:r>
          </w:p>
        </w:tc>
      </w:tr>
      <w:tr>
        <w:trPr>
          <w:cantSplit/>
        </w:trPr>
        <w:tc>
          <w:tcPr>
            <w:tcW w:type="dxa" w:w="936"/>
            <w:tcMar>
              <w:top w:w="70" w:type="dxa"/>
              <w:start w:w="100" w:type="dxa"/>
              <w:bottom w:w="70" w:type="dxa"/>
              <w:end w:w="100" w:type="dxa"/>
            </w:tcMar>
            <w:vAlign w:val="top"/>
          </w:tcPr>
          <w:p>
            <w:pPr>
              <w:spacing w:after="40"/>
            </w:pPr>
            <w:r>
              <w:rPr>
                <w:sz w:val="15"/>
              </w:rPr>
              <w:t>R-09</w:t>
            </w:r>
          </w:p>
        </w:tc>
        <w:tc>
          <w:tcPr>
            <w:tcW w:type="dxa" w:w="5256"/>
            <w:tcMar>
              <w:top w:w="70" w:type="dxa"/>
              <w:start w:w="100" w:type="dxa"/>
              <w:bottom w:w="70" w:type="dxa"/>
              <w:end w:w="100" w:type="dxa"/>
            </w:tcMar>
            <w:vAlign w:val="top"/>
          </w:tcPr>
          <w:p>
            <w:pPr>
              <w:spacing w:after="40"/>
            </w:pPr>
            <w:r>
              <w:rPr>
                <w:sz w:val="15"/>
              </w:rPr>
              <w:t>Technology/AI boundaries and OS–Academy role</w:t>
            </w:r>
          </w:p>
        </w:tc>
        <w:tc>
          <w:tcPr>
            <w:tcW w:type="dxa" w:w="1656"/>
            <w:tcMar>
              <w:top w:w="70" w:type="dxa"/>
              <w:start w:w="100" w:type="dxa"/>
              <w:bottom w:w="70" w:type="dxa"/>
              <w:end w:w="100" w:type="dxa"/>
            </w:tcMar>
            <w:vAlign w:val="top"/>
          </w:tcPr>
          <w:p>
            <w:pPr>
              <w:spacing w:after="40"/>
            </w:pPr>
            <w:r>
              <w:rPr>
                <w:sz w:val="15"/>
              </w:rPr>
              <w:t>□ Ratify  □ Amend</w:t>
            </w:r>
          </w:p>
        </w:tc>
        <w:tc>
          <w:tcPr>
            <w:tcW w:type="dxa" w:w="1512"/>
            <w:tcMar>
              <w:top w:w="70" w:type="dxa"/>
              <w:start w:w="100" w:type="dxa"/>
              <w:bottom w:w="70" w:type="dxa"/>
              <w:end w:w="100" w:type="dxa"/>
            </w:tcMar>
            <w:vAlign w:val="top"/>
          </w:tcPr>
          <w:p>
            <w:pPr>
              <w:spacing w:after="40"/>
            </w:pPr>
            <w:r>
              <w:rPr>
                <w:sz w:val="15"/>
              </w:rPr>
              <w:t>CEO / Technology</w:t>
            </w:r>
          </w:p>
        </w:tc>
      </w:tr>
      <w:tr>
        <w:trPr>
          <w:cantSplit/>
        </w:trPr>
        <w:tc>
          <w:tcPr>
            <w:tcW w:type="dxa" w:w="936"/>
            <w:tcMar>
              <w:top w:w="70" w:type="dxa"/>
              <w:start w:w="100" w:type="dxa"/>
              <w:bottom w:w="70" w:type="dxa"/>
              <w:end w:w="100" w:type="dxa"/>
            </w:tcMar>
            <w:vAlign w:val="top"/>
            <w:shd w:fill="FAF8F6"/>
          </w:tcPr>
          <w:p>
            <w:pPr>
              <w:spacing w:after="40"/>
            </w:pPr>
            <w:r>
              <w:rPr>
                <w:sz w:val="15"/>
              </w:rPr>
              <w:t>R-10</w:t>
            </w:r>
          </w:p>
        </w:tc>
        <w:tc>
          <w:tcPr>
            <w:tcW w:type="dxa" w:w="5256"/>
            <w:tcMar>
              <w:top w:w="70" w:type="dxa"/>
              <w:start w:w="100" w:type="dxa"/>
              <w:bottom w:w="70" w:type="dxa"/>
              <w:end w:w="100" w:type="dxa"/>
            </w:tcMar>
            <w:vAlign w:val="top"/>
            <w:shd w:fill="FAF8F6"/>
          </w:tcPr>
          <w:p>
            <w:pPr>
              <w:spacing w:after="40"/>
            </w:pPr>
            <w:r>
              <w:rPr>
                <w:sz w:val="15"/>
              </w:rPr>
              <w:t>Founder-independent, sale-ready but not sale-dependent legacy</w:t>
            </w:r>
          </w:p>
        </w:tc>
        <w:tc>
          <w:tcPr>
            <w:tcW w:type="dxa" w:w="1656"/>
            <w:tcMar>
              <w:top w:w="70" w:type="dxa"/>
              <w:start w:w="100" w:type="dxa"/>
              <w:bottom w:w="70" w:type="dxa"/>
              <w:end w:w="100" w:type="dxa"/>
            </w:tcMar>
            <w:vAlign w:val="top"/>
            <w:shd w:fill="FAF8F6"/>
          </w:tcPr>
          <w:p>
            <w:pPr>
              <w:spacing w:after="40"/>
            </w:pPr>
            <w:r>
              <w:rPr>
                <w:sz w:val="15"/>
              </w:rPr>
              <w:t>□ Ratify  □ Amend</w:t>
            </w:r>
          </w:p>
        </w:tc>
        <w:tc>
          <w:tcPr>
            <w:tcW w:type="dxa" w:w="1512"/>
            <w:tcMar>
              <w:top w:w="70" w:type="dxa"/>
              <w:start w:w="100" w:type="dxa"/>
              <w:bottom w:w="70" w:type="dxa"/>
              <w:end w:w="100" w:type="dxa"/>
            </w:tcMar>
            <w:vAlign w:val="top"/>
            <w:shd w:fill="FAF8F6"/>
          </w:tcPr>
          <w:p>
            <w:pPr>
              <w:spacing w:after="40"/>
            </w:pPr>
            <w:r>
              <w:rPr>
                <w:sz w:val="15"/>
              </w:rPr>
              <w:t>CEO / Board</w:t>
            </w:r>
          </w:p>
        </w:tc>
      </w:tr>
    </w:tbl>
    <w:p>
      <w:pPr>
        <w:spacing w:after="20"/>
      </w:pPr>
    </w:p>
    <w:p>
      <w:pPr>
        <w:pStyle w:val="Heading1"/>
        <w:keepNext/>
      </w:pPr>
      <w:r>
        <w:t>Appendix C — Assumption and evidence-gap register</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1008"/>
            <w:shd w:fill="B79F85"/>
            <w:tcMar>
              <w:top w:w="70" w:type="dxa"/>
              <w:start w:w="100" w:type="dxa"/>
              <w:bottom w:w="70" w:type="dxa"/>
              <w:end w:w="100" w:type="dxa"/>
            </w:tcMar>
          </w:tcPr>
          <w:p>
            <w:r>
              <w:rPr>
                <w:b/>
                <w:sz w:val="15"/>
              </w:rPr>
              <w:t>ID</w:t>
            </w:r>
          </w:p>
        </w:tc>
        <w:tc>
          <w:tcPr>
            <w:tcW w:type="dxa" w:w="3816"/>
            <w:shd w:fill="B79F85"/>
            <w:tcMar>
              <w:top w:w="70" w:type="dxa"/>
              <w:start w:w="100" w:type="dxa"/>
              <w:bottom w:w="70" w:type="dxa"/>
              <w:end w:w="100" w:type="dxa"/>
            </w:tcMar>
          </w:tcPr>
          <w:p>
            <w:r>
              <w:rPr>
                <w:b/>
                <w:sz w:val="15"/>
              </w:rPr>
              <w:t>Assumption / missing fact</w:t>
            </w:r>
          </w:p>
        </w:tc>
        <w:tc>
          <w:tcPr>
            <w:tcW w:type="dxa" w:w="3528"/>
            <w:shd w:fill="B79F85"/>
            <w:tcMar>
              <w:top w:w="70" w:type="dxa"/>
              <w:start w:w="100" w:type="dxa"/>
              <w:bottom w:w="70" w:type="dxa"/>
              <w:end w:w="100" w:type="dxa"/>
            </w:tcMar>
          </w:tcPr>
          <w:p>
            <w:r>
              <w:rPr>
                <w:b/>
                <w:sz w:val="15"/>
              </w:rPr>
              <w:t>How it is resolved</w:t>
            </w:r>
          </w:p>
        </w:tc>
        <w:tc>
          <w:tcPr>
            <w:tcW w:type="dxa" w:w="1296"/>
            <w:shd w:fill="B79F85"/>
            <w:tcMar>
              <w:top w:w="70" w:type="dxa"/>
              <w:start w:w="100" w:type="dxa"/>
              <w:bottom w:w="70" w:type="dxa"/>
              <w:end w:w="100" w:type="dxa"/>
            </w:tcMar>
          </w:tcPr>
          <w:p>
            <w:r>
              <w:rPr>
                <w:b/>
                <w:sz w:val="15"/>
              </w:rPr>
              <w:t>Deadline</w:t>
            </w:r>
          </w:p>
        </w:tc>
      </w:tr>
      <w:tr>
        <w:trPr>
          <w:cantSplit/>
        </w:trPr>
        <w:tc>
          <w:tcPr>
            <w:tcW w:type="dxa" w:w="1008"/>
            <w:tcMar>
              <w:top w:w="70" w:type="dxa"/>
              <w:start w:w="100" w:type="dxa"/>
              <w:bottom w:w="70" w:type="dxa"/>
              <w:end w:w="100" w:type="dxa"/>
            </w:tcMar>
            <w:vAlign w:val="top"/>
          </w:tcPr>
          <w:p>
            <w:pPr>
              <w:spacing w:after="40"/>
            </w:pPr>
            <w:r>
              <w:rPr>
                <w:sz w:val="15"/>
              </w:rPr>
              <w:t>A-01</w:t>
            </w:r>
          </w:p>
        </w:tc>
        <w:tc>
          <w:tcPr>
            <w:tcW w:type="dxa" w:w="3816"/>
            <w:tcMar>
              <w:top w:w="70" w:type="dxa"/>
              <w:start w:w="100" w:type="dxa"/>
              <w:bottom w:w="70" w:type="dxa"/>
              <w:end w:w="100" w:type="dxa"/>
            </w:tcMar>
            <w:vAlign w:val="top"/>
          </w:tcPr>
          <w:p>
            <w:pPr>
              <w:spacing w:after="40"/>
            </w:pPr>
            <w:r>
              <w:rPr>
                <w:sz w:val="15"/>
              </w:rPr>
              <w:t>Opening cash, debt, burn and runway unknown</w:t>
            </w:r>
          </w:p>
        </w:tc>
        <w:tc>
          <w:tcPr>
            <w:tcW w:type="dxa" w:w="3528"/>
            <w:tcMar>
              <w:top w:w="70" w:type="dxa"/>
              <w:start w:w="100" w:type="dxa"/>
              <w:bottom w:w="70" w:type="dxa"/>
              <w:end w:w="100" w:type="dxa"/>
            </w:tcMar>
            <w:vAlign w:val="top"/>
          </w:tcPr>
          <w:p>
            <w:pPr>
              <w:spacing w:after="40"/>
            </w:pPr>
            <w:r>
              <w:rPr>
                <w:sz w:val="15"/>
              </w:rPr>
              <w:t>Bank-confirmed finance pack and 13-week cash model</w:t>
            </w:r>
          </w:p>
        </w:tc>
        <w:tc>
          <w:tcPr>
            <w:tcW w:type="dxa" w:w="1296"/>
            <w:tcMar>
              <w:top w:w="70" w:type="dxa"/>
              <w:start w:w="100" w:type="dxa"/>
              <w:bottom w:w="70" w:type="dxa"/>
              <w:end w:w="100" w:type="dxa"/>
            </w:tcMar>
            <w:vAlign w:val="top"/>
          </w:tcPr>
          <w:p>
            <w:pPr>
              <w:spacing w:after="40"/>
            </w:pPr>
            <w:r>
              <w:rPr>
                <w:sz w:val="15"/>
              </w:rPr>
              <w:t>Before any build/hire commitment</w:t>
            </w:r>
          </w:p>
        </w:tc>
      </w:tr>
      <w:tr>
        <w:trPr>
          <w:cantSplit/>
        </w:trPr>
        <w:tc>
          <w:tcPr>
            <w:tcW w:type="dxa" w:w="1008"/>
            <w:tcMar>
              <w:top w:w="70" w:type="dxa"/>
              <w:start w:w="100" w:type="dxa"/>
              <w:bottom w:w="70" w:type="dxa"/>
              <w:end w:w="100" w:type="dxa"/>
            </w:tcMar>
            <w:vAlign w:val="top"/>
            <w:shd w:fill="FAF8F6"/>
          </w:tcPr>
          <w:p>
            <w:pPr>
              <w:spacing w:after="40"/>
            </w:pPr>
            <w:r>
              <w:rPr>
                <w:sz w:val="15"/>
              </w:rPr>
              <w:t>A-02</w:t>
            </w:r>
          </w:p>
        </w:tc>
        <w:tc>
          <w:tcPr>
            <w:tcW w:type="dxa" w:w="3816"/>
            <w:tcMar>
              <w:top w:w="70" w:type="dxa"/>
              <w:start w:w="100" w:type="dxa"/>
              <w:bottom w:w="70" w:type="dxa"/>
              <w:end w:w="100" w:type="dxa"/>
            </w:tcMar>
            <w:vAlign w:val="top"/>
            <w:shd w:fill="FAF8F6"/>
          </w:tcPr>
          <w:p>
            <w:pPr>
              <w:spacing w:after="40"/>
            </w:pPr>
            <w:r>
              <w:rPr>
                <w:sz w:val="15"/>
              </w:rPr>
              <w:t>Current team coverage unknown</w:t>
            </w:r>
          </w:p>
        </w:tc>
        <w:tc>
          <w:tcPr>
            <w:tcW w:type="dxa" w:w="3528"/>
            <w:tcMar>
              <w:top w:w="70" w:type="dxa"/>
              <w:start w:w="100" w:type="dxa"/>
              <w:bottom w:w="70" w:type="dxa"/>
              <w:end w:w="100" w:type="dxa"/>
            </w:tcMar>
            <w:vAlign w:val="top"/>
            <w:shd w:fill="FAF8F6"/>
          </w:tcPr>
          <w:p>
            <w:pPr>
              <w:spacing w:after="40"/>
            </w:pPr>
            <w:r>
              <w:rPr>
                <w:sz w:val="15"/>
              </w:rPr>
              <w:t>Named role/capability/availability audit</w:t>
            </w:r>
          </w:p>
        </w:tc>
        <w:tc>
          <w:tcPr>
            <w:tcW w:type="dxa" w:w="1296"/>
            <w:tcMar>
              <w:top w:w="70" w:type="dxa"/>
              <w:start w:w="100" w:type="dxa"/>
              <w:bottom w:w="70" w:type="dxa"/>
              <w:end w:w="100" w:type="dxa"/>
            </w:tcMar>
            <w:vAlign w:val="top"/>
            <w:shd w:fill="FAF8F6"/>
          </w:tcPr>
          <w:p>
            <w:pPr>
              <w:spacing w:after="40"/>
            </w:pPr>
            <w:r>
              <w:rPr>
                <w:sz w:val="15"/>
              </w:rPr>
              <w:t>14 days</w:t>
            </w:r>
          </w:p>
        </w:tc>
      </w:tr>
      <w:tr>
        <w:trPr>
          <w:cantSplit/>
        </w:trPr>
        <w:tc>
          <w:tcPr>
            <w:tcW w:type="dxa" w:w="1008"/>
            <w:tcMar>
              <w:top w:w="70" w:type="dxa"/>
              <w:start w:w="100" w:type="dxa"/>
              <w:bottom w:w="70" w:type="dxa"/>
              <w:end w:w="100" w:type="dxa"/>
            </w:tcMar>
            <w:vAlign w:val="top"/>
          </w:tcPr>
          <w:p>
            <w:pPr>
              <w:spacing w:after="40"/>
            </w:pPr>
            <w:r>
              <w:rPr>
                <w:sz w:val="15"/>
              </w:rPr>
              <w:t>A-03</w:t>
            </w:r>
          </w:p>
        </w:tc>
        <w:tc>
          <w:tcPr>
            <w:tcW w:type="dxa" w:w="3816"/>
            <w:tcMar>
              <w:top w:w="70" w:type="dxa"/>
              <w:start w:w="100" w:type="dxa"/>
              <w:bottom w:w="70" w:type="dxa"/>
              <w:end w:w="100" w:type="dxa"/>
            </w:tcMar>
            <w:vAlign w:val="top"/>
          </w:tcPr>
          <w:p>
            <w:pPr>
              <w:spacing w:after="40"/>
            </w:pPr>
            <w:r>
              <w:rPr>
                <w:sz w:val="15"/>
              </w:rPr>
              <w:t>Historical revenue, margins and event outcomes unknown</w:t>
            </w:r>
          </w:p>
        </w:tc>
        <w:tc>
          <w:tcPr>
            <w:tcW w:type="dxa" w:w="3528"/>
            <w:tcMar>
              <w:top w:w="70" w:type="dxa"/>
              <w:start w:w="100" w:type="dxa"/>
              <w:bottom w:w="70" w:type="dxa"/>
              <w:end w:w="100" w:type="dxa"/>
            </w:tcMar>
            <w:vAlign w:val="top"/>
          </w:tcPr>
          <w:p>
            <w:pPr>
              <w:spacing w:after="40"/>
            </w:pPr>
            <w:r>
              <w:rPr>
                <w:sz w:val="15"/>
              </w:rPr>
              <w:t>Verified management accounts and engagement evidence</w:t>
            </w:r>
          </w:p>
        </w:tc>
        <w:tc>
          <w:tcPr>
            <w:tcW w:type="dxa" w:w="1296"/>
            <w:tcMar>
              <w:top w:w="70" w:type="dxa"/>
              <w:start w:w="100" w:type="dxa"/>
              <w:bottom w:w="70" w:type="dxa"/>
              <w:end w:w="100" w:type="dxa"/>
            </w:tcMar>
            <w:vAlign w:val="top"/>
          </w:tcPr>
          <w:p>
            <w:pPr>
              <w:spacing w:after="40"/>
            </w:pPr>
            <w:r>
              <w:rPr>
                <w:sz w:val="15"/>
              </w:rPr>
              <w:t>30 days</w:t>
            </w:r>
          </w:p>
        </w:tc>
      </w:tr>
      <w:tr>
        <w:trPr>
          <w:cantSplit/>
        </w:trPr>
        <w:tc>
          <w:tcPr>
            <w:tcW w:type="dxa" w:w="1008"/>
            <w:tcMar>
              <w:top w:w="70" w:type="dxa"/>
              <w:start w:w="100" w:type="dxa"/>
              <w:bottom w:w="70" w:type="dxa"/>
              <w:end w:w="100" w:type="dxa"/>
            </w:tcMar>
            <w:vAlign w:val="top"/>
            <w:shd w:fill="FAF8F6"/>
          </w:tcPr>
          <w:p>
            <w:pPr>
              <w:spacing w:after="40"/>
            </w:pPr>
            <w:r>
              <w:rPr>
                <w:sz w:val="15"/>
              </w:rPr>
              <w:t>A-04</w:t>
            </w:r>
          </w:p>
        </w:tc>
        <w:tc>
          <w:tcPr>
            <w:tcW w:type="dxa" w:w="3816"/>
            <w:tcMar>
              <w:top w:w="70" w:type="dxa"/>
              <w:start w:w="100" w:type="dxa"/>
              <w:bottom w:w="70" w:type="dxa"/>
              <w:end w:w="100" w:type="dxa"/>
            </w:tcMar>
            <w:vAlign w:val="top"/>
            <w:shd w:fill="FAF8F6"/>
          </w:tcPr>
          <w:p>
            <w:pPr>
              <w:spacing w:after="40"/>
            </w:pPr>
            <w:r>
              <w:rPr>
                <w:sz w:val="15"/>
              </w:rPr>
              <w:t>Market size and growth rate not reliably published</w:t>
            </w:r>
          </w:p>
        </w:tc>
        <w:tc>
          <w:tcPr>
            <w:tcW w:type="dxa" w:w="3528"/>
            <w:tcMar>
              <w:top w:w="70" w:type="dxa"/>
              <w:start w:w="100" w:type="dxa"/>
              <w:bottom w:w="70" w:type="dxa"/>
              <w:end w:w="100" w:type="dxa"/>
            </w:tcMar>
            <w:vAlign w:val="top"/>
            <w:shd w:fill="FAF8F6"/>
          </w:tcPr>
          <w:p>
            <w:pPr>
              <w:spacing w:after="40"/>
            </w:pPr>
            <w:r>
              <w:rPr>
                <w:sz w:val="15"/>
              </w:rPr>
              <w:t>Bottom-up account universe + 20 interviews</w:t>
            </w:r>
          </w:p>
        </w:tc>
        <w:tc>
          <w:tcPr>
            <w:tcW w:type="dxa" w:w="1296"/>
            <w:tcMar>
              <w:top w:w="70" w:type="dxa"/>
              <w:start w:w="100" w:type="dxa"/>
              <w:bottom w:w="70" w:type="dxa"/>
              <w:end w:w="100" w:type="dxa"/>
            </w:tcMar>
            <w:vAlign w:val="top"/>
            <w:shd w:fill="FAF8F6"/>
          </w:tcPr>
          <w:p>
            <w:pPr>
              <w:spacing w:after="40"/>
            </w:pPr>
            <w:r>
              <w:rPr>
                <w:sz w:val="15"/>
              </w:rPr>
              <w:t>90 days</w:t>
            </w:r>
          </w:p>
        </w:tc>
      </w:tr>
      <w:tr>
        <w:trPr>
          <w:cantSplit/>
        </w:trPr>
        <w:tc>
          <w:tcPr>
            <w:tcW w:type="dxa" w:w="1008"/>
            <w:tcMar>
              <w:top w:w="70" w:type="dxa"/>
              <w:start w:w="100" w:type="dxa"/>
              <w:bottom w:w="70" w:type="dxa"/>
              <w:end w:w="100" w:type="dxa"/>
            </w:tcMar>
            <w:vAlign w:val="top"/>
          </w:tcPr>
          <w:p>
            <w:pPr>
              <w:spacing w:after="40"/>
            </w:pPr>
            <w:r>
              <w:rPr>
                <w:sz w:val="15"/>
              </w:rPr>
              <w:t>A-05</w:t>
            </w:r>
          </w:p>
        </w:tc>
        <w:tc>
          <w:tcPr>
            <w:tcW w:type="dxa" w:w="3816"/>
            <w:tcMar>
              <w:top w:w="70" w:type="dxa"/>
              <w:start w:w="100" w:type="dxa"/>
              <w:bottom w:w="70" w:type="dxa"/>
              <w:end w:w="100" w:type="dxa"/>
            </w:tcMar>
            <w:vAlign w:val="top"/>
          </w:tcPr>
          <w:p>
            <w:pPr>
              <w:spacing w:after="40"/>
            </w:pPr>
            <w:r>
              <w:rPr>
                <w:sz w:val="15"/>
              </w:rPr>
              <w:t>Competitor fees/capacity/private economics unknown</w:t>
            </w:r>
          </w:p>
        </w:tc>
        <w:tc>
          <w:tcPr>
            <w:tcW w:type="dxa" w:w="3528"/>
            <w:tcMar>
              <w:top w:w="70" w:type="dxa"/>
              <w:start w:w="100" w:type="dxa"/>
              <w:bottom w:w="70" w:type="dxa"/>
              <w:end w:w="100" w:type="dxa"/>
            </w:tcMar>
            <w:vAlign w:val="top"/>
          </w:tcPr>
          <w:p>
            <w:pPr>
              <w:spacing w:after="40"/>
            </w:pPr>
            <w:r>
              <w:rPr>
                <w:sz w:val="15"/>
              </w:rPr>
              <w:t>Ethical market research and buyer interviews</w:t>
            </w:r>
          </w:p>
        </w:tc>
        <w:tc>
          <w:tcPr>
            <w:tcW w:type="dxa" w:w="1296"/>
            <w:tcMar>
              <w:top w:w="70" w:type="dxa"/>
              <w:start w:w="100" w:type="dxa"/>
              <w:bottom w:w="70" w:type="dxa"/>
              <w:end w:w="100" w:type="dxa"/>
            </w:tcMar>
            <w:vAlign w:val="top"/>
          </w:tcPr>
          <w:p>
            <w:pPr>
              <w:spacing w:after="40"/>
            </w:pPr>
            <w:r>
              <w:rPr>
                <w:sz w:val="15"/>
              </w:rPr>
              <w:t>90 days</w:t>
            </w:r>
          </w:p>
        </w:tc>
      </w:tr>
      <w:tr>
        <w:trPr>
          <w:cantSplit/>
        </w:trPr>
        <w:tc>
          <w:tcPr>
            <w:tcW w:type="dxa" w:w="1008"/>
            <w:tcMar>
              <w:top w:w="70" w:type="dxa"/>
              <w:start w:w="100" w:type="dxa"/>
              <w:bottom w:w="70" w:type="dxa"/>
              <w:end w:w="100" w:type="dxa"/>
            </w:tcMar>
            <w:vAlign w:val="top"/>
            <w:shd w:fill="FAF8F6"/>
          </w:tcPr>
          <w:p>
            <w:pPr>
              <w:spacing w:after="40"/>
            </w:pPr>
            <w:r>
              <w:rPr>
                <w:sz w:val="15"/>
              </w:rPr>
              <w:t>A-06</w:t>
            </w:r>
          </w:p>
        </w:tc>
        <w:tc>
          <w:tcPr>
            <w:tcW w:type="dxa" w:w="3816"/>
            <w:tcMar>
              <w:top w:w="70" w:type="dxa"/>
              <w:start w:w="100" w:type="dxa"/>
              <w:bottom w:w="70" w:type="dxa"/>
              <w:end w:w="100" w:type="dxa"/>
            </w:tcMar>
            <w:vAlign w:val="top"/>
            <w:shd w:fill="FAF8F6"/>
          </w:tcPr>
          <w:p>
            <w:pPr>
              <w:spacing w:after="40"/>
            </w:pPr>
            <w:r>
              <w:rPr>
                <w:sz w:val="15"/>
              </w:rPr>
              <w:t>Brand awareness and reputation not measured</w:t>
            </w:r>
          </w:p>
        </w:tc>
        <w:tc>
          <w:tcPr>
            <w:tcW w:type="dxa" w:w="3528"/>
            <w:tcMar>
              <w:top w:w="70" w:type="dxa"/>
              <w:start w:w="100" w:type="dxa"/>
              <w:bottom w:w="70" w:type="dxa"/>
              <w:end w:w="100" w:type="dxa"/>
            </w:tcMar>
            <w:vAlign w:val="top"/>
            <w:shd w:fill="FAF8F6"/>
          </w:tcPr>
          <w:p>
            <w:pPr>
              <w:spacing w:after="40"/>
            </w:pPr>
            <w:r>
              <w:rPr>
                <w:sz w:val="15"/>
              </w:rPr>
              <w:t>Baseline stakeholder interviews and referral audit</w:t>
            </w:r>
          </w:p>
        </w:tc>
        <w:tc>
          <w:tcPr>
            <w:tcW w:type="dxa" w:w="1296"/>
            <w:tcMar>
              <w:top w:w="70" w:type="dxa"/>
              <w:start w:w="100" w:type="dxa"/>
              <w:bottom w:w="70" w:type="dxa"/>
              <w:end w:w="100" w:type="dxa"/>
            </w:tcMar>
            <w:vAlign w:val="top"/>
            <w:shd w:fill="FAF8F6"/>
          </w:tcPr>
          <w:p>
            <w:pPr>
              <w:spacing w:after="40"/>
            </w:pPr>
            <w:r>
              <w:rPr>
                <w:sz w:val="15"/>
              </w:rPr>
              <w:t>60 days</w:t>
            </w:r>
          </w:p>
        </w:tc>
      </w:tr>
      <w:tr>
        <w:trPr>
          <w:cantSplit/>
        </w:trPr>
        <w:tc>
          <w:tcPr>
            <w:tcW w:type="dxa" w:w="1008"/>
            <w:tcMar>
              <w:top w:w="70" w:type="dxa"/>
              <w:start w:w="100" w:type="dxa"/>
              <w:bottom w:w="70" w:type="dxa"/>
              <w:end w:w="100" w:type="dxa"/>
            </w:tcMar>
            <w:vAlign w:val="top"/>
          </w:tcPr>
          <w:p>
            <w:pPr>
              <w:spacing w:after="40"/>
            </w:pPr>
            <w:r>
              <w:rPr>
                <w:sz w:val="15"/>
              </w:rPr>
              <w:t>A-07</w:t>
            </w:r>
          </w:p>
        </w:tc>
        <w:tc>
          <w:tcPr>
            <w:tcW w:type="dxa" w:w="3816"/>
            <w:tcMar>
              <w:top w:w="70" w:type="dxa"/>
              <w:start w:w="100" w:type="dxa"/>
              <w:bottom w:w="70" w:type="dxa"/>
              <w:end w:w="100" w:type="dxa"/>
            </w:tcMar>
            <w:vAlign w:val="top"/>
          </w:tcPr>
          <w:p>
            <w:pPr>
              <w:spacing w:after="40"/>
            </w:pPr>
            <w:r>
              <w:rPr>
                <w:sz w:val="15"/>
              </w:rPr>
              <w:t>₦5m/₦1.5m fee floors untested</w:t>
            </w:r>
          </w:p>
        </w:tc>
        <w:tc>
          <w:tcPr>
            <w:tcW w:type="dxa" w:w="3528"/>
            <w:tcMar>
              <w:top w:w="70" w:type="dxa"/>
              <w:start w:w="100" w:type="dxa"/>
              <w:bottom w:w="70" w:type="dxa"/>
              <w:end w:w="100" w:type="dxa"/>
            </w:tcMar>
            <w:vAlign w:val="top"/>
          </w:tcPr>
          <w:p>
            <w:pPr>
              <w:spacing w:after="40"/>
            </w:pPr>
            <w:r>
              <w:rPr>
                <w:sz w:val="15"/>
              </w:rPr>
              <w:t>Price interviews + first four paid engagements</w:t>
            </w:r>
          </w:p>
        </w:tc>
        <w:tc>
          <w:tcPr>
            <w:tcW w:type="dxa" w:w="1296"/>
            <w:tcMar>
              <w:top w:w="70" w:type="dxa"/>
              <w:start w:w="100" w:type="dxa"/>
              <w:bottom w:w="70" w:type="dxa"/>
              <w:end w:w="100" w:type="dxa"/>
            </w:tcMar>
            <w:vAlign w:val="top"/>
          </w:tcPr>
          <w:p>
            <w:pPr>
              <w:spacing w:after="40"/>
            </w:pPr>
            <w:r>
              <w:rPr>
                <w:sz w:val="15"/>
              </w:rPr>
              <w:t>Quarterly</w:t>
            </w:r>
          </w:p>
        </w:tc>
      </w:tr>
      <w:tr>
        <w:trPr>
          <w:cantSplit/>
        </w:trPr>
        <w:tc>
          <w:tcPr>
            <w:tcW w:type="dxa" w:w="1008"/>
            <w:tcMar>
              <w:top w:w="70" w:type="dxa"/>
              <w:start w:w="100" w:type="dxa"/>
              <w:bottom w:w="70" w:type="dxa"/>
              <w:end w:w="100" w:type="dxa"/>
            </w:tcMar>
            <w:vAlign w:val="top"/>
            <w:shd w:fill="FAF8F6"/>
          </w:tcPr>
          <w:p>
            <w:pPr>
              <w:spacing w:after="40"/>
            </w:pPr>
            <w:r>
              <w:rPr>
                <w:sz w:val="15"/>
              </w:rPr>
              <w:t>A-08</w:t>
            </w:r>
          </w:p>
        </w:tc>
        <w:tc>
          <w:tcPr>
            <w:tcW w:type="dxa" w:w="3816"/>
            <w:tcMar>
              <w:top w:w="70" w:type="dxa"/>
              <w:start w:w="100" w:type="dxa"/>
              <w:bottom w:w="70" w:type="dxa"/>
              <w:end w:w="100" w:type="dxa"/>
            </w:tcMar>
            <w:vAlign w:val="top"/>
            <w:shd w:fill="FAF8F6"/>
          </w:tcPr>
          <w:p>
            <w:pPr>
              <w:spacing w:after="40"/>
            </w:pPr>
            <w:r>
              <w:rPr>
                <w:sz w:val="15"/>
              </w:rPr>
              <w:t>Capacity thresholds unvalidated</w:t>
            </w:r>
          </w:p>
        </w:tc>
        <w:tc>
          <w:tcPr>
            <w:tcW w:type="dxa" w:w="3528"/>
            <w:tcMar>
              <w:top w:w="70" w:type="dxa"/>
              <w:start w:w="100" w:type="dxa"/>
              <w:bottom w:w="70" w:type="dxa"/>
              <w:end w:w="100" w:type="dxa"/>
            </w:tcMar>
            <w:vAlign w:val="top"/>
            <w:shd w:fill="FAF8F6"/>
          </w:tcPr>
          <w:p>
            <w:pPr>
              <w:spacing w:after="40"/>
            </w:pPr>
            <w:r>
              <w:rPr>
                <w:sz w:val="15"/>
              </w:rPr>
              <w:t>Rehearsals and real-event workload/incident evidence</w:t>
            </w:r>
          </w:p>
        </w:tc>
        <w:tc>
          <w:tcPr>
            <w:tcW w:type="dxa" w:w="1296"/>
            <w:tcMar>
              <w:top w:w="70" w:type="dxa"/>
              <w:start w:w="100" w:type="dxa"/>
              <w:bottom w:w="70" w:type="dxa"/>
              <w:end w:w="100" w:type="dxa"/>
            </w:tcMar>
            <w:vAlign w:val="top"/>
            <w:shd w:fill="FAF8F6"/>
          </w:tcPr>
          <w:p>
            <w:pPr>
              <w:spacing w:after="40"/>
            </w:pPr>
            <w:r>
              <w:rPr>
                <w:sz w:val="15"/>
              </w:rPr>
              <w:t>Before parallel scale</w:t>
            </w:r>
          </w:p>
        </w:tc>
      </w:tr>
      <w:tr>
        <w:trPr>
          <w:cantSplit/>
        </w:trPr>
        <w:tc>
          <w:tcPr>
            <w:tcW w:type="dxa" w:w="1008"/>
            <w:tcMar>
              <w:top w:w="70" w:type="dxa"/>
              <w:start w:w="100" w:type="dxa"/>
              <w:bottom w:w="70" w:type="dxa"/>
              <w:end w:w="100" w:type="dxa"/>
            </w:tcMar>
            <w:vAlign w:val="top"/>
          </w:tcPr>
          <w:p>
            <w:pPr>
              <w:spacing w:after="40"/>
            </w:pPr>
            <w:r>
              <w:rPr>
                <w:sz w:val="15"/>
              </w:rPr>
              <w:t>A-09</w:t>
            </w:r>
          </w:p>
        </w:tc>
        <w:tc>
          <w:tcPr>
            <w:tcW w:type="dxa" w:w="3816"/>
            <w:tcMar>
              <w:top w:w="70" w:type="dxa"/>
              <w:start w:w="100" w:type="dxa"/>
              <w:bottom w:w="70" w:type="dxa"/>
              <w:end w:w="100" w:type="dxa"/>
            </w:tcMar>
            <w:vAlign w:val="top"/>
          </w:tcPr>
          <w:p>
            <w:pPr>
              <w:spacing w:after="40"/>
            </w:pPr>
            <w:r>
              <w:rPr>
                <w:sz w:val="15"/>
              </w:rPr>
              <w:t>Legal/tax/permit/insurance requirements not signed off</w:t>
            </w:r>
          </w:p>
        </w:tc>
        <w:tc>
          <w:tcPr>
            <w:tcW w:type="dxa" w:w="3528"/>
            <w:tcMar>
              <w:top w:w="70" w:type="dxa"/>
              <w:start w:w="100" w:type="dxa"/>
              <w:bottom w:w="70" w:type="dxa"/>
              <w:end w:w="100" w:type="dxa"/>
            </w:tcMar>
            <w:vAlign w:val="top"/>
          </w:tcPr>
          <w:p>
            <w:pPr>
              <w:spacing w:after="40"/>
            </w:pPr>
            <w:r>
              <w:rPr>
                <w:sz w:val="15"/>
              </w:rPr>
              <w:t>Qualified Nigerian advisers by activity/jurisdiction</w:t>
            </w:r>
          </w:p>
        </w:tc>
        <w:tc>
          <w:tcPr>
            <w:tcW w:type="dxa" w:w="1296"/>
            <w:tcMar>
              <w:top w:w="70" w:type="dxa"/>
              <w:start w:w="100" w:type="dxa"/>
              <w:bottom w:w="70" w:type="dxa"/>
              <w:end w:w="100" w:type="dxa"/>
            </w:tcMar>
            <w:vAlign w:val="top"/>
          </w:tcPr>
          <w:p>
            <w:pPr>
              <w:spacing w:after="40"/>
            </w:pPr>
            <w:r>
              <w:rPr>
                <w:sz w:val="15"/>
              </w:rPr>
              <w:t>Before production</w:t>
            </w:r>
          </w:p>
        </w:tc>
      </w:tr>
      <w:tr>
        <w:trPr>
          <w:cantSplit/>
        </w:trPr>
        <w:tc>
          <w:tcPr>
            <w:tcW w:type="dxa" w:w="1008"/>
            <w:tcMar>
              <w:top w:w="70" w:type="dxa"/>
              <w:start w:w="100" w:type="dxa"/>
              <w:bottom w:w="70" w:type="dxa"/>
              <w:end w:w="100" w:type="dxa"/>
            </w:tcMar>
            <w:vAlign w:val="top"/>
            <w:shd w:fill="FAF8F6"/>
          </w:tcPr>
          <w:p>
            <w:pPr>
              <w:spacing w:after="40"/>
            </w:pPr>
            <w:r>
              <w:rPr>
                <w:sz w:val="15"/>
              </w:rPr>
              <w:t>A-10</w:t>
            </w:r>
          </w:p>
        </w:tc>
        <w:tc>
          <w:tcPr>
            <w:tcW w:type="dxa" w:w="3816"/>
            <w:tcMar>
              <w:top w:w="70" w:type="dxa"/>
              <w:start w:w="100" w:type="dxa"/>
              <w:bottom w:w="70" w:type="dxa"/>
              <w:end w:w="100" w:type="dxa"/>
            </w:tcMar>
            <w:vAlign w:val="top"/>
            <w:shd w:fill="FAF8F6"/>
          </w:tcPr>
          <w:p>
            <w:pPr>
              <w:spacing w:after="40"/>
            </w:pPr>
            <w:r>
              <w:rPr>
                <w:sz w:val="15"/>
              </w:rPr>
              <w:t>Protocol/cultural rules require authority</w:t>
            </w:r>
          </w:p>
        </w:tc>
        <w:tc>
          <w:tcPr>
            <w:tcW w:type="dxa" w:w="3528"/>
            <w:tcMar>
              <w:top w:w="70" w:type="dxa"/>
              <w:start w:w="100" w:type="dxa"/>
              <w:bottom w:w="70" w:type="dxa"/>
              <w:end w:w="100" w:type="dxa"/>
            </w:tcMar>
            <w:vAlign w:val="top"/>
            <w:shd w:fill="FAF8F6"/>
          </w:tcPr>
          <w:p>
            <w:pPr>
              <w:spacing w:after="40"/>
            </w:pPr>
            <w:r>
              <w:rPr>
                <w:sz w:val="15"/>
              </w:rPr>
              <w:t>Recognised authority register and event verification</w:t>
            </w:r>
          </w:p>
        </w:tc>
        <w:tc>
          <w:tcPr>
            <w:tcW w:type="dxa" w:w="1296"/>
            <w:tcMar>
              <w:top w:w="70" w:type="dxa"/>
              <w:start w:w="100" w:type="dxa"/>
              <w:bottom w:w="70" w:type="dxa"/>
              <w:end w:w="100" w:type="dxa"/>
            </w:tcMar>
            <w:vAlign w:val="top"/>
            <w:shd w:fill="FAF8F6"/>
          </w:tcPr>
          <w:p>
            <w:pPr>
              <w:spacing w:after="40"/>
            </w:pPr>
            <w:r>
              <w:rPr>
                <w:sz w:val="15"/>
              </w:rPr>
              <w:t>Before each affected event</w:t>
            </w:r>
          </w:p>
        </w:tc>
      </w:tr>
      <w:tr>
        <w:trPr>
          <w:cantSplit/>
        </w:trPr>
        <w:tc>
          <w:tcPr>
            <w:tcW w:type="dxa" w:w="1008"/>
            <w:tcMar>
              <w:top w:w="70" w:type="dxa"/>
              <w:start w:w="100" w:type="dxa"/>
              <w:bottom w:w="70" w:type="dxa"/>
              <w:end w:w="100" w:type="dxa"/>
            </w:tcMar>
            <w:vAlign w:val="top"/>
          </w:tcPr>
          <w:p>
            <w:pPr>
              <w:spacing w:after="40"/>
            </w:pPr>
            <w:r>
              <w:rPr>
                <w:sz w:val="15"/>
              </w:rPr>
              <w:t>A-11</w:t>
            </w:r>
          </w:p>
        </w:tc>
        <w:tc>
          <w:tcPr>
            <w:tcW w:type="dxa" w:w="3816"/>
            <w:tcMar>
              <w:top w:w="70" w:type="dxa"/>
              <w:start w:w="100" w:type="dxa"/>
              <w:bottom w:w="70" w:type="dxa"/>
              <w:end w:w="100" w:type="dxa"/>
            </w:tcMar>
            <w:vAlign w:val="top"/>
          </w:tcPr>
          <w:p>
            <w:pPr>
              <w:spacing w:after="40"/>
            </w:pPr>
            <w:r>
              <w:rPr>
                <w:sz w:val="15"/>
              </w:rPr>
              <w:t>5× EBITDA valuation multiple is only a hypothesis</w:t>
            </w:r>
          </w:p>
        </w:tc>
        <w:tc>
          <w:tcPr>
            <w:tcW w:type="dxa" w:w="3528"/>
            <w:tcMar>
              <w:top w:w="70" w:type="dxa"/>
              <w:start w:w="100" w:type="dxa"/>
              <w:bottom w:w="70" w:type="dxa"/>
              <w:end w:w="100" w:type="dxa"/>
            </w:tcMar>
            <w:vAlign w:val="top"/>
          </w:tcPr>
          <w:p>
            <w:pPr>
              <w:spacing w:after="40"/>
            </w:pPr>
            <w:r>
              <w:rPr>
                <w:sz w:val="15"/>
              </w:rPr>
              <w:t>Qualified valuation and transaction evidence</w:t>
            </w:r>
          </w:p>
        </w:tc>
        <w:tc>
          <w:tcPr>
            <w:tcW w:type="dxa" w:w="1296"/>
            <w:tcMar>
              <w:top w:w="70" w:type="dxa"/>
              <w:start w:w="100" w:type="dxa"/>
              <w:bottom w:w="70" w:type="dxa"/>
              <w:end w:w="100" w:type="dxa"/>
            </w:tcMar>
            <w:vAlign w:val="top"/>
          </w:tcPr>
          <w:p>
            <w:pPr>
              <w:spacing w:after="40"/>
            </w:pPr>
            <w:r>
              <w:rPr>
                <w:sz w:val="15"/>
              </w:rPr>
              <w:t>At financing/exit decision</w:t>
            </w:r>
          </w:p>
        </w:tc>
      </w:tr>
      <w:tr>
        <w:trPr>
          <w:cantSplit/>
        </w:trPr>
        <w:tc>
          <w:tcPr>
            <w:tcW w:type="dxa" w:w="1008"/>
            <w:tcMar>
              <w:top w:w="70" w:type="dxa"/>
              <w:start w:w="100" w:type="dxa"/>
              <w:bottom w:w="70" w:type="dxa"/>
              <w:end w:w="100" w:type="dxa"/>
            </w:tcMar>
            <w:vAlign w:val="top"/>
            <w:shd w:fill="FAF8F6"/>
          </w:tcPr>
          <w:p>
            <w:pPr>
              <w:spacing w:after="40"/>
            </w:pPr>
            <w:r>
              <w:rPr>
                <w:sz w:val="15"/>
              </w:rPr>
              <w:t>A-12</w:t>
            </w:r>
          </w:p>
        </w:tc>
        <w:tc>
          <w:tcPr>
            <w:tcW w:type="dxa" w:w="3816"/>
            <w:tcMar>
              <w:top w:w="70" w:type="dxa"/>
              <w:start w:w="100" w:type="dxa"/>
              <w:bottom w:w="70" w:type="dxa"/>
              <w:end w:w="100" w:type="dxa"/>
            </w:tcMar>
            <w:vAlign w:val="top"/>
            <w:shd w:fill="FAF8F6"/>
          </w:tcPr>
          <w:p>
            <w:pPr>
              <w:spacing w:after="40"/>
            </w:pPr>
            <w:r>
              <w:rPr>
                <w:sz w:val="15"/>
              </w:rPr>
              <w:t>OS and Academy production readiness not established</w:t>
            </w:r>
          </w:p>
        </w:tc>
        <w:tc>
          <w:tcPr>
            <w:tcW w:type="dxa" w:w="3528"/>
            <w:tcMar>
              <w:top w:w="70" w:type="dxa"/>
              <w:start w:w="100" w:type="dxa"/>
              <w:bottom w:w="70" w:type="dxa"/>
              <w:end w:w="100" w:type="dxa"/>
            </w:tcMar>
            <w:vAlign w:val="top"/>
            <w:shd w:fill="FAF8F6"/>
          </w:tcPr>
          <w:p>
            <w:pPr>
              <w:spacing w:after="40"/>
            </w:pPr>
            <w:r>
              <w:rPr>
                <w:sz w:val="15"/>
              </w:rPr>
              <w:t>Independent acceptance evidence and CEO authorisation</w:t>
            </w:r>
          </w:p>
        </w:tc>
        <w:tc>
          <w:tcPr>
            <w:tcW w:type="dxa" w:w="1296"/>
            <w:tcMar>
              <w:top w:w="70" w:type="dxa"/>
              <w:start w:w="100" w:type="dxa"/>
              <w:bottom w:w="70" w:type="dxa"/>
              <w:end w:w="100" w:type="dxa"/>
            </w:tcMar>
            <w:vAlign w:val="top"/>
            <w:shd w:fill="FAF8F6"/>
          </w:tcPr>
          <w:p>
            <w:pPr>
              <w:spacing w:after="40"/>
            </w:pPr>
            <w:r>
              <w:rPr>
                <w:sz w:val="15"/>
              </w:rPr>
              <w:t>Before live reliance</w:t>
            </w:r>
          </w:p>
        </w:tc>
      </w:tr>
    </w:tbl>
    <w:p>
      <w:pPr>
        <w:spacing w:after="20"/>
      </w:pPr>
    </w:p>
    <w:p>
      <w:pPr>
        <w:pStyle w:val="Heading1"/>
        <w:keepNext/>
      </w:pPr>
      <w:r>
        <w:t>Appendix D — Definitions and search terms</w:t>
      </w:r>
    </w:p>
    <w:tbl>
      <w:tblPr>
        <w:tblStyle w:val="TableGrid"/>
        <w:tblW w:type="auto" w:w="0"/>
        <w:jc w:val="left"/>
        <w:tblLayout w:type="fixed"/>
        <w:tblLook w:firstColumn="1" w:firstRow="1" w:lastColumn="0" w:lastRow="0" w:noHBand="0" w:noVBand="1" w:val="04A0"/>
      </w:tblPr>
      <w:tblGrid>
        <w:gridCol w:w="4939"/>
        <w:gridCol w:w="4939"/>
      </w:tblGrid>
      <w:tr>
        <w:trPr>
          <w:tblHeader w:val="true"/>
        </w:trPr>
        <w:tc>
          <w:tcPr>
            <w:tcW w:type="dxa" w:w="2232"/>
            <w:shd w:fill="B79F85"/>
            <w:tcMar>
              <w:top w:w="70" w:type="dxa"/>
              <w:start w:w="100" w:type="dxa"/>
              <w:bottom w:w="70" w:type="dxa"/>
              <w:end w:w="100" w:type="dxa"/>
            </w:tcMar>
          </w:tcPr>
          <w:p>
            <w:r>
              <w:rPr>
                <w:b/>
                <w:sz w:val="16"/>
              </w:rPr>
              <w:t>Term</w:t>
            </w:r>
          </w:p>
        </w:tc>
        <w:tc>
          <w:tcPr>
            <w:tcW w:type="dxa" w:w="7128"/>
            <w:shd w:fill="B79F85"/>
            <w:tcMar>
              <w:top w:w="70" w:type="dxa"/>
              <w:start w:w="100" w:type="dxa"/>
              <w:bottom w:w="70" w:type="dxa"/>
              <w:end w:w="100" w:type="dxa"/>
            </w:tcMar>
          </w:tcPr>
          <w:p>
            <w:r>
              <w:rPr>
                <w:b/>
                <w:sz w:val="16"/>
              </w:rPr>
              <w:t>Controlled meaning</w:t>
            </w:r>
          </w:p>
        </w:tc>
      </w:tr>
      <w:tr>
        <w:trPr>
          <w:cantSplit/>
        </w:trPr>
        <w:tc>
          <w:tcPr>
            <w:tcW w:type="dxa" w:w="2232"/>
            <w:tcMar>
              <w:top w:w="70" w:type="dxa"/>
              <w:start w:w="100" w:type="dxa"/>
              <w:bottom w:w="70" w:type="dxa"/>
              <w:end w:w="100" w:type="dxa"/>
            </w:tcMar>
            <w:vAlign w:val="top"/>
          </w:tcPr>
          <w:p>
            <w:pPr>
              <w:spacing w:after="40"/>
            </w:pPr>
            <w:r>
              <w:rPr>
                <w:sz w:val="16"/>
              </w:rPr>
              <w:t>Client</w:t>
            </w:r>
          </w:p>
        </w:tc>
        <w:tc>
          <w:tcPr>
            <w:tcW w:type="dxa" w:w="7128"/>
            <w:tcMar>
              <w:top w:w="70" w:type="dxa"/>
              <w:start w:w="100" w:type="dxa"/>
              <w:bottom w:w="70" w:type="dxa"/>
              <w:end w:w="100" w:type="dxa"/>
            </w:tcMar>
            <w:vAlign w:val="top"/>
          </w:tcPr>
          <w:p>
            <w:pPr>
              <w:spacing w:after="40"/>
            </w:pPr>
            <w:r>
              <w:rPr>
                <w:sz w:val="16"/>
              </w:rPr>
              <w:t>Contracting person or organisation; not automatically every host or guest.</w:t>
            </w:r>
          </w:p>
        </w:tc>
      </w:tr>
      <w:tr>
        <w:trPr>
          <w:cantSplit/>
        </w:trPr>
        <w:tc>
          <w:tcPr>
            <w:tcW w:type="dxa" w:w="2232"/>
            <w:tcMar>
              <w:top w:w="70" w:type="dxa"/>
              <w:start w:w="100" w:type="dxa"/>
              <w:bottom w:w="70" w:type="dxa"/>
              <w:end w:w="100" w:type="dxa"/>
            </w:tcMar>
            <w:vAlign w:val="top"/>
            <w:shd w:fill="FAF8F6"/>
          </w:tcPr>
          <w:p>
            <w:pPr>
              <w:spacing w:after="40"/>
            </w:pPr>
            <w:r>
              <w:rPr>
                <w:sz w:val="16"/>
              </w:rPr>
              <w:t>Host / principal</w:t>
            </w:r>
          </w:p>
        </w:tc>
        <w:tc>
          <w:tcPr>
            <w:tcW w:type="dxa" w:w="7128"/>
            <w:tcMar>
              <w:top w:w="70" w:type="dxa"/>
              <w:start w:w="100" w:type="dxa"/>
              <w:bottom w:w="70" w:type="dxa"/>
              <w:end w:w="100" w:type="dxa"/>
            </w:tcMar>
            <w:vAlign w:val="top"/>
            <w:shd w:fill="FAF8F6"/>
          </w:tcPr>
          <w:p>
            <w:pPr>
              <w:spacing w:after="40"/>
            </w:pPr>
            <w:r>
              <w:rPr>
                <w:sz w:val="16"/>
              </w:rPr>
              <w:t>Person whose intention and reputation the event principally represents.</w:t>
            </w:r>
          </w:p>
        </w:tc>
      </w:tr>
      <w:tr>
        <w:trPr>
          <w:cantSplit/>
        </w:trPr>
        <w:tc>
          <w:tcPr>
            <w:tcW w:type="dxa" w:w="2232"/>
            <w:tcMar>
              <w:top w:w="70" w:type="dxa"/>
              <w:start w:w="100" w:type="dxa"/>
              <w:bottom w:w="70" w:type="dxa"/>
              <w:end w:w="100" w:type="dxa"/>
            </w:tcMar>
            <w:vAlign w:val="top"/>
          </w:tcPr>
          <w:p>
            <w:pPr>
              <w:spacing w:after="40"/>
            </w:pPr>
            <w:r>
              <w:rPr>
                <w:sz w:val="16"/>
              </w:rPr>
              <w:t>Guest</w:t>
            </w:r>
          </w:p>
        </w:tc>
        <w:tc>
          <w:tcPr>
            <w:tcW w:type="dxa" w:w="7128"/>
            <w:tcMar>
              <w:top w:w="70" w:type="dxa"/>
              <w:start w:w="100" w:type="dxa"/>
              <w:bottom w:w="70" w:type="dxa"/>
              <w:end w:w="100" w:type="dxa"/>
            </w:tcMar>
            <w:vAlign w:val="top"/>
          </w:tcPr>
          <w:p>
            <w:pPr>
              <w:spacing w:after="40"/>
            </w:pPr>
            <w:r>
              <w:rPr>
                <w:sz w:val="16"/>
              </w:rPr>
              <w:t>A person invited, expected, accompanying or otherwise served; never merely a row in a list.</w:t>
            </w:r>
          </w:p>
        </w:tc>
      </w:tr>
      <w:tr>
        <w:trPr>
          <w:cantSplit/>
        </w:trPr>
        <w:tc>
          <w:tcPr>
            <w:tcW w:type="dxa" w:w="2232"/>
            <w:tcMar>
              <w:top w:w="70" w:type="dxa"/>
              <w:start w:w="100" w:type="dxa"/>
              <w:bottom w:w="70" w:type="dxa"/>
              <w:end w:w="100" w:type="dxa"/>
            </w:tcMar>
            <w:vAlign w:val="top"/>
            <w:shd w:fill="FAF8F6"/>
          </w:tcPr>
          <w:p>
            <w:pPr>
              <w:spacing w:after="40"/>
            </w:pPr>
            <w:r>
              <w:rPr>
                <w:sz w:val="16"/>
              </w:rPr>
              <w:t>Net revenue</w:t>
            </w:r>
          </w:p>
        </w:tc>
        <w:tc>
          <w:tcPr>
            <w:tcW w:type="dxa" w:w="7128"/>
            <w:tcMar>
              <w:top w:w="70" w:type="dxa"/>
              <w:start w:w="100" w:type="dxa"/>
              <w:bottom w:w="70" w:type="dxa"/>
              <w:end w:w="100" w:type="dxa"/>
            </w:tcMar>
            <w:vAlign w:val="top"/>
            <w:shd w:fill="FAF8F6"/>
          </w:tcPr>
          <w:p>
            <w:pPr>
              <w:spacing w:after="40"/>
            </w:pPr>
            <w:r>
              <w:rPr>
                <w:sz w:val="16"/>
              </w:rPr>
              <w:t>Maison Doclar fees and earned service revenue, excluding client pass-through supplier spend.</w:t>
            </w:r>
          </w:p>
        </w:tc>
      </w:tr>
      <w:tr>
        <w:trPr>
          <w:cantSplit/>
        </w:trPr>
        <w:tc>
          <w:tcPr>
            <w:tcW w:type="dxa" w:w="2232"/>
            <w:tcMar>
              <w:top w:w="70" w:type="dxa"/>
              <w:start w:w="100" w:type="dxa"/>
              <w:bottom w:w="70" w:type="dxa"/>
              <w:end w:w="100" w:type="dxa"/>
            </w:tcMar>
            <w:vAlign w:val="top"/>
          </w:tcPr>
          <w:p>
            <w:pPr>
              <w:spacing w:after="40"/>
            </w:pPr>
            <w:r>
              <w:rPr>
                <w:sz w:val="16"/>
              </w:rPr>
              <w:t>Gross margin</w:t>
            </w:r>
          </w:p>
        </w:tc>
        <w:tc>
          <w:tcPr>
            <w:tcW w:type="dxa" w:w="7128"/>
            <w:tcMar>
              <w:top w:w="70" w:type="dxa"/>
              <w:start w:w="100" w:type="dxa"/>
              <w:bottom w:w="70" w:type="dxa"/>
              <w:end w:w="100" w:type="dxa"/>
            </w:tcMar>
            <w:vAlign w:val="top"/>
          </w:tcPr>
          <w:p>
            <w:pPr>
              <w:spacing w:after="40"/>
            </w:pPr>
            <w:r>
              <w:rPr>
                <w:sz w:val="16"/>
              </w:rPr>
              <w:t>Net revenue less direct engagement delivery costs, consistently classified.</w:t>
            </w:r>
          </w:p>
        </w:tc>
      </w:tr>
      <w:tr>
        <w:trPr>
          <w:cantSplit/>
        </w:trPr>
        <w:tc>
          <w:tcPr>
            <w:tcW w:type="dxa" w:w="2232"/>
            <w:tcMar>
              <w:top w:w="70" w:type="dxa"/>
              <w:start w:w="100" w:type="dxa"/>
              <w:bottom w:w="70" w:type="dxa"/>
              <w:end w:w="100" w:type="dxa"/>
            </w:tcMar>
            <w:vAlign w:val="top"/>
            <w:shd w:fill="FAF8F6"/>
          </w:tcPr>
          <w:p>
            <w:pPr>
              <w:spacing w:after="40"/>
            </w:pPr>
            <w:r>
              <w:rPr>
                <w:sz w:val="16"/>
              </w:rPr>
              <w:t>EBITDA</w:t>
            </w:r>
          </w:p>
        </w:tc>
        <w:tc>
          <w:tcPr>
            <w:tcW w:type="dxa" w:w="7128"/>
            <w:tcMar>
              <w:top w:w="70" w:type="dxa"/>
              <w:start w:w="100" w:type="dxa"/>
              <w:bottom w:w="70" w:type="dxa"/>
              <w:end w:w="100" w:type="dxa"/>
            </w:tcMar>
            <w:vAlign w:val="top"/>
            <w:shd w:fill="FAF8F6"/>
          </w:tcPr>
          <w:p>
            <w:pPr>
              <w:spacing w:after="40"/>
            </w:pPr>
            <w:r>
              <w:rPr>
                <w:sz w:val="16"/>
              </w:rPr>
              <w:t>Earnings before interest, tax, depreciation and amortisation; subject to verified accounts.</w:t>
            </w:r>
          </w:p>
        </w:tc>
      </w:tr>
      <w:tr>
        <w:trPr>
          <w:cantSplit/>
        </w:trPr>
        <w:tc>
          <w:tcPr>
            <w:tcW w:type="dxa" w:w="2232"/>
            <w:tcMar>
              <w:top w:w="70" w:type="dxa"/>
              <w:start w:w="100" w:type="dxa"/>
              <w:bottom w:w="70" w:type="dxa"/>
              <w:end w:w="100" w:type="dxa"/>
            </w:tcMar>
            <w:vAlign w:val="top"/>
          </w:tcPr>
          <w:p>
            <w:pPr>
              <w:spacing w:after="40"/>
            </w:pPr>
            <w:r>
              <w:rPr>
                <w:sz w:val="16"/>
              </w:rPr>
              <w:t>Flagship engagement</w:t>
            </w:r>
          </w:p>
        </w:tc>
        <w:tc>
          <w:tcPr>
            <w:tcW w:type="dxa" w:w="7128"/>
            <w:tcMar>
              <w:top w:w="70" w:type="dxa"/>
              <w:start w:w="100" w:type="dxa"/>
              <w:bottom w:w="70" w:type="dxa"/>
              <w:end w:w="100" w:type="dxa"/>
            </w:tcMar>
            <w:vAlign w:val="top"/>
          </w:tcPr>
          <w:p>
            <w:pPr>
              <w:spacing w:after="40"/>
            </w:pPr>
            <w:r>
              <w:rPr>
                <w:sz w:val="16"/>
              </w:rPr>
              <w:t>A material, end-to-end or high-consequence guest-experience assignment.</w:t>
            </w:r>
          </w:p>
        </w:tc>
      </w:tr>
      <w:tr>
        <w:trPr>
          <w:cantSplit/>
        </w:trPr>
        <w:tc>
          <w:tcPr>
            <w:tcW w:type="dxa" w:w="2232"/>
            <w:tcMar>
              <w:top w:w="70" w:type="dxa"/>
              <w:start w:w="100" w:type="dxa"/>
              <w:bottom w:w="70" w:type="dxa"/>
              <w:end w:w="100" w:type="dxa"/>
            </w:tcMar>
            <w:vAlign w:val="top"/>
            <w:shd w:fill="FAF8F6"/>
          </w:tcPr>
          <w:p>
            <w:pPr>
              <w:spacing w:after="40"/>
            </w:pPr>
            <w:r>
              <w:rPr>
                <w:sz w:val="16"/>
              </w:rPr>
              <w:t>Protocol</w:t>
            </w:r>
          </w:p>
        </w:tc>
        <w:tc>
          <w:tcPr>
            <w:tcW w:type="dxa" w:w="7128"/>
            <w:tcMar>
              <w:top w:w="70" w:type="dxa"/>
              <w:start w:w="100" w:type="dxa"/>
              <w:bottom w:w="70" w:type="dxa"/>
              <w:end w:w="100" w:type="dxa"/>
            </w:tcMar>
            <w:vAlign w:val="top"/>
            <w:shd w:fill="FAF8F6"/>
          </w:tcPr>
          <w:p>
            <w:pPr>
              <w:spacing w:after="40"/>
            </w:pPr>
            <w:r>
              <w:rPr>
                <w:sz w:val="16"/>
              </w:rPr>
              <w:t>Verified rules and practices governing precedence, address, ceremony and official/social interaction.</w:t>
            </w:r>
          </w:p>
        </w:tc>
      </w:tr>
      <w:tr>
        <w:trPr>
          <w:cantSplit/>
        </w:trPr>
        <w:tc>
          <w:tcPr>
            <w:tcW w:type="dxa" w:w="2232"/>
            <w:tcMar>
              <w:top w:w="70" w:type="dxa"/>
              <w:start w:w="100" w:type="dxa"/>
              <w:bottom w:w="70" w:type="dxa"/>
              <w:end w:w="100" w:type="dxa"/>
            </w:tcMar>
            <w:vAlign w:val="top"/>
          </w:tcPr>
          <w:p>
            <w:pPr>
              <w:spacing w:after="40"/>
            </w:pPr>
            <w:r>
              <w:rPr>
                <w:sz w:val="16"/>
              </w:rPr>
              <w:t>Event scope</w:t>
            </w:r>
          </w:p>
        </w:tc>
        <w:tc>
          <w:tcPr>
            <w:tcW w:type="dxa" w:w="7128"/>
            <w:tcMar>
              <w:top w:w="70" w:type="dxa"/>
              <w:start w:w="100" w:type="dxa"/>
              <w:bottom w:w="70" w:type="dxa"/>
              <w:end w:w="100" w:type="dxa"/>
            </w:tcMar>
            <w:vAlign w:val="top"/>
          </w:tcPr>
          <w:p>
            <w:pPr>
              <w:spacing w:after="40"/>
            </w:pPr>
            <w:r>
              <w:rPr>
                <w:sz w:val="16"/>
              </w:rPr>
              <w:t>The access and data boundary for one event or explicitly connected programme.</w:t>
            </w:r>
          </w:p>
        </w:tc>
      </w:tr>
      <w:tr>
        <w:trPr>
          <w:cantSplit/>
        </w:trPr>
        <w:tc>
          <w:tcPr>
            <w:tcW w:type="dxa" w:w="2232"/>
            <w:tcMar>
              <w:top w:w="70" w:type="dxa"/>
              <w:start w:w="100" w:type="dxa"/>
              <w:bottom w:w="70" w:type="dxa"/>
              <w:end w:w="100" w:type="dxa"/>
            </w:tcMar>
            <w:vAlign w:val="top"/>
            <w:shd w:fill="FAF8F6"/>
          </w:tcPr>
          <w:p>
            <w:pPr>
              <w:spacing w:after="40"/>
            </w:pPr>
            <w:r>
              <w:rPr>
                <w:sz w:val="16"/>
              </w:rPr>
              <w:t>Cross-event memory</w:t>
            </w:r>
          </w:p>
        </w:tc>
        <w:tc>
          <w:tcPr>
            <w:tcW w:type="dxa" w:w="7128"/>
            <w:tcMar>
              <w:top w:w="70" w:type="dxa"/>
              <w:start w:w="100" w:type="dxa"/>
              <w:bottom w:w="70" w:type="dxa"/>
              <w:end w:w="100" w:type="dxa"/>
            </w:tcMar>
            <w:vAlign w:val="top"/>
            <w:shd w:fill="FAF8F6"/>
          </w:tcPr>
          <w:p>
            <w:pPr>
              <w:spacing w:after="40"/>
            </w:pPr>
            <w:r>
              <w:rPr>
                <w:sz w:val="16"/>
              </w:rPr>
              <w:t>Permissioned reusable information held separately from individual event operations.</w:t>
            </w:r>
          </w:p>
        </w:tc>
      </w:tr>
      <w:tr>
        <w:trPr>
          <w:cantSplit/>
        </w:trPr>
        <w:tc>
          <w:tcPr>
            <w:tcW w:type="dxa" w:w="2232"/>
            <w:tcMar>
              <w:top w:w="70" w:type="dxa"/>
              <w:start w:w="100" w:type="dxa"/>
              <w:bottom w:w="70" w:type="dxa"/>
              <w:end w:w="100" w:type="dxa"/>
            </w:tcMar>
            <w:vAlign w:val="top"/>
          </w:tcPr>
          <w:p>
            <w:pPr>
              <w:spacing w:after="40"/>
            </w:pPr>
            <w:r>
              <w:rPr>
                <w:sz w:val="16"/>
              </w:rPr>
              <w:t>Intelligence</w:t>
            </w:r>
          </w:p>
        </w:tc>
        <w:tc>
          <w:tcPr>
            <w:tcW w:type="dxa" w:w="7128"/>
            <w:tcMar>
              <w:top w:w="70" w:type="dxa"/>
              <w:start w:w="100" w:type="dxa"/>
              <w:bottom w:w="70" w:type="dxa"/>
              <w:end w:w="100" w:type="dxa"/>
            </w:tcMar>
            <w:vAlign w:val="top"/>
          </w:tcPr>
          <w:p>
            <w:pPr>
              <w:spacing w:after="40"/>
            </w:pPr>
            <w:r>
              <w:rPr>
                <w:sz w:val="16"/>
              </w:rPr>
              <w:t>Explainable analysis that guides a human decision; not an opaque autonomous judgment.</w:t>
            </w:r>
          </w:p>
        </w:tc>
      </w:tr>
      <w:tr>
        <w:trPr>
          <w:cantSplit/>
        </w:trPr>
        <w:tc>
          <w:tcPr>
            <w:tcW w:type="dxa" w:w="2232"/>
            <w:tcMar>
              <w:top w:w="70" w:type="dxa"/>
              <w:start w:w="100" w:type="dxa"/>
              <w:bottom w:w="70" w:type="dxa"/>
              <w:end w:w="100" w:type="dxa"/>
            </w:tcMar>
            <w:vAlign w:val="top"/>
            <w:shd w:fill="FAF8F6"/>
          </w:tcPr>
          <w:p>
            <w:pPr>
              <w:spacing w:after="40"/>
            </w:pPr>
            <w:r>
              <w:rPr>
                <w:sz w:val="16"/>
              </w:rPr>
              <w:t>Readiness</w:t>
            </w:r>
          </w:p>
        </w:tc>
        <w:tc>
          <w:tcPr>
            <w:tcW w:type="dxa" w:w="7128"/>
            <w:tcMar>
              <w:top w:w="70" w:type="dxa"/>
              <w:start w:w="100" w:type="dxa"/>
              <w:bottom w:w="70" w:type="dxa"/>
              <w:end w:w="100" w:type="dxa"/>
            </w:tcMar>
            <w:vAlign w:val="top"/>
            <w:shd w:fill="FAF8F6"/>
          </w:tcPr>
          <w:p>
            <w:pPr>
              <w:spacing w:after="40"/>
            </w:pPr>
            <w:r>
              <w:rPr>
                <w:sz w:val="16"/>
              </w:rPr>
              <w:t>Evidence that required people, facts, permissions, plans, suppliers, systems and fallbacks meet the approved threshold.</w:t>
            </w:r>
          </w:p>
        </w:tc>
      </w:tr>
    </w:tbl>
    <w:p>
      <w:pPr>
        <w:spacing w:after="20"/>
      </w:pPr>
    </w:p>
    <w:p>
      <w:pPr>
        <w:pStyle w:val="Heading1"/>
        <w:keepNext/>
      </w:pPr>
      <w:r>
        <w:t>Appendix E — External sources and authority notes</w:t>
      </w:r>
    </w:p>
    <w:p>
      <w:r>
        <w:t>External facts in this plan were checked against the following sources on 3 September 2026. Links are provided here, at the end, by instruction. These sources inform the draft but do not replace advice on Maison Doclar’s facts. Competitor sites support only their public self-description; they do not prove comparative quality, pricing, clients or capacity.</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rPr>
          <w:tblHeader w:val="true"/>
        </w:trPr>
        <w:tc>
          <w:tcPr>
            <w:tcW w:type="dxa" w:w="648"/>
            <w:shd w:fill="B79F85"/>
            <w:tcMar>
              <w:top w:w="70" w:type="dxa"/>
              <w:start w:w="100" w:type="dxa"/>
              <w:bottom w:w="70" w:type="dxa"/>
              <w:end w:w="100" w:type="dxa"/>
            </w:tcMar>
          </w:tcPr>
          <w:p>
            <w:r>
              <w:rPr>
                <w:b/>
                <w:sz w:val="13"/>
              </w:rPr>
              <w:t>Ref</w:t>
            </w:r>
          </w:p>
        </w:tc>
        <w:tc>
          <w:tcPr>
            <w:tcW w:type="dxa" w:w="2232"/>
            <w:shd w:fill="B79F85"/>
            <w:tcMar>
              <w:top w:w="70" w:type="dxa"/>
              <w:start w:w="100" w:type="dxa"/>
              <w:bottom w:w="70" w:type="dxa"/>
              <w:end w:w="100" w:type="dxa"/>
            </w:tcMar>
          </w:tcPr>
          <w:p>
            <w:r>
              <w:rPr>
                <w:b/>
                <w:sz w:val="13"/>
              </w:rPr>
              <w:t>Source</w:t>
            </w:r>
          </w:p>
        </w:tc>
        <w:tc>
          <w:tcPr>
            <w:tcW w:type="dxa" w:w="3960"/>
            <w:shd w:fill="B79F85"/>
            <w:tcMar>
              <w:top w:w="70" w:type="dxa"/>
              <w:start w:w="100" w:type="dxa"/>
              <w:bottom w:w="70" w:type="dxa"/>
              <w:end w:w="100" w:type="dxa"/>
            </w:tcMar>
          </w:tcPr>
          <w:p>
            <w:r>
              <w:rPr>
                <w:b/>
                <w:sz w:val="13"/>
              </w:rPr>
              <w:t>Use in this draft</w:t>
            </w:r>
          </w:p>
        </w:tc>
        <w:tc>
          <w:tcPr>
            <w:tcW w:type="dxa" w:w="2664"/>
            <w:shd w:fill="B79F85"/>
            <w:tcMar>
              <w:top w:w="70" w:type="dxa"/>
              <w:start w:w="100" w:type="dxa"/>
              <w:bottom w:w="70" w:type="dxa"/>
              <w:end w:w="100" w:type="dxa"/>
            </w:tcMar>
          </w:tcPr>
          <w:p>
            <w:r>
              <w:rPr>
                <w:b/>
                <w:sz w:val="13"/>
              </w:rPr>
              <w:t>URL</w:t>
            </w:r>
          </w:p>
        </w:tc>
      </w:tr>
      <w:tr>
        <w:trPr>
          <w:cantSplit/>
        </w:trPr>
        <w:tc>
          <w:tcPr>
            <w:tcW w:type="dxa" w:w="648"/>
            <w:tcMar>
              <w:top w:w="70" w:type="dxa"/>
              <w:start w:w="100" w:type="dxa"/>
              <w:bottom w:w="70" w:type="dxa"/>
              <w:end w:w="100" w:type="dxa"/>
            </w:tcMar>
            <w:vAlign w:val="top"/>
          </w:tcPr>
          <w:p>
            <w:pPr>
              <w:spacing w:after="40"/>
            </w:pPr>
            <w:r>
              <w:rPr>
                <w:sz w:val="13"/>
              </w:rPr>
              <w:t>S1</w:t>
            </w:r>
          </w:p>
        </w:tc>
        <w:tc>
          <w:tcPr>
            <w:tcW w:type="dxa" w:w="2232"/>
            <w:tcMar>
              <w:top w:w="70" w:type="dxa"/>
              <w:start w:w="100" w:type="dxa"/>
              <w:bottom w:w="70" w:type="dxa"/>
              <w:end w:w="100" w:type="dxa"/>
            </w:tcMar>
            <w:vAlign w:val="top"/>
          </w:tcPr>
          <w:p>
            <w:pPr>
              <w:spacing w:after="40"/>
            </w:pPr>
            <w:r>
              <w:rPr>
                <w:sz w:val="13"/>
              </w:rPr>
              <w:t>Nigeria Data Protection Commission</w:t>
            </w:r>
          </w:p>
        </w:tc>
        <w:tc>
          <w:tcPr>
            <w:tcW w:type="dxa" w:w="3960"/>
            <w:tcMar>
              <w:top w:w="70" w:type="dxa"/>
              <w:start w:w="100" w:type="dxa"/>
              <w:bottom w:w="70" w:type="dxa"/>
              <w:end w:w="100" w:type="dxa"/>
            </w:tcMar>
            <w:vAlign w:val="top"/>
          </w:tcPr>
          <w:p>
            <w:pPr>
              <w:spacing w:after="40"/>
            </w:pPr>
            <w:r>
              <w:rPr>
                <w:sz w:val="13"/>
              </w:rPr>
              <w:t>Nigeria Data Protection Act guidance, data-subject rights, registration/compliance resources and breach reporting.</w:t>
            </w:r>
          </w:p>
        </w:tc>
        <w:tc>
          <w:tcPr>
            <w:tcW w:type="dxa" w:w="2664"/>
            <w:tcMar>
              <w:top w:w="70" w:type="dxa"/>
              <w:start w:w="100" w:type="dxa"/>
              <w:bottom w:w="70" w:type="dxa"/>
              <w:end w:w="100" w:type="dxa"/>
            </w:tcMar>
            <w:vAlign w:val="top"/>
          </w:tcPr>
          <w:p>
            <w:pPr>
              <w:spacing w:after="40"/>
            </w:pPr>
            <w:r>
              <w:rPr>
                <w:sz w:val="13"/>
              </w:rPr>
              <w:t>https://www.ndpc.gov.ng/</w:t>
            </w:r>
          </w:p>
        </w:tc>
      </w:tr>
      <w:tr>
        <w:trPr>
          <w:cantSplit/>
        </w:trPr>
        <w:tc>
          <w:tcPr>
            <w:tcW w:type="dxa" w:w="648"/>
            <w:tcMar>
              <w:top w:w="70" w:type="dxa"/>
              <w:start w:w="100" w:type="dxa"/>
              <w:bottom w:w="70" w:type="dxa"/>
              <w:end w:w="100" w:type="dxa"/>
            </w:tcMar>
            <w:vAlign w:val="top"/>
            <w:shd w:fill="FAF8F6"/>
          </w:tcPr>
          <w:p>
            <w:pPr>
              <w:spacing w:after="40"/>
            </w:pPr>
            <w:r>
              <w:rPr>
                <w:sz w:val="13"/>
              </w:rPr>
              <w:t>S2</w:t>
            </w:r>
          </w:p>
        </w:tc>
        <w:tc>
          <w:tcPr>
            <w:tcW w:type="dxa" w:w="2232"/>
            <w:tcMar>
              <w:top w:w="70" w:type="dxa"/>
              <w:start w:w="100" w:type="dxa"/>
              <w:bottom w:w="70" w:type="dxa"/>
              <w:end w:w="100" w:type="dxa"/>
            </w:tcMar>
            <w:vAlign w:val="top"/>
            <w:shd w:fill="FAF8F6"/>
          </w:tcPr>
          <w:p>
            <w:pPr>
              <w:spacing w:after="40"/>
            </w:pPr>
            <w:r>
              <w:rPr>
                <w:sz w:val="13"/>
              </w:rPr>
              <w:t>Nigeria Data Protection Commission — FAQs</w:t>
            </w:r>
          </w:p>
        </w:tc>
        <w:tc>
          <w:tcPr>
            <w:tcW w:type="dxa" w:w="3960"/>
            <w:tcMar>
              <w:top w:w="70" w:type="dxa"/>
              <w:start w:w="100" w:type="dxa"/>
              <w:bottom w:w="70" w:type="dxa"/>
              <w:end w:w="100" w:type="dxa"/>
            </w:tcMar>
            <w:vAlign w:val="top"/>
            <w:shd w:fill="FAF8F6"/>
          </w:tcPr>
          <w:p>
            <w:pPr>
              <w:spacing w:after="40"/>
            </w:pPr>
            <w:r>
              <w:rPr>
                <w:sz w:val="13"/>
              </w:rPr>
              <w:t>General compliance explanations and administrative-penalty framework; verify current classification and duties with a licensed DPCO/counsel.</w:t>
            </w:r>
          </w:p>
        </w:tc>
        <w:tc>
          <w:tcPr>
            <w:tcW w:type="dxa" w:w="2664"/>
            <w:tcMar>
              <w:top w:w="70" w:type="dxa"/>
              <w:start w:w="100" w:type="dxa"/>
              <w:bottom w:w="70" w:type="dxa"/>
              <w:end w:w="100" w:type="dxa"/>
            </w:tcMar>
            <w:vAlign w:val="top"/>
            <w:shd w:fill="FAF8F6"/>
          </w:tcPr>
          <w:p>
            <w:pPr>
              <w:spacing w:after="40"/>
            </w:pPr>
            <w:r>
              <w:rPr>
                <w:sz w:val="13"/>
              </w:rPr>
              <w:t>https://www.ndpc.gov.ng/faqs/</w:t>
            </w:r>
          </w:p>
        </w:tc>
      </w:tr>
      <w:tr>
        <w:trPr>
          <w:cantSplit/>
        </w:trPr>
        <w:tc>
          <w:tcPr>
            <w:tcW w:type="dxa" w:w="648"/>
            <w:tcMar>
              <w:top w:w="70" w:type="dxa"/>
              <w:start w:w="100" w:type="dxa"/>
              <w:bottom w:w="70" w:type="dxa"/>
              <w:end w:w="100" w:type="dxa"/>
            </w:tcMar>
            <w:vAlign w:val="top"/>
          </w:tcPr>
          <w:p>
            <w:pPr>
              <w:spacing w:after="40"/>
            </w:pPr>
            <w:r>
              <w:rPr>
                <w:sz w:val="13"/>
              </w:rPr>
              <w:t>S3</w:t>
            </w:r>
          </w:p>
        </w:tc>
        <w:tc>
          <w:tcPr>
            <w:tcW w:type="dxa" w:w="2232"/>
            <w:tcMar>
              <w:top w:w="70" w:type="dxa"/>
              <w:start w:w="100" w:type="dxa"/>
              <w:bottom w:w="70" w:type="dxa"/>
              <w:end w:w="100" w:type="dxa"/>
            </w:tcMar>
            <w:vAlign w:val="top"/>
          </w:tcPr>
          <w:p>
            <w:pPr>
              <w:spacing w:after="40"/>
            </w:pPr>
            <w:r>
              <w:rPr>
                <w:sz w:val="13"/>
              </w:rPr>
              <w:t>Corporate Affairs Commission</w:t>
            </w:r>
          </w:p>
        </w:tc>
        <w:tc>
          <w:tcPr>
            <w:tcW w:type="dxa" w:w="3960"/>
            <w:tcMar>
              <w:top w:w="70" w:type="dxa"/>
              <w:start w:w="100" w:type="dxa"/>
              <w:bottom w:w="70" w:type="dxa"/>
              <w:end w:w="100" w:type="dxa"/>
            </w:tcMar>
            <w:vAlign w:val="top"/>
          </w:tcPr>
          <w:p>
            <w:pPr>
              <w:spacing w:after="40"/>
            </w:pPr>
            <w:r>
              <w:rPr>
                <w:sz w:val="13"/>
              </w:rPr>
              <w:t>Company registration, annual compliance and beneficial-ownership/PSC services.</w:t>
            </w:r>
          </w:p>
        </w:tc>
        <w:tc>
          <w:tcPr>
            <w:tcW w:type="dxa" w:w="2664"/>
            <w:tcMar>
              <w:top w:w="70" w:type="dxa"/>
              <w:start w:w="100" w:type="dxa"/>
              <w:bottom w:w="70" w:type="dxa"/>
              <w:end w:w="100" w:type="dxa"/>
            </w:tcMar>
            <w:vAlign w:val="top"/>
          </w:tcPr>
          <w:p>
            <w:pPr>
              <w:spacing w:after="40"/>
            </w:pPr>
            <w:r>
              <w:rPr>
                <w:sz w:val="13"/>
              </w:rPr>
              <w:t>https://www.cac.gov.ng/</w:t>
            </w:r>
          </w:p>
        </w:tc>
      </w:tr>
      <w:tr>
        <w:trPr>
          <w:cantSplit/>
        </w:trPr>
        <w:tc>
          <w:tcPr>
            <w:tcW w:type="dxa" w:w="648"/>
            <w:tcMar>
              <w:top w:w="70" w:type="dxa"/>
              <w:start w:w="100" w:type="dxa"/>
              <w:bottom w:w="70" w:type="dxa"/>
              <w:end w:w="100" w:type="dxa"/>
            </w:tcMar>
            <w:vAlign w:val="top"/>
            <w:shd w:fill="FAF8F6"/>
          </w:tcPr>
          <w:p>
            <w:pPr>
              <w:spacing w:after="40"/>
            </w:pPr>
            <w:r>
              <w:rPr>
                <w:sz w:val="13"/>
              </w:rPr>
              <w:t>S4</w:t>
            </w:r>
          </w:p>
        </w:tc>
        <w:tc>
          <w:tcPr>
            <w:tcW w:type="dxa" w:w="2232"/>
            <w:tcMar>
              <w:top w:w="70" w:type="dxa"/>
              <w:start w:w="100" w:type="dxa"/>
              <w:bottom w:w="70" w:type="dxa"/>
              <w:end w:w="100" w:type="dxa"/>
            </w:tcMar>
            <w:vAlign w:val="top"/>
            <w:shd w:fill="FAF8F6"/>
          </w:tcPr>
          <w:p>
            <w:pPr>
              <w:spacing w:after="40"/>
            </w:pPr>
            <w:r>
              <w:rPr>
                <w:sz w:val="13"/>
              </w:rPr>
              <w:t>CAC Beneficial Ownership Register</w:t>
            </w:r>
          </w:p>
        </w:tc>
        <w:tc>
          <w:tcPr>
            <w:tcW w:type="dxa" w:w="3960"/>
            <w:tcMar>
              <w:top w:w="70" w:type="dxa"/>
              <w:start w:w="100" w:type="dxa"/>
              <w:bottom w:w="70" w:type="dxa"/>
              <w:end w:w="100" w:type="dxa"/>
            </w:tcMar>
            <w:vAlign w:val="top"/>
            <w:shd w:fill="FAF8F6"/>
          </w:tcPr>
          <w:p>
            <w:pPr>
              <w:spacing w:after="40"/>
            </w:pPr>
            <w:r>
              <w:rPr>
                <w:sz w:val="13"/>
              </w:rPr>
              <w:t>Persons with Significant Control register.</w:t>
            </w:r>
          </w:p>
        </w:tc>
        <w:tc>
          <w:tcPr>
            <w:tcW w:type="dxa" w:w="2664"/>
            <w:tcMar>
              <w:top w:w="70" w:type="dxa"/>
              <w:start w:w="100" w:type="dxa"/>
              <w:bottom w:w="70" w:type="dxa"/>
              <w:end w:w="100" w:type="dxa"/>
            </w:tcMar>
            <w:vAlign w:val="top"/>
            <w:shd w:fill="FAF8F6"/>
          </w:tcPr>
          <w:p>
            <w:pPr>
              <w:spacing w:after="40"/>
            </w:pPr>
            <w:r>
              <w:rPr>
                <w:sz w:val="13"/>
              </w:rPr>
              <w:t>https://bor.cac.gov.ng/</w:t>
            </w:r>
          </w:p>
        </w:tc>
      </w:tr>
      <w:tr>
        <w:trPr>
          <w:cantSplit/>
        </w:trPr>
        <w:tc>
          <w:tcPr>
            <w:tcW w:type="dxa" w:w="648"/>
            <w:tcMar>
              <w:top w:w="70" w:type="dxa"/>
              <w:start w:w="100" w:type="dxa"/>
              <w:bottom w:w="70" w:type="dxa"/>
              <w:end w:w="100" w:type="dxa"/>
            </w:tcMar>
            <w:vAlign w:val="top"/>
          </w:tcPr>
          <w:p>
            <w:pPr>
              <w:spacing w:after="40"/>
            </w:pPr>
            <w:r>
              <w:rPr>
                <w:sz w:val="13"/>
              </w:rPr>
              <w:t>S5</w:t>
            </w:r>
          </w:p>
        </w:tc>
        <w:tc>
          <w:tcPr>
            <w:tcW w:type="dxa" w:w="2232"/>
            <w:tcMar>
              <w:top w:w="70" w:type="dxa"/>
              <w:start w:w="100" w:type="dxa"/>
              <w:bottom w:w="70" w:type="dxa"/>
              <w:end w:w="100" w:type="dxa"/>
            </w:tcMar>
            <w:vAlign w:val="top"/>
          </w:tcPr>
          <w:p>
            <w:pPr>
              <w:spacing w:after="40"/>
            </w:pPr>
            <w:r>
              <w:rPr>
                <w:sz w:val="13"/>
              </w:rPr>
              <w:t>Nigeria Revenue Service</w:t>
            </w:r>
          </w:p>
        </w:tc>
        <w:tc>
          <w:tcPr>
            <w:tcW w:type="dxa" w:w="3960"/>
            <w:tcMar>
              <w:top w:w="70" w:type="dxa"/>
              <w:start w:w="100" w:type="dxa"/>
              <w:bottom w:w="70" w:type="dxa"/>
              <w:end w:w="100" w:type="dxa"/>
            </w:tcMar>
            <w:vAlign w:val="top"/>
          </w:tcPr>
          <w:p>
            <w:pPr>
              <w:spacing w:after="40"/>
            </w:pPr>
            <w:r>
              <w:rPr>
                <w:sz w:val="13"/>
              </w:rPr>
              <w:t>Current federal tax administration starting point; the 2025 tax-law reforms took effect in 2026, so qualified tax review is required.</w:t>
            </w:r>
          </w:p>
        </w:tc>
        <w:tc>
          <w:tcPr>
            <w:tcW w:type="dxa" w:w="2664"/>
            <w:tcMar>
              <w:top w:w="70" w:type="dxa"/>
              <w:start w:w="100" w:type="dxa"/>
              <w:bottom w:w="70" w:type="dxa"/>
              <w:end w:w="100" w:type="dxa"/>
            </w:tcMar>
            <w:vAlign w:val="top"/>
          </w:tcPr>
          <w:p>
            <w:pPr>
              <w:spacing w:after="40"/>
            </w:pPr>
            <w:r>
              <w:rPr>
                <w:sz w:val="13"/>
              </w:rPr>
              <w:t>https://www.nrs.gov.ng/</w:t>
            </w:r>
          </w:p>
        </w:tc>
      </w:tr>
      <w:tr>
        <w:trPr>
          <w:cantSplit/>
        </w:trPr>
        <w:tc>
          <w:tcPr>
            <w:tcW w:type="dxa" w:w="648"/>
            <w:tcMar>
              <w:top w:w="70" w:type="dxa"/>
              <w:start w:w="100" w:type="dxa"/>
              <w:bottom w:w="70" w:type="dxa"/>
              <w:end w:w="100" w:type="dxa"/>
            </w:tcMar>
            <w:vAlign w:val="top"/>
            <w:shd w:fill="FAF8F6"/>
          </w:tcPr>
          <w:p>
            <w:pPr>
              <w:spacing w:after="40"/>
            </w:pPr>
            <w:r>
              <w:rPr>
                <w:sz w:val="13"/>
              </w:rPr>
              <w:t>S6</w:t>
            </w:r>
          </w:p>
        </w:tc>
        <w:tc>
          <w:tcPr>
            <w:tcW w:type="dxa" w:w="2232"/>
            <w:tcMar>
              <w:top w:w="70" w:type="dxa"/>
              <w:start w:w="100" w:type="dxa"/>
              <w:bottom w:w="70" w:type="dxa"/>
              <w:end w:w="100" w:type="dxa"/>
            </w:tcMar>
            <w:vAlign w:val="top"/>
            <w:shd w:fill="FAF8F6"/>
          </w:tcPr>
          <w:p>
            <w:pPr>
              <w:spacing w:after="40"/>
            </w:pPr>
            <w:r>
              <w:rPr>
                <w:sz w:val="13"/>
              </w:rPr>
              <w:t>Nigeria Industrial Property Office</w:t>
            </w:r>
          </w:p>
        </w:tc>
        <w:tc>
          <w:tcPr>
            <w:tcW w:type="dxa" w:w="3960"/>
            <w:tcMar>
              <w:top w:w="70" w:type="dxa"/>
              <w:start w:w="100" w:type="dxa"/>
              <w:bottom w:w="70" w:type="dxa"/>
              <w:end w:w="100" w:type="dxa"/>
            </w:tcMar>
            <w:vAlign w:val="top"/>
            <w:shd w:fill="FAF8F6"/>
          </w:tcPr>
          <w:p>
            <w:pPr>
              <w:spacing w:after="40"/>
            </w:pPr>
            <w:r>
              <w:rPr>
                <w:sz w:val="13"/>
              </w:rPr>
              <w:t>Official trademarks, patents and designs registration authority/platform.</w:t>
            </w:r>
          </w:p>
        </w:tc>
        <w:tc>
          <w:tcPr>
            <w:tcW w:type="dxa" w:w="2664"/>
            <w:tcMar>
              <w:top w:w="70" w:type="dxa"/>
              <w:start w:w="100" w:type="dxa"/>
              <w:bottom w:w="70" w:type="dxa"/>
              <w:end w:w="100" w:type="dxa"/>
            </w:tcMar>
            <w:vAlign w:val="top"/>
            <w:shd w:fill="FAF8F6"/>
          </w:tcPr>
          <w:p>
            <w:pPr>
              <w:spacing w:after="40"/>
            </w:pPr>
            <w:r>
              <w:rPr>
                <w:sz w:val="13"/>
              </w:rPr>
              <w:t>https://iponigeria.fmiti.gov.ng/</w:t>
            </w:r>
          </w:p>
        </w:tc>
      </w:tr>
      <w:tr>
        <w:trPr>
          <w:cantSplit/>
        </w:trPr>
        <w:tc>
          <w:tcPr>
            <w:tcW w:type="dxa" w:w="648"/>
            <w:tcMar>
              <w:top w:w="70" w:type="dxa"/>
              <w:start w:w="100" w:type="dxa"/>
              <w:bottom w:w="70" w:type="dxa"/>
              <w:end w:w="100" w:type="dxa"/>
            </w:tcMar>
            <w:vAlign w:val="top"/>
          </w:tcPr>
          <w:p>
            <w:pPr>
              <w:spacing w:after="40"/>
            </w:pPr>
            <w:r>
              <w:rPr>
                <w:sz w:val="13"/>
              </w:rPr>
              <w:t>S7</w:t>
            </w:r>
          </w:p>
        </w:tc>
        <w:tc>
          <w:tcPr>
            <w:tcW w:type="dxa" w:w="2232"/>
            <w:tcMar>
              <w:top w:w="70" w:type="dxa"/>
              <w:start w:w="100" w:type="dxa"/>
              <w:bottom w:w="70" w:type="dxa"/>
              <w:end w:w="100" w:type="dxa"/>
            </w:tcMar>
            <w:vAlign w:val="top"/>
          </w:tcPr>
          <w:p>
            <w:pPr>
              <w:spacing w:after="40"/>
            </w:pPr>
            <w:r>
              <w:rPr>
                <w:sz w:val="13"/>
              </w:rPr>
              <w:t>Nigerian Copyright Commission</w:t>
            </w:r>
          </w:p>
        </w:tc>
        <w:tc>
          <w:tcPr>
            <w:tcW w:type="dxa" w:w="3960"/>
            <w:tcMar>
              <w:top w:w="70" w:type="dxa"/>
              <w:start w:w="100" w:type="dxa"/>
              <w:bottom w:w="70" w:type="dxa"/>
              <w:end w:w="100" w:type="dxa"/>
            </w:tcMar>
            <w:vAlign w:val="top"/>
          </w:tcPr>
          <w:p>
            <w:pPr>
              <w:spacing w:after="40"/>
            </w:pPr>
            <w:r>
              <w:rPr>
                <w:sz w:val="13"/>
              </w:rPr>
              <w:t>Copyright administration and voluntary e-registration information.</w:t>
            </w:r>
          </w:p>
        </w:tc>
        <w:tc>
          <w:tcPr>
            <w:tcW w:type="dxa" w:w="2664"/>
            <w:tcMar>
              <w:top w:w="70" w:type="dxa"/>
              <w:start w:w="100" w:type="dxa"/>
              <w:bottom w:w="70" w:type="dxa"/>
              <w:end w:w="100" w:type="dxa"/>
            </w:tcMar>
            <w:vAlign w:val="top"/>
          </w:tcPr>
          <w:p>
            <w:pPr>
              <w:spacing w:after="40"/>
            </w:pPr>
            <w:r>
              <w:rPr>
                <w:sz w:val="13"/>
              </w:rPr>
              <w:t>https://copyright.gov.ng/</w:t>
            </w:r>
          </w:p>
        </w:tc>
      </w:tr>
      <w:tr>
        <w:trPr>
          <w:cantSplit/>
        </w:trPr>
        <w:tc>
          <w:tcPr>
            <w:tcW w:type="dxa" w:w="648"/>
            <w:tcMar>
              <w:top w:w="70" w:type="dxa"/>
              <w:start w:w="100" w:type="dxa"/>
              <w:bottom w:w="70" w:type="dxa"/>
              <w:end w:w="100" w:type="dxa"/>
            </w:tcMar>
            <w:vAlign w:val="top"/>
            <w:shd w:fill="FAF8F6"/>
          </w:tcPr>
          <w:p>
            <w:pPr>
              <w:spacing w:after="40"/>
            </w:pPr>
            <w:r>
              <w:rPr>
                <w:sz w:val="13"/>
              </w:rPr>
              <w:t>S8</w:t>
            </w:r>
          </w:p>
        </w:tc>
        <w:tc>
          <w:tcPr>
            <w:tcW w:type="dxa" w:w="2232"/>
            <w:tcMar>
              <w:top w:w="70" w:type="dxa"/>
              <w:start w:w="100" w:type="dxa"/>
              <w:bottom w:w="70" w:type="dxa"/>
              <w:end w:w="100" w:type="dxa"/>
            </w:tcMar>
            <w:vAlign w:val="top"/>
            <w:shd w:fill="FAF8F6"/>
          </w:tcPr>
          <w:p>
            <w:pPr>
              <w:spacing w:after="40"/>
            </w:pPr>
            <w:r>
              <w:rPr>
                <w:sz w:val="13"/>
              </w:rPr>
              <w:t>Elizabeth R Events</w:t>
            </w:r>
          </w:p>
        </w:tc>
        <w:tc>
          <w:tcPr>
            <w:tcW w:type="dxa" w:w="3960"/>
            <w:tcMar>
              <w:top w:w="70" w:type="dxa"/>
              <w:start w:w="100" w:type="dxa"/>
              <w:bottom w:w="70" w:type="dxa"/>
              <w:end w:w="100" w:type="dxa"/>
            </w:tcMar>
            <w:vAlign w:val="top"/>
            <w:shd w:fill="FAF8F6"/>
          </w:tcPr>
          <w:p>
            <w:pPr>
              <w:spacing w:after="40"/>
            </w:pPr>
            <w:r>
              <w:rPr>
                <w:sz w:val="13"/>
              </w:rPr>
              <w:t>Public positioning as an established Nigerian bespoke event-management company; founded 2003 according to its site.</w:t>
            </w:r>
          </w:p>
        </w:tc>
        <w:tc>
          <w:tcPr>
            <w:tcW w:type="dxa" w:w="2664"/>
            <w:tcMar>
              <w:top w:w="70" w:type="dxa"/>
              <w:start w:w="100" w:type="dxa"/>
              <w:bottom w:w="70" w:type="dxa"/>
              <w:end w:w="100" w:type="dxa"/>
            </w:tcMar>
            <w:vAlign w:val="top"/>
            <w:shd w:fill="FAF8F6"/>
          </w:tcPr>
          <w:p>
            <w:pPr>
              <w:spacing w:after="40"/>
            </w:pPr>
            <w:r>
              <w:rPr>
                <w:sz w:val="13"/>
              </w:rPr>
              <w:t>https://elizabethrevents.ng/</w:t>
            </w:r>
          </w:p>
        </w:tc>
      </w:tr>
      <w:tr>
        <w:trPr>
          <w:cantSplit/>
        </w:trPr>
        <w:tc>
          <w:tcPr>
            <w:tcW w:type="dxa" w:w="648"/>
            <w:tcMar>
              <w:top w:w="70" w:type="dxa"/>
              <w:start w:w="100" w:type="dxa"/>
              <w:bottom w:w="70" w:type="dxa"/>
              <w:end w:w="100" w:type="dxa"/>
            </w:tcMar>
            <w:vAlign w:val="top"/>
          </w:tcPr>
          <w:p>
            <w:pPr>
              <w:spacing w:after="40"/>
            </w:pPr>
            <w:r>
              <w:rPr>
                <w:sz w:val="13"/>
              </w:rPr>
              <w:t>S9</w:t>
            </w:r>
          </w:p>
        </w:tc>
        <w:tc>
          <w:tcPr>
            <w:tcW w:type="dxa" w:w="2232"/>
            <w:tcMar>
              <w:top w:w="70" w:type="dxa"/>
              <w:start w:w="100" w:type="dxa"/>
              <w:bottom w:w="70" w:type="dxa"/>
              <w:end w:w="100" w:type="dxa"/>
            </w:tcMar>
            <w:vAlign w:val="top"/>
          </w:tcPr>
          <w:p>
            <w:pPr>
              <w:spacing w:after="40"/>
            </w:pPr>
            <w:r>
              <w:rPr>
                <w:sz w:val="13"/>
              </w:rPr>
              <w:t>Zapphaire Events</w:t>
            </w:r>
          </w:p>
        </w:tc>
        <w:tc>
          <w:tcPr>
            <w:tcW w:type="dxa" w:w="3960"/>
            <w:tcMar>
              <w:top w:w="70" w:type="dxa"/>
              <w:start w:w="100" w:type="dxa"/>
              <w:bottom w:w="70" w:type="dxa"/>
              <w:end w:w="100" w:type="dxa"/>
            </w:tcMar>
            <w:vAlign w:val="top"/>
          </w:tcPr>
          <w:p>
            <w:pPr>
              <w:spacing w:after="40"/>
            </w:pPr>
            <w:r>
              <w:rPr>
                <w:sz w:val="13"/>
              </w:rPr>
              <w:t>Public positioning in event consultancy, planning, production and management, including high-profile events.</w:t>
            </w:r>
          </w:p>
        </w:tc>
        <w:tc>
          <w:tcPr>
            <w:tcW w:type="dxa" w:w="2664"/>
            <w:tcMar>
              <w:top w:w="70" w:type="dxa"/>
              <w:start w:w="100" w:type="dxa"/>
              <w:bottom w:w="70" w:type="dxa"/>
              <w:end w:w="100" w:type="dxa"/>
            </w:tcMar>
            <w:vAlign w:val="top"/>
          </w:tcPr>
          <w:p>
            <w:pPr>
              <w:spacing w:after="40"/>
            </w:pPr>
            <w:r>
              <w:rPr>
                <w:sz w:val="13"/>
              </w:rPr>
              <w:t>https://zapphaireevents.com/</w:t>
            </w:r>
          </w:p>
        </w:tc>
      </w:tr>
      <w:tr>
        <w:trPr>
          <w:cantSplit/>
        </w:trPr>
        <w:tc>
          <w:tcPr>
            <w:tcW w:type="dxa" w:w="648"/>
            <w:tcMar>
              <w:top w:w="70" w:type="dxa"/>
              <w:start w:w="100" w:type="dxa"/>
              <w:bottom w:w="70" w:type="dxa"/>
              <w:end w:w="100" w:type="dxa"/>
            </w:tcMar>
            <w:vAlign w:val="top"/>
            <w:shd w:fill="FAF8F6"/>
          </w:tcPr>
          <w:p>
            <w:pPr>
              <w:spacing w:after="40"/>
            </w:pPr>
            <w:r>
              <w:rPr>
                <w:sz w:val="13"/>
              </w:rPr>
              <w:t>S10</w:t>
            </w:r>
          </w:p>
        </w:tc>
        <w:tc>
          <w:tcPr>
            <w:tcW w:type="dxa" w:w="2232"/>
            <w:tcMar>
              <w:top w:w="70" w:type="dxa"/>
              <w:start w:w="100" w:type="dxa"/>
              <w:bottom w:w="70" w:type="dxa"/>
              <w:end w:w="100" w:type="dxa"/>
            </w:tcMar>
            <w:vAlign w:val="top"/>
            <w:shd w:fill="FAF8F6"/>
          </w:tcPr>
          <w:p>
            <w:pPr>
              <w:spacing w:after="40"/>
            </w:pPr>
            <w:r>
              <w:rPr>
                <w:sz w:val="13"/>
              </w:rPr>
              <w:t>2706 Events</w:t>
            </w:r>
          </w:p>
        </w:tc>
        <w:tc>
          <w:tcPr>
            <w:tcW w:type="dxa" w:w="3960"/>
            <w:tcMar>
              <w:top w:w="70" w:type="dxa"/>
              <w:start w:w="100" w:type="dxa"/>
              <w:bottom w:w="70" w:type="dxa"/>
              <w:end w:w="100" w:type="dxa"/>
            </w:tcMar>
            <w:vAlign w:val="top"/>
            <w:shd w:fill="FAF8F6"/>
          </w:tcPr>
          <w:p>
            <w:pPr>
              <w:spacing w:after="40"/>
            </w:pPr>
            <w:r>
              <w:rPr>
                <w:sz w:val="13"/>
              </w:rPr>
              <w:t>Public positioning around bespoke social, corporate and destination events in Lagos.</w:t>
            </w:r>
          </w:p>
        </w:tc>
        <w:tc>
          <w:tcPr>
            <w:tcW w:type="dxa" w:w="2664"/>
            <w:tcMar>
              <w:top w:w="70" w:type="dxa"/>
              <w:start w:w="100" w:type="dxa"/>
              <w:bottom w:w="70" w:type="dxa"/>
              <w:end w:w="100" w:type="dxa"/>
            </w:tcMar>
            <w:vAlign w:val="top"/>
            <w:shd w:fill="FAF8F6"/>
          </w:tcPr>
          <w:p>
            <w:pPr>
              <w:spacing w:after="40"/>
            </w:pPr>
            <w:r>
              <w:rPr>
                <w:sz w:val="13"/>
              </w:rPr>
              <w:t>https://2706events.com/</w:t>
            </w:r>
          </w:p>
        </w:tc>
      </w:tr>
      <w:tr>
        <w:trPr>
          <w:cantSplit/>
        </w:trPr>
        <w:tc>
          <w:tcPr>
            <w:tcW w:type="dxa" w:w="648"/>
            <w:tcMar>
              <w:top w:w="70" w:type="dxa"/>
              <w:start w:w="100" w:type="dxa"/>
              <w:bottom w:w="70" w:type="dxa"/>
              <w:end w:w="100" w:type="dxa"/>
            </w:tcMar>
            <w:vAlign w:val="top"/>
          </w:tcPr>
          <w:p>
            <w:pPr>
              <w:spacing w:after="40"/>
            </w:pPr>
            <w:r>
              <w:rPr>
                <w:sz w:val="13"/>
              </w:rPr>
              <w:t>S11</w:t>
            </w:r>
          </w:p>
        </w:tc>
        <w:tc>
          <w:tcPr>
            <w:tcW w:type="dxa" w:w="2232"/>
            <w:tcMar>
              <w:top w:w="70" w:type="dxa"/>
              <w:start w:w="100" w:type="dxa"/>
              <w:bottom w:w="70" w:type="dxa"/>
              <w:end w:w="100" w:type="dxa"/>
            </w:tcMar>
            <w:vAlign w:val="top"/>
          </w:tcPr>
          <w:p>
            <w:pPr>
              <w:spacing w:after="40"/>
            </w:pPr>
            <w:r>
              <w:rPr>
                <w:sz w:val="13"/>
              </w:rPr>
              <w:t>Lavida Premium Events</w:t>
            </w:r>
          </w:p>
        </w:tc>
        <w:tc>
          <w:tcPr>
            <w:tcW w:type="dxa" w:w="3960"/>
            <w:tcMar>
              <w:top w:w="70" w:type="dxa"/>
              <w:start w:w="100" w:type="dxa"/>
              <w:bottom w:w="70" w:type="dxa"/>
              <w:end w:w="100" w:type="dxa"/>
            </w:tcMar>
            <w:vAlign w:val="top"/>
          </w:tcPr>
          <w:p>
            <w:pPr>
              <w:spacing w:after="40"/>
            </w:pPr>
            <w:r>
              <w:rPr>
                <w:sz w:val="13"/>
              </w:rPr>
              <w:t>Public positioning around luxury weddings, social and corporate planning in Lagos.</w:t>
            </w:r>
          </w:p>
        </w:tc>
        <w:tc>
          <w:tcPr>
            <w:tcW w:type="dxa" w:w="2664"/>
            <w:tcMar>
              <w:top w:w="70" w:type="dxa"/>
              <w:start w:w="100" w:type="dxa"/>
              <w:bottom w:w="70" w:type="dxa"/>
              <w:end w:w="100" w:type="dxa"/>
            </w:tcMar>
            <w:vAlign w:val="top"/>
          </w:tcPr>
          <w:p>
            <w:pPr>
              <w:spacing w:after="40"/>
            </w:pPr>
            <w:r>
              <w:rPr>
                <w:sz w:val="13"/>
              </w:rPr>
              <w:t>https://lavidapremiumevents.com/</w:t>
            </w:r>
          </w:p>
        </w:tc>
      </w:tr>
      <w:tr>
        <w:trPr>
          <w:cantSplit/>
        </w:trPr>
        <w:tc>
          <w:tcPr>
            <w:tcW w:type="dxa" w:w="648"/>
            <w:tcMar>
              <w:top w:w="70" w:type="dxa"/>
              <w:start w:w="100" w:type="dxa"/>
              <w:bottom w:w="70" w:type="dxa"/>
              <w:end w:w="100" w:type="dxa"/>
            </w:tcMar>
            <w:vAlign w:val="top"/>
            <w:shd w:fill="FAF8F6"/>
          </w:tcPr>
          <w:p>
            <w:pPr>
              <w:spacing w:after="40"/>
            </w:pPr>
            <w:r>
              <w:rPr>
                <w:sz w:val="13"/>
              </w:rPr>
              <w:t>S12</w:t>
            </w:r>
          </w:p>
        </w:tc>
        <w:tc>
          <w:tcPr>
            <w:tcW w:type="dxa" w:w="2232"/>
            <w:tcMar>
              <w:top w:w="70" w:type="dxa"/>
              <w:start w:w="100" w:type="dxa"/>
              <w:bottom w:w="70" w:type="dxa"/>
              <w:end w:w="100" w:type="dxa"/>
            </w:tcMar>
            <w:vAlign w:val="top"/>
            <w:shd w:fill="FAF8F6"/>
          </w:tcPr>
          <w:p>
            <w:pPr>
              <w:spacing w:after="40"/>
            </w:pPr>
            <w:r>
              <w:rPr>
                <w:sz w:val="13"/>
              </w:rPr>
              <w:t>Reuters — Nigeria tax implementation</w:t>
            </w:r>
          </w:p>
        </w:tc>
        <w:tc>
          <w:tcPr>
            <w:tcW w:type="dxa" w:w="3960"/>
            <w:tcMar>
              <w:top w:w="70" w:type="dxa"/>
              <w:start w:w="100" w:type="dxa"/>
              <w:bottom w:w="70" w:type="dxa"/>
              <w:end w:w="100" w:type="dxa"/>
            </w:tcMar>
            <w:vAlign w:val="top"/>
            <w:shd w:fill="FAF8F6"/>
          </w:tcPr>
          <w:p>
            <w:pPr>
              <w:spacing w:after="40"/>
            </w:pPr>
            <w:r>
              <w:rPr>
                <w:sz w:val="13"/>
              </w:rPr>
              <w:t>Contemporary confirmation that Nigeria’s new tax laws took effect on 1 January 2026; use primary legislation and advisers for obligations.</w:t>
            </w:r>
          </w:p>
        </w:tc>
        <w:tc>
          <w:tcPr>
            <w:tcW w:type="dxa" w:w="2664"/>
            <w:tcMar>
              <w:top w:w="70" w:type="dxa"/>
              <w:start w:w="100" w:type="dxa"/>
              <w:bottom w:w="70" w:type="dxa"/>
              <w:end w:w="100" w:type="dxa"/>
            </w:tcMar>
            <w:vAlign w:val="top"/>
            <w:shd w:fill="FAF8F6"/>
          </w:tcPr>
          <w:p>
            <w:pPr>
              <w:spacing w:after="40"/>
            </w:pPr>
            <w:r>
              <w:rPr>
                <w:sz w:val="13"/>
              </w:rPr>
              <w:t>https://www.reuters.com/world/africa/nigeria-implement-new-tax-laws-january-1-despite-calls-delay-tinubu-says-2025-12-30/</w:t>
            </w:r>
          </w:p>
        </w:tc>
      </w:tr>
      <w:tr>
        <w:trPr>
          <w:cantSplit/>
        </w:trPr>
        <w:tc>
          <w:tcPr>
            <w:tcW w:type="dxa" w:w="648"/>
            <w:tcMar>
              <w:top w:w="70" w:type="dxa"/>
              <w:start w:w="100" w:type="dxa"/>
              <w:bottom w:w="70" w:type="dxa"/>
              <w:end w:w="100" w:type="dxa"/>
            </w:tcMar>
            <w:vAlign w:val="top"/>
          </w:tcPr>
          <w:p>
            <w:pPr>
              <w:spacing w:after="40"/>
            </w:pPr>
            <w:r>
              <w:rPr>
                <w:sz w:val="13"/>
              </w:rPr>
              <w:t>S13</w:t>
            </w:r>
          </w:p>
        </w:tc>
        <w:tc>
          <w:tcPr>
            <w:tcW w:type="dxa" w:w="2232"/>
            <w:tcMar>
              <w:top w:w="70" w:type="dxa"/>
              <w:start w:w="100" w:type="dxa"/>
              <w:bottom w:w="70" w:type="dxa"/>
              <w:end w:w="100" w:type="dxa"/>
            </w:tcMar>
            <w:vAlign w:val="top"/>
          </w:tcPr>
          <w:p>
            <w:pPr>
              <w:spacing w:after="40"/>
            </w:pPr>
            <w:r>
              <w:rPr>
                <w:sz w:val="13"/>
              </w:rPr>
              <w:t>Henley &amp; Partners — Africa Wealth Report</w:t>
            </w:r>
          </w:p>
        </w:tc>
        <w:tc>
          <w:tcPr>
            <w:tcW w:type="dxa" w:w="3960"/>
            <w:tcMar>
              <w:top w:w="70" w:type="dxa"/>
              <w:start w:w="100" w:type="dxa"/>
              <w:bottom w:w="70" w:type="dxa"/>
              <w:end w:w="100" w:type="dxa"/>
            </w:tcMar>
            <w:vAlign w:val="top"/>
          </w:tcPr>
          <w:p>
            <w:pPr>
              <w:spacing w:after="40"/>
            </w:pPr>
            <w:r>
              <w:rPr>
                <w:sz w:val="13"/>
              </w:rPr>
              <w:t>Directional context on growth in African private wealth; not used as a numeric Maison Doclar market-size estimate.</w:t>
            </w:r>
          </w:p>
        </w:tc>
        <w:tc>
          <w:tcPr>
            <w:tcW w:type="dxa" w:w="2664"/>
            <w:tcMar>
              <w:top w:w="70" w:type="dxa"/>
              <w:start w:w="100" w:type="dxa"/>
              <w:bottom w:w="70" w:type="dxa"/>
              <w:end w:w="100" w:type="dxa"/>
            </w:tcMar>
            <w:vAlign w:val="top"/>
          </w:tcPr>
          <w:p>
            <w:pPr>
              <w:spacing w:after="40"/>
            </w:pPr>
            <w:r>
              <w:rPr>
                <w:sz w:val="13"/>
              </w:rPr>
              <w:t>https://www.henleyglobal.com/publications/africa-wealth-report-2025</w:t>
            </w:r>
          </w:p>
        </w:tc>
      </w:tr>
    </w:tbl>
    <w:p>
      <w:pPr>
        <w:spacing w:after="20"/>
      </w:pPr>
    </w:p>
    <w:p>
      <w:pPr>
        <w:pStyle w:val="Heading2"/>
        <w:keepNext/>
      </w:pPr>
      <w:r>
        <w:t>Authority reservations</w:t>
      </w:r>
    </w:p>
    <w:p>
      <w:pPr>
        <w:pStyle w:val="ListBullet"/>
      </w:pPr>
      <w:r>
        <w:t>Legal and privacy decisions require qualified legal review and, where applicable, a licensed Data Protection Compliance Organisation.</w:t>
      </w:r>
    </w:p>
    <w:p>
      <w:pPr>
        <w:pStyle w:val="ListBullet"/>
      </w:pPr>
      <w:r>
        <w:t>Tax assumptions and entity obligations require a Nigerian chartered accountant/tax adviser using current primary law and Maison Doclar’s actual facts.</w:t>
      </w:r>
    </w:p>
    <w:p>
      <w:pPr>
        <w:pStyle w:val="ListBullet"/>
      </w:pPr>
      <w:r>
        <w:t>Protocol and cultural content requires recognised authorities and event-specific confirmation; web research is not sufficient authority.</w:t>
      </w:r>
    </w:p>
    <w:p>
      <w:pPr>
        <w:pStyle w:val="ListBullet"/>
      </w:pPr>
      <w:r>
        <w:t>Safety, security, medical, crowd, fire and venue decisions require licensed or competent professionals and applicable public authorities.</w:t>
      </w:r>
    </w:p>
    <w:p>
      <w:pPr>
        <w:pStyle w:val="ListBullet"/>
      </w:pPr>
      <w:r>
        <w:t>Live operational validation requires rehearsals and actual events. Final production release requires independent acceptance and CEO authorisation.</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CONFIDENTIAL  •  DRAFT FOR CEO RATIFICATION  •  v1.0  •  3 SEPTEMBER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6666"/>
        <w:sz w:val="16"/>
      </w:rPr>
      <w:t>MAISON DOCLAR  |  STRATEGIC BUSINESS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B79F8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1717"/>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B79F8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Strategic Business Definition and Five-Year Enterprise Plan</dc:title>
  <dc:subject>Complete seven-part CEO decision draft and business plan</dc:subject>
  <dc:creator>Maison Doclar — Draft prepared for CEO ratification</dc:creator>
  <cp:keywords>Maison Doclar, strategy, business plan, guest experience, protocol, event operations, Lagos, financial model, CEO</cp:keywords>
  <dc:description>Draft for ratification. External legal, tax, protocol, safety and valuation matters require qualified review.</dc:description>
  <cp:lastModifiedBy/>
  <cp:revision>1</cp:revision>
  <dcterms:created xsi:type="dcterms:W3CDTF">2013-12-23T23:15:00Z</dcterms:created>
  <dcterms:modified xsi:type="dcterms:W3CDTF">2013-12-23T23:15:00Z</dcterms:modified>
  <cp:category/>
</cp:coreProperties>
</file>