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pPr>
      <w:r>
        <w:rPr>
          <w:rFonts w:ascii="Aptos" w:hAnsi="Aptos"/>
          <w:b/>
          <w:i w:val="0"/>
          <w:color w:val="B79F85"/>
          <w:sz w:val="22"/>
        </w:rPr>
        <w:t>MAISON DOCLAR</w:t>
      </w:r>
    </w:p>
    <w:p>
      <w:pPr>
        <w:pStyle w:val="Title"/>
        <w:widowControl/>
        <w:spacing w:before="1080"/>
      </w:pPr>
      <w:r>
        <w:rPr>
          <w:rFonts w:ascii="Aptos Display" w:hAnsi="Aptos Display"/>
          <w:b/>
          <w:i w:val="0"/>
          <w:color w:val="111827"/>
          <w:sz w:val="58"/>
        </w:rPr>
        <w:t>Canonical Build Blueprint</w:t>
      </w:r>
    </w:p>
    <w:p>
      <w:pPr>
        <w:pStyle w:val="Subtitle"/>
        <w:widowControl/>
      </w:pPr>
      <w:r>
        <w:rPr>
          <w:rFonts w:ascii="Aptos" w:hAnsi="Aptos"/>
          <w:b w:val="0"/>
          <w:i w:val="0"/>
          <w:color w:val="667085"/>
          <w:sz w:val="28"/>
        </w:rPr>
        <w:t>Architecture, data, intelligence, frontend, delivery and acceptance specification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top"/>
            <w:tcMar>
              <w:top w:w="90" w:type="dxa"/>
              <w:start w:w="120" w:type="dxa"/>
              <w:bottom w:w="90" w:type="dxa"/>
              <w:end w:w="120" w:type="dxa"/>
            </w:tcMar>
            <w:shd w:fill="F7F5F2"/>
          </w:tcPr>
          <w:p>
            <w:r/>
            <w:r>
              <w:rPr>
                <w:rFonts w:ascii="Aptos" w:hAnsi="Aptos"/>
                <w:b/>
                <w:i w:val="0"/>
                <w:color w:val="B79F85"/>
                <w:sz w:val="18"/>
              </w:rPr>
              <w:t xml:space="preserve">RELEASE POSITION  </w:t>
            </w:r>
            <w:r>
              <w:rPr>
                <w:rFonts w:ascii="Aptos" w:hAnsi="Aptos"/>
                <w:b/>
                <w:i w:val="0"/>
                <w:color w:val="111827"/>
                <w:sz w:val="20"/>
              </w:rPr>
              <w:t>Version 1.0 — blueprint for CEO ratification. This document converts the approved 30-module Intelligence Specification into a clean, event-scoped and implementation-ready system design. It is not production authorisation.</w:t>
            </w:r>
          </w:p>
        </w:tc>
      </w:tr>
    </w:tbl>
    <w:p>
      <w:pPr>
        <w:widowControl/>
        <w:spacing w:after="0"/>
      </w:pPr>
    </w:p>
    <w:p>
      <w:pPr>
        <w:keepLines w:val="0"/>
        <w:widowControl/>
      </w:pPr>
      <w:r>
        <w:rPr>
          <w:rFonts w:ascii="Aptos" w:hAnsi="Aptos"/>
          <w:b/>
          <w:i w:val="0"/>
          <w:color w:val="667085"/>
          <w:sz w:val="18"/>
        </w:rPr>
        <w:t>Prepared for</w:t>
      </w:r>
    </w:p>
    <w:p>
      <w:pPr>
        <w:keepLines w:val="0"/>
        <w:widowControl/>
      </w:pPr>
      <w:r>
        <w:rPr>
          <w:rFonts w:ascii="Aptos" w:hAnsi="Aptos"/>
          <w:b/>
          <w:i w:val="0"/>
          <w:color w:val="1F2937"/>
          <w:sz w:val="22"/>
        </w:rPr>
        <w:t>George Lawson, CEO, Maison Doclar</w:t>
      </w:r>
    </w:p>
    <w:p>
      <w:pPr>
        <w:keepLines w:val="0"/>
        <w:widowControl/>
      </w:pPr>
      <w:r>
        <w:rPr>
          <w:rFonts w:ascii="Aptos" w:hAnsi="Aptos"/>
          <w:b/>
          <w:i w:val="0"/>
          <w:color w:val="667085"/>
          <w:sz w:val="18"/>
        </w:rPr>
        <w:t>Operating context</w:t>
      </w:r>
    </w:p>
    <w:p>
      <w:pPr>
        <w:keepLines w:val="0"/>
        <w:widowControl/>
      </w:pPr>
      <w:r>
        <w:rPr>
          <w:rFonts w:ascii="Aptos" w:hAnsi="Aptos"/>
          <w:b w:val="0"/>
          <w:i w:val="0"/>
          <w:color w:val="1F2937"/>
          <w:sz w:val="20"/>
        </w:rPr>
        <w:t>Lagos-first, globally deployable; no current Maison Doclar system has passed a supervised live-event field gate.</w:t>
      </w:r>
    </w:p>
    <w:p>
      <w:pPr>
        <w:keepLines w:val="0"/>
        <w:widowControl/>
      </w:pPr>
      <w:r>
        <w:rPr>
          <w:rFonts w:ascii="Aptos" w:hAnsi="Aptos"/>
          <w:b/>
          <w:i w:val="0"/>
          <w:color w:val="667085"/>
          <w:sz w:val="18"/>
        </w:rPr>
        <w:t>Source baseline</w:t>
      </w:r>
    </w:p>
    <w:p>
      <w:pPr>
        <w:keepLines w:val="0"/>
        <w:widowControl/>
      </w:pPr>
      <w:r>
        <w:rPr>
          <w:rFonts w:ascii="Aptos" w:hAnsi="Aptos"/>
          <w:b w:val="0"/>
          <w:i w:val="0"/>
          <w:color w:val="1F2937"/>
          <w:sz w:val="20"/>
        </w:rPr>
        <w:t>Maison Doclar Intelligence Specification v1.0; verified legacy architecture reports dated 2 September 2026; CEO-approved clean-build decisions.</w:t>
      </w:r>
    </w:p>
    <w:p>
      <w:pPr>
        <w:keepLines w:val="0"/>
        <w:widowControl/>
      </w:pPr>
      <w:r>
        <w:rPr>
          <w:rFonts w:ascii="Aptos" w:hAnsi="Aptos"/>
          <w:b/>
          <w:i w:val="0"/>
          <w:color w:val="667085"/>
          <w:sz w:val="18"/>
        </w:rPr>
        <w:t>Date</w:t>
      </w:r>
    </w:p>
    <w:p>
      <w:pPr>
        <w:keepLines w:val="0"/>
        <w:widowControl/>
      </w:pPr>
      <w:r>
        <w:rPr>
          <w:rFonts w:ascii="Aptos" w:hAnsi="Aptos"/>
          <w:b w:val="0"/>
          <w:i w:val="0"/>
          <w:color w:val="1F2937"/>
          <w:sz w:val="20"/>
        </w:rPr>
        <w:t>2 September 2026</w:t>
      </w:r>
    </w:p>
    <w:p>
      <w:pPr>
        <w:widowControl/>
      </w:pPr>
      <w:r>
        <w:br w:type="page"/>
      </w:r>
    </w:p>
    <w:p>
      <w:pPr>
        <w:pStyle w:val="Heading1"/>
        <w:keepNext/>
        <w:widowControl/>
      </w:pPr>
      <w:r>
        <w:t>Document control and ratification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11827"/>
            <w:vAlign w:val="top"/>
            <w:tcMar>
              <w:top w:w="90" w:type="dxa"/>
              <w:start w:w="120" w:type="dxa"/>
              <w:bottom w:w="90" w:type="dxa"/>
              <w:end w:w="120" w:type="dxa"/>
            </w:tcMar>
          </w:tcPr>
          <w:p>
            <w:r>
              <w:rPr>
                <w:rFonts w:ascii="Aptos" w:hAnsi="Aptos"/>
                <w:b/>
                <w:i w:val="0"/>
                <w:color w:val="FFFFFF"/>
                <w:sz w:val="18"/>
              </w:rPr>
              <w:t>Control</w:t>
            </w:r>
          </w:p>
        </w:tc>
        <w:tc>
          <w:tcPr>
            <w:tcW w:type="dxa" w:w="7460"/>
            <w:shd w:fill="111827"/>
            <w:vAlign w:val="top"/>
            <w:tcMar>
              <w:top w:w="90" w:type="dxa"/>
              <w:start w:w="120" w:type="dxa"/>
              <w:bottom w:w="90" w:type="dxa"/>
              <w:end w:w="120" w:type="dxa"/>
            </w:tcMar>
          </w:tcPr>
          <w:p>
            <w:r>
              <w:rPr>
                <w:rFonts w:ascii="Aptos" w:hAnsi="Aptos"/>
                <w:b/>
                <w:i w:val="0"/>
                <w:color w:val="FFFFFF"/>
                <w:sz w:val="18"/>
              </w:rPr>
              <w:t>Position</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Owner</w:t>
            </w:r>
          </w:p>
        </w:tc>
        <w:tc>
          <w:tcPr>
            <w:tcW w:type="dxa" w:w="74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CEO, Maison Doclar</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Status</w:t>
            </w:r>
          </w:p>
        </w:tc>
        <w:tc>
          <w:tcPr>
            <w:tcW w:type="dxa" w:w="74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Canonical blueprint — proposed for ratification</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Version</w:t>
            </w:r>
          </w:p>
        </w:tc>
        <w:tc>
          <w:tcPr>
            <w:tcW w:type="dxa" w:w="74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1.0</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Supersedes</w:t>
            </w:r>
          </w:p>
        </w:tc>
        <w:tc>
          <w:tcPr>
            <w:tcW w:type="dxa" w:w="74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No prior canonical build blueprint</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Controlling source</w:t>
            </w:r>
          </w:p>
        </w:tc>
        <w:tc>
          <w:tcPr>
            <w:tcW w:type="dxa" w:w="74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Maison Doclar Intelligence Specification v1.0</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Legacy use</w:t>
            </w:r>
          </w:p>
        </w:tc>
        <w:tc>
          <w:tcPr>
            <w:tcW w:type="dxa" w:w="74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Evidence and design input only; legacy structure is not automatically inherited</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Change rule</w:t>
            </w:r>
          </w:p>
        </w:tc>
        <w:tc>
          <w:tcPr>
            <w:tcW w:type="dxa" w:w="74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Any material departure requires a recorded architecture decision and CEO approval</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Production rule</w:t>
            </w:r>
          </w:p>
        </w:tc>
        <w:tc>
          <w:tcPr>
            <w:tcW w:type="dxa" w:w="74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No capability is field-ready solely because it is coded, tested or deployed</w:t>
            </w:r>
          </w:p>
        </w:tc>
      </w:tr>
    </w:tbl>
    <w:p>
      <w:pPr>
        <w:widowControl/>
        <w:spacing w:after="0"/>
      </w:pPr>
    </w:p>
    <w:p>
      <w:pPr>
        <w:pStyle w:val="Heading2"/>
        <w:keepNext/>
        <w:widowControl/>
      </w:pPr>
      <w:r>
        <w:t>Approval record</w:t>
      </w:r>
    </w:p>
    <w:tbl>
      <w:tblPr>
        <w:tblStyle w:val="TableGrid"/>
        <w:tblW w:type="dxa" w:w="9360"/>
        <w:jc w:val="left"/>
        <w:tblLayout w:type="fixed"/>
        <w:tblLook w:firstColumn="1" w:firstRow="1" w:lastColumn="0" w:lastRow="0" w:noHBand="0" w:noVBand="1" w:val="04A0"/>
        <w:tblInd w:w="120" w:type="dxa"/>
      </w:tblPr>
      <w:tblGrid>
        <w:gridCol w:w="2200"/>
        <w:gridCol w:w="3400"/>
        <w:gridCol w:w="3760"/>
      </w:tblGrid>
      <w:tr>
        <w:trPr>
          <w:tblHeader w:val="true"/>
        </w:trPr>
        <w:tc>
          <w:tcPr>
            <w:tcW w:type="dxa" w:w="2200"/>
            <w:shd w:fill="111827"/>
            <w:vAlign w:val="top"/>
            <w:tcMar>
              <w:top w:w="90" w:type="dxa"/>
              <w:start w:w="120" w:type="dxa"/>
              <w:bottom w:w="90" w:type="dxa"/>
              <w:end w:w="120" w:type="dxa"/>
            </w:tcMar>
          </w:tcPr>
          <w:p>
            <w:r>
              <w:rPr>
                <w:rFonts w:ascii="Aptos" w:hAnsi="Aptos"/>
                <w:b/>
                <w:i w:val="0"/>
                <w:color w:val="FFFFFF"/>
                <w:sz w:val="18"/>
              </w:rPr>
              <w:t>Role</w:t>
            </w:r>
          </w:p>
        </w:tc>
        <w:tc>
          <w:tcPr>
            <w:tcW w:type="dxa" w:w="3400"/>
            <w:shd w:fill="111827"/>
            <w:vAlign w:val="top"/>
            <w:tcMar>
              <w:top w:w="90" w:type="dxa"/>
              <w:start w:w="120" w:type="dxa"/>
              <w:bottom w:w="90" w:type="dxa"/>
              <w:end w:w="120" w:type="dxa"/>
            </w:tcMar>
          </w:tcPr>
          <w:p>
            <w:r>
              <w:rPr>
                <w:rFonts w:ascii="Aptos" w:hAnsi="Aptos"/>
                <w:b/>
                <w:i w:val="0"/>
                <w:color w:val="FFFFFF"/>
                <w:sz w:val="18"/>
              </w:rPr>
              <w:t>Decision</w:t>
            </w:r>
          </w:p>
        </w:tc>
        <w:tc>
          <w:tcPr>
            <w:tcW w:type="dxa" w:w="3760"/>
            <w:shd w:fill="111827"/>
            <w:vAlign w:val="top"/>
            <w:tcMar>
              <w:top w:w="90" w:type="dxa"/>
              <w:start w:w="120" w:type="dxa"/>
              <w:bottom w:w="90" w:type="dxa"/>
              <w:end w:w="120" w:type="dxa"/>
            </w:tcMar>
          </w:tcPr>
          <w:p>
            <w:r>
              <w:rPr>
                <w:rFonts w:ascii="Aptos" w:hAnsi="Aptos"/>
                <w:b/>
                <w:i w:val="0"/>
                <w:color w:val="FFFFFF"/>
                <w:sz w:val="18"/>
              </w:rPr>
              <w:t>Name / date</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CEO</w:t>
            </w:r>
          </w:p>
        </w:tc>
        <w:tc>
          <w:tcPr>
            <w:tcW w:type="dxa" w:w="34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 approve with conditions, or return for revision</w:t>
            </w:r>
          </w:p>
        </w:tc>
        <w:tc>
          <w:tcPr>
            <w:tcW w:type="dxa" w:w="3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Pending</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Architecture authority</w:t>
            </w:r>
          </w:p>
        </w:tc>
        <w:tc>
          <w:tcPr>
            <w:tcW w:type="dxa" w:w="34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Confirms build conforms to ratified blueprint</w:t>
            </w:r>
          </w:p>
        </w:tc>
        <w:tc>
          <w:tcPr>
            <w:tcW w:type="dxa" w:w="3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Pending</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Security/privacy reviewer</w:t>
            </w:r>
          </w:p>
        </w:tc>
        <w:tc>
          <w:tcPr>
            <w:tcW w:type="dxa" w:w="34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Confirms gated controls before sensitive production use</w:t>
            </w:r>
          </w:p>
        </w:tc>
        <w:tc>
          <w:tcPr>
            <w:tcW w:type="dxa" w:w="3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Pending</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 operations authority</w:t>
            </w:r>
          </w:p>
        </w:tc>
        <w:tc>
          <w:tcPr>
            <w:tcW w:type="dxa" w:w="34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Confirms supervised pilot readiness</w:t>
            </w:r>
          </w:p>
        </w:tc>
        <w:tc>
          <w:tcPr>
            <w:tcW w:type="dxa" w:w="3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Pending</w:t>
            </w:r>
          </w:p>
        </w:tc>
      </w:tr>
    </w:tbl>
    <w:p>
      <w:pPr>
        <w:widowControl/>
        <w:spacing w:after="0"/>
      </w:pPr>
    </w:p>
    <w:p>
      <w:pPr>
        <w:pStyle w:val="Heading2"/>
        <w:keepNext/>
        <w:widowControl/>
      </w:pPr>
      <w:r>
        <w:t>How to use this blueprint</w:t>
      </w:r>
    </w:p>
    <w:p>
      <w:pPr>
        <w:pStyle w:val="BlueprintBullet"/>
        <w:widowControl/>
        <w:numPr>
          <w:ilvl w:val="0"/>
          <w:numId w:val="10"/>
        </w:numPr>
      </w:pPr>
      <w:r>
        <w:rPr>
          <w:rFonts w:ascii="Aptos" w:hAnsi="Aptos"/>
          <w:b w:val="0"/>
          <w:i w:val="0"/>
          <w:color w:val="1F2937"/>
          <w:sz w:val="21"/>
        </w:rPr>
        <w:t>Treat it as the controlling architecture for all repositories, prompts, schemas, APIs and screens.</w:t>
      </w:r>
    </w:p>
    <w:p>
      <w:pPr>
        <w:pStyle w:val="BlueprintBullet"/>
        <w:widowControl/>
        <w:numPr>
          <w:ilvl w:val="0"/>
          <w:numId w:val="10"/>
        </w:numPr>
      </w:pPr>
      <w:r>
        <w:rPr>
          <w:rFonts w:ascii="Aptos" w:hAnsi="Aptos"/>
          <w:b w:val="0"/>
          <w:i w:val="0"/>
          <w:color w:val="1F2937"/>
          <w:sz w:val="21"/>
        </w:rPr>
        <w:t>Build only through the vertical slices in Section 18; a backend-only or frontend-only slice is incomplete.</w:t>
      </w:r>
    </w:p>
    <w:p>
      <w:pPr>
        <w:pStyle w:val="BlueprintBullet"/>
        <w:widowControl/>
        <w:numPr>
          <w:ilvl w:val="0"/>
          <w:numId w:val="10"/>
        </w:numPr>
      </w:pPr>
      <w:r>
        <w:rPr>
          <w:rFonts w:ascii="Aptos" w:hAnsi="Aptos"/>
          <w:b w:val="0"/>
          <w:i w:val="0"/>
          <w:color w:val="1F2937"/>
          <w:sz w:val="21"/>
        </w:rPr>
        <w:t>Use the acceptance tests and traceability register as evidence, not as optional guidance.</w:t>
      </w:r>
    </w:p>
    <w:p>
      <w:pPr>
        <w:pStyle w:val="BlueprintBullet"/>
        <w:widowControl/>
        <w:numPr>
          <w:ilvl w:val="0"/>
          <w:numId w:val="10"/>
        </w:numPr>
      </w:pPr>
      <w:r>
        <w:rPr>
          <w:rFonts w:ascii="Aptos" w:hAnsi="Aptos"/>
          <w:b w:val="0"/>
          <w:i w:val="0"/>
          <w:color w:val="1F2937"/>
          <w:sz w:val="21"/>
        </w:rPr>
        <w:t>Record unresolved choices in the decision register. Do not improvise around them in code.</w:t>
      </w:r>
    </w:p>
    <w:p>
      <w:pPr>
        <w:pStyle w:val="BlueprintBullet"/>
        <w:widowControl/>
        <w:numPr>
          <w:ilvl w:val="0"/>
          <w:numId w:val="10"/>
        </w:numPr>
      </w:pPr>
      <w:r>
        <w:rPr>
          <w:rFonts w:ascii="Aptos" w:hAnsi="Aptos"/>
          <w:b w:val="0"/>
          <w:i w:val="0"/>
          <w:color w:val="1F2937"/>
          <w:sz w:val="21"/>
        </w:rPr>
        <w:t>Keep the Intelligence Specification as the source of business doctrine; this blueprint governs system implementation.</w:t>
      </w:r>
    </w:p>
    <w:p>
      <w:pPr>
        <w:pStyle w:val="Heading1"/>
        <w:keepNext/>
        <w:widowControl/>
      </w:pPr>
      <w:r>
        <w:t>Contents</w:t>
      </w:r>
    </w:p>
    <w:p>
      <w:pPr>
        <w:pStyle w:val="BlueprintBullet"/>
        <w:widowControl/>
        <w:numPr>
          <w:ilvl w:val="0"/>
          <w:numId w:val="11"/>
        </w:numPr>
      </w:pPr>
      <w:r>
        <w:rPr>
          <w:rFonts w:ascii="Aptos" w:hAnsi="Aptos"/>
          <w:b w:val="0"/>
          <w:i w:val="0"/>
          <w:color w:val="1F2937"/>
          <w:sz w:val="21"/>
        </w:rPr>
        <w:t>1. Executive system definition</w:t>
      </w:r>
    </w:p>
    <w:p>
      <w:pPr>
        <w:pStyle w:val="BlueprintBullet"/>
        <w:widowControl/>
        <w:numPr>
          <w:ilvl w:val="0"/>
          <w:numId w:val="11"/>
        </w:numPr>
      </w:pPr>
      <w:r>
        <w:rPr>
          <w:rFonts w:ascii="Aptos" w:hAnsi="Aptos"/>
          <w:b w:val="0"/>
          <w:i w:val="0"/>
          <w:color w:val="1F2937"/>
          <w:sz w:val="21"/>
        </w:rPr>
        <w:t>2. Scope and system boundaries</w:t>
      </w:r>
    </w:p>
    <w:p>
      <w:pPr>
        <w:pStyle w:val="BlueprintBullet"/>
        <w:widowControl/>
        <w:numPr>
          <w:ilvl w:val="0"/>
          <w:numId w:val="11"/>
        </w:numPr>
      </w:pPr>
      <w:r>
        <w:rPr>
          <w:rFonts w:ascii="Aptos" w:hAnsi="Aptos"/>
          <w:b w:val="0"/>
          <w:i w:val="0"/>
          <w:color w:val="1F2937"/>
          <w:sz w:val="21"/>
        </w:rPr>
        <w:t>3. Architectural laws</w:t>
      </w:r>
    </w:p>
    <w:p>
      <w:pPr>
        <w:pStyle w:val="BlueprintBullet"/>
        <w:widowControl/>
        <w:numPr>
          <w:ilvl w:val="0"/>
          <w:numId w:val="11"/>
        </w:numPr>
      </w:pPr>
      <w:r>
        <w:rPr>
          <w:rFonts w:ascii="Aptos" w:hAnsi="Aptos"/>
          <w:b w:val="0"/>
          <w:i w:val="0"/>
          <w:color w:val="1F2937"/>
          <w:sz w:val="21"/>
        </w:rPr>
        <w:t>4. Target architecture</w:t>
      </w:r>
    </w:p>
    <w:p>
      <w:pPr>
        <w:pStyle w:val="BlueprintBullet"/>
        <w:widowControl/>
        <w:numPr>
          <w:ilvl w:val="0"/>
          <w:numId w:val="11"/>
        </w:numPr>
      </w:pPr>
      <w:r>
        <w:rPr>
          <w:rFonts w:ascii="Aptos" w:hAnsi="Aptos"/>
          <w:b w:val="0"/>
          <w:i w:val="0"/>
          <w:color w:val="1F2937"/>
          <w:sz w:val="21"/>
        </w:rPr>
        <w:t>5. Event and cross-event model</w:t>
      </w:r>
    </w:p>
    <w:p>
      <w:pPr>
        <w:pStyle w:val="BlueprintBullet"/>
        <w:widowControl/>
        <w:numPr>
          <w:ilvl w:val="0"/>
          <w:numId w:val="11"/>
        </w:numPr>
      </w:pPr>
      <w:r>
        <w:rPr>
          <w:rFonts w:ascii="Aptos" w:hAnsi="Aptos"/>
          <w:b w:val="0"/>
          <w:i w:val="0"/>
          <w:color w:val="1F2937"/>
          <w:sz w:val="21"/>
        </w:rPr>
        <w:t>6. Canonical data architecture</w:t>
      </w:r>
    </w:p>
    <w:p>
      <w:pPr>
        <w:pStyle w:val="BlueprintBullet"/>
        <w:widowControl/>
        <w:numPr>
          <w:ilvl w:val="0"/>
          <w:numId w:val="11"/>
        </w:numPr>
      </w:pPr>
      <w:r>
        <w:rPr>
          <w:rFonts w:ascii="Aptos" w:hAnsi="Aptos"/>
          <w:b w:val="0"/>
          <w:i w:val="0"/>
          <w:color w:val="1F2937"/>
          <w:sz w:val="21"/>
        </w:rPr>
        <w:t>7. Knowledge architecture</w:t>
      </w:r>
    </w:p>
    <w:p>
      <w:pPr>
        <w:pStyle w:val="BlueprintBullet"/>
        <w:widowControl/>
        <w:numPr>
          <w:ilvl w:val="0"/>
          <w:numId w:val="11"/>
        </w:numPr>
      </w:pPr>
      <w:r>
        <w:rPr>
          <w:rFonts w:ascii="Aptos" w:hAnsi="Aptos"/>
          <w:b w:val="0"/>
          <w:i w:val="0"/>
          <w:color w:val="1F2937"/>
          <w:sz w:val="21"/>
        </w:rPr>
        <w:t>8. Intelligence architecture</w:t>
      </w:r>
    </w:p>
    <w:p>
      <w:pPr>
        <w:pStyle w:val="BlueprintBullet"/>
        <w:widowControl/>
        <w:numPr>
          <w:ilvl w:val="0"/>
          <w:numId w:val="11"/>
        </w:numPr>
      </w:pPr>
      <w:r>
        <w:rPr>
          <w:rFonts w:ascii="Aptos" w:hAnsi="Aptos"/>
          <w:b w:val="0"/>
          <w:i w:val="0"/>
          <w:color w:val="1F2937"/>
          <w:sz w:val="21"/>
        </w:rPr>
        <w:t>9. Frontend architecture</w:t>
      </w:r>
    </w:p>
    <w:p>
      <w:pPr>
        <w:pStyle w:val="BlueprintBullet"/>
        <w:widowControl/>
        <w:numPr>
          <w:ilvl w:val="0"/>
          <w:numId w:val="11"/>
        </w:numPr>
      </w:pPr>
      <w:r>
        <w:rPr>
          <w:rFonts w:ascii="Aptos" w:hAnsi="Aptos"/>
          <w:b w:val="0"/>
          <w:i w:val="0"/>
          <w:color w:val="1F2937"/>
          <w:sz w:val="21"/>
        </w:rPr>
        <w:t>10. Detailed workspace specifications</w:t>
      </w:r>
    </w:p>
    <w:p>
      <w:pPr>
        <w:pStyle w:val="BlueprintBullet"/>
        <w:widowControl/>
        <w:numPr>
          <w:ilvl w:val="0"/>
          <w:numId w:val="11"/>
        </w:numPr>
      </w:pPr>
      <w:r>
        <w:rPr>
          <w:rFonts w:ascii="Aptos" w:hAnsi="Aptos"/>
          <w:b w:val="0"/>
          <w:i w:val="0"/>
          <w:color w:val="1F2937"/>
          <w:sz w:val="21"/>
        </w:rPr>
        <w:t>11. Roles, permissions and approvals</w:t>
      </w:r>
    </w:p>
    <w:p>
      <w:pPr>
        <w:pStyle w:val="BlueprintBullet"/>
        <w:widowControl/>
        <w:numPr>
          <w:ilvl w:val="0"/>
          <w:numId w:val="11"/>
        </w:numPr>
      </w:pPr>
      <w:r>
        <w:rPr>
          <w:rFonts w:ascii="Aptos" w:hAnsi="Aptos"/>
          <w:b w:val="0"/>
          <w:i w:val="0"/>
          <w:color w:val="1F2937"/>
          <w:sz w:val="21"/>
        </w:rPr>
        <w:t>12. Downstream capability contracts</w:t>
      </w:r>
    </w:p>
    <w:p>
      <w:pPr>
        <w:pStyle w:val="BlueprintBullet"/>
        <w:widowControl/>
        <w:numPr>
          <w:ilvl w:val="0"/>
          <w:numId w:val="11"/>
        </w:numPr>
      </w:pPr>
      <w:r>
        <w:rPr>
          <w:rFonts w:ascii="Aptos" w:hAnsi="Aptos"/>
          <w:b w:val="0"/>
          <w:i w:val="0"/>
          <w:color w:val="1F2937"/>
          <w:sz w:val="21"/>
        </w:rPr>
        <w:t>13. Integration contracts</w:t>
      </w:r>
    </w:p>
    <w:p>
      <w:pPr>
        <w:pStyle w:val="BlueprintBullet"/>
        <w:widowControl/>
        <w:numPr>
          <w:ilvl w:val="0"/>
          <w:numId w:val="11"/>
        </w:numPr>
      </w:pPr>
      <w:r>
        <w:rPr>
          <w:rFonts w:ascii="Aptos" w:hAnsi="Aptos"/>
          <w:b w:val="0"/>
          <w:i w:val="0"/>
          <w:color w:val="1F2937"/>
          <w:sz w:val="21"/>
        </w:rPr>
        <w:t>14. Security, privacy and retention</w:t>
      </w:r>
    </w:p>
    <w:p>
      <w:pPr>
        <w:pStyle w:val="BlueprintBullet"/>
        <w:widowControl/>
        <w:numPr>
          <w:ilvl w:val="0"/>
          <w:numId w:val="11"/>
        </w:numPr>
      </w:pPr>
      <w:r>
        <w:rPr>
          <w:rFonts w:ascii="Aptos" w:hAnsi="Aptos"/>
          <w:b w:val="0"/>
          <w:i w:val="0"/>
          <w:color w:val="1F2937"/>
          <w:sz w:val="21"/>
        </w:rPr>
        <w:t>15. Technical stack and repository structure</w:t>
      </w:r>
    </w:p>
    <w:p>
      <w:pPr>
        <w:pStyle w:val="BlueprintBullet"/>
        <w:widowControl/>
        <w:numPr>
          <w:ilvl w:val="0"/>
          <w:numId w:val="11"/>
        </w:numPr>
      </w:pPr>
      <w:r>
        <w:rPr>
          <w:rFonts w:ascii="Aptos" w:hAnsi="Aptos"/>
          <w:b w:val="0"/>
          <w:i w:val="0"/>
          <w:color w:val="1F2937"/>
          <w:sz w:val="21"/>
        </w:rPr>
        <w:t>16. Reliability, observability and operations</w:t>
      </w:r>
    </w:p>
    <w:p>
      <w:pPr>
        <w:pStyle w:val="BlueprintBullet"/>
        <w:widowControl/>
        <w:numPr>
          <w:ilvl w:val="0"/>
          <w:numId w:val="11"/>
        </w:numPr>
      </w:pPr>
      <w:r>
        <w:rPr>
          <w:rFonts w:ascii="Aptos" w:hAnsi="Aptos"/>
          <w:b w:val="0"/>
          <w:i w:val="0"/>
          <w:color w:val="1F2937"/>
          <w:sz w:val="21"/>
        </w:rPr>
        <w:t>17. Acceptance strategy and reference event</w:t>
      </w:r>
    </w:p>
    <w:p>
      <w:pPr>
        <w:pStyle w:val="BlueprintBullet"/>
        <w:widowControl/>
        <w:numPr>
          <w:ilvl w:val="0"/>
          <w:numId w:val="11"/>
        </w:numPr>
      </w:pPr>
      <w:r>
        <w:rPr>
          <w:rFonts w:ascii="Aptos" w:hAnsi="Aptos"/>
          <w:b w:val="0"/>
          <w:i w:val="0"/>
          <w:color w:val="1F2937"/>
          <w:sz w:val="21"/>
        </w:rPr>
        <w:t>18. Twelve-slice build sequence</w:t>
      </w:r>
    </w:p>
    <w:p>
      <w:pPr>
        <w:pStyle w:val="BlueprintBullet"/>
        <w:widowControl/>
        <w:numPr>
          <w:ilvl w:val="0"/>
          <w:numId w:val="11"/>
        </w:numPr>
      </w:pPr>
      <w:r>
        <w:rPr>
          <w:rFonts w:ascii="Aptos" w:hAnsi="Aptos"/>
          <w:b w:val="0"/>
          <w:i w:val="0"/>
          <w:color w:val="1F2937"/>
          <w:sz w:val="21"/>
        </w:rPr>
        <w:t>19. Traceability to Modules 1–30</w:t>
      </w:r>
    </w:p>
    <w:p>
      <w:pPr>
        <w:pStyle w:val="BlueprintBullet"/>
        <w:widowControl/>
        <w:numPr>
          <w:ilvl w:val="0"/>
          <w:numId w:val="11"/>
        </w:numPr>
      </w:pPr>
      <w:r>
        <w:rPr>
          <w:rFonts w:ascii="Aptos" w:hAnsi="Aptos"/>
          <w:b w:val="0"/>
          <w:i w:val="0"/>
          <w:color w:val="1F2937"/>
          <w:sz w:val="21"/>
        </w:rPr>
        <w:t>20. Decisions, gates and ratification</w:t>
      </w:r>
    </w:p>
    <w:p>
      <w:pPr>
        <w:pStyle w:val="Heading1"/>
        <w:keepNext/>
        <w:widowControl/>
      </w:pPr>
      <w:r>
        <w:t>1. Executive system definition</w:t>
      </w:r>
    </w:p>
    <w:p>
      <w:pPr>
        <w:keepLines w:val="0"/>
        <w:widowControl/>
      </w:pPr>
      <w:r>
        <w:rPr>
          <w:rFonts w:ascii="Aptos" w:hAnsi="Aptos"/>
          <w:b w:val="0"/>
          <w:i w:val="0"/>
          <w:color w:val="1F2937"/>
          <w:sz w:val="21"/>
        </w:rPr>
        <w:t>Maison Doclar will operate one event-centred system that turns approved knowledge, event facts and human judgement into coordinated action. The system must help people prepare, notice, decide, approve, act, verify and learn. It is not merely a guest database, task manager or AI assistant.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top"/>
            <w:tcMar>
              <w:top w:w="90" w:type="dxa"/>
              <w:start w:w="120" w:type="dxa"/>
              <w:bottom w:w="90" w:type="dxa"/>
              <w:end w:w="120" w:type="dxa"/>
            </w:tcMar>
            <w:shd w:fill="F7F5F2"/>
          </w:tcPr>
          <w:p>
            <w:r/>
            <w:r>
              <w:rPr>
                <w:rFonts w:ascii="Aptos" w:hAnsi="Aptos"/>
                <w:b/>
                <w:i w:val="0"/>
                <w:color w:val="B79F85"/>
                <w:sz w:val="18"/>
              </w:rPr>
              <w:t xml:space="preserve">CANONICAL OUTCOME  </w:t>
            </w:r>
            <w:r>
              <w:rPr>
                <w:rFonts w:ascii="Aptos" w:hAnsi="Aptos"/>
                <w:b/>
                <w:i w:val="0"/>
                <w:color w:val="111827"/>
                <w:sz w:val="20"/>
              </w:rPr>
              <w:t>At any moment, an authorised user can see the current event truth, what is unknown or stale, what requires attention, who owns the next action, which standard applies, what evidence supports a claim, and which decisions remain human.</w:t>
            </w:r>
          </w:p>
        </w:tc>
      </w:tr>
    </w:tbl>
    <w:p>
      <w:pPr>
        <w:widowControl/>
        <w:spacing w:after="0"/>
      </w:pPr>
    </w:p>
    <w:p>
      <w:pPr>
        <w:pStyle w:val="Heading2"/>
        <w:keepNext/>
        <w:widowControl/>
      </w:pPr>
      <w:r>
        <w:t>1.1 Users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11827"/>
            <w:vAlign w:val="top"/>
            <w:tcMar>
              <w:top w:w="90" w:type="dxa"/>
              <w:start w:w="120" w:type="dxa"/>
              <w:bottom w:w="90" w:type="dxa"/>
              <w:end w:w="120" w:type="dxa"/>
            </w:tcMar>
          </w:tcPr>
          <w:p>
            <w:r>
              <w:rPr>
                <w:rFonts w:ascii="Aptos" w:hAnsi="Aptos"/>
                <w:b/>
                <w:i w:val="0"/>
                <w:color w:val="FFFFFF"/>
                <w:sz w:val="18"/>
              </w:rPr>
              <w:t>User group</w:t>
            </w:r>
          </w:p>
        </w:tc>
        <w:tc>
          <w:tcPr>
            <w:tcW w:type="dxa" w:w="7160"/>
            <w:shd w:fill="111827"/>
            <w:vAlign w:val="top"/>
            <w:tcMar>
              <w:top w:w="90" w:type="dxa"/>
              <w:start w:w="120" w:type="dxa"/>
              <w:bottom w:w="90" w:type="dxa"/>
              <w:end w:w="120" w:type="dxa"/>
            </w:tcMar>
          </w:tcPr>
          <w:p>
            <w:r>
              <w:rPr>
                <w:rFonts w:ascii="Aptos" w:hAnsi="Aptos"/>
                <w:b/>
                <w:i w:val="0"/>
                <w:color w:val="FFFFFF"/>
                <w:sz w:val="18"/>
              </w:rPr>
              <w:t>Primary need</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CEO</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Standards, reserved decisions, portfolio risk, exceptions and verified outcomes</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 Director</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Whole-event readiness, dependencies, command, escalation and recovery</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Department lead</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Owned plans, standards, people, evidence, risks and decisions</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Planner / coordinator</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Accurate records, workflow execution, handoffs and follow-up</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 services / concierge</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 context, communications, assistance and discretion</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Check-in / event-day staff</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Fast, minimal and resilient task views</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Client representative / host</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Controlled decisions, approvals and event visibility</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Vendor / specialist</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Narrowly scoped briefs, submissions, evidence and acknowledgements</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Simple signed-link experiences with no account burden</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System administrator</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Configuration, access, health and controlled support</w:t>
            </w:r>
          </w:p>
        </w:tc>
      </w:tr>
    </w:tbl>
    <w:p>
      <w:pPr>
        <w:widowControl/>
        <w:spacing w:after="0"/>
      </w:pPr>
    </w:p>
    <w:p>
      <w:pPr>
        <w:pStyle w:val="Heading2"/>
        <w:keepNext/>
        <w:widowControl/>
      </w:pPr>
      <w:r>
        <w:t>1.2 Product principles</w:t>
      </w:r>
    </w:p>
    <w:p>
      <w:pPr>
        <w:pStyle w:val="BlueprintBullet"/>
        <w:widowControl/>
        <w:numPr>
          <w:ilvl w:val="0"/>
          <w:numId w:val="12"/>
        </w:numPr>
      </w:pPr>
      <w:r>
        <w:rPr>
          <w:rFonts w:ascii="Aptos" w:hAnsi="Aptos"/>
          <w:b w:val="0"/>
          <w:i w:val="0"/>
          <w:color w:val="1F2937"/>
          <w:sz w:val="21"/>
        </w:rPr>
        <w:t>Luxury is operational control made invisible to the guest.</w:t>
      </w:r>
    </w:p>
    <w:p>
      <w:pPr>
        <w:pStyle w:val="BlueprintBullet"/>
        <w:widowControl/>
        <w:numPr>
          <w:ilvl w:val="0"/>
          <w:numId w:val="12"/>
        </w:numPr>
      </w:pPr>
      <w:r>
        <w:rPr>
          <w:rFonts w:ascii="Aptos" w:hAnsi="Aptos"/>
          <w:b w:val="0"/>
          <w:i w:val="0"/>
          <w:color w:val="1F2937"/>
          <w:sz w:val="21"/>
        </w:rPr>
        <w:t>The event, not the feature, is the primary operating context.</w:t>
      </w:r>
    </w:p>
    <w:p>
      <w:pPr>
        <w:pStyle w:val="BlueprintBullet"/>
        <w:widowControl/>
        <w:numPr>
          <w:ilvl w:val="0"/>
          <w:numId w:val="12"/>
        </w:numPr>
      </w:pPr>
      <w:r>
        <w:rPr>
          <w:rFonts w:ascii="Aptos" w:hAnsi="Aptos"/>
          <w:b w:val="0"/>
          <w:i w:val="0"/>
          <w:color w:val="1F2937"/>
          <w:sz w:val="21"/>
        </w:rPr>
        <w:t>The interface must reduce cognitive load under pressure.</w:t>
      </w:r>
    </w:p>
    <w:p>
      <w:pPr>
        <w:pStyle w:val="BlueprintBullet"/>
        <w:widowControl/>
        <w:numPr>
          <w:ilvl w:val="0"/>
          <w:numId w:val="12"/>
        </w:numPr>
      </w:pPr>
      <w:r>
        <w:rPr>
          <w:rFonts w:ascii="Aptos" w:hAnsi="Aptos"/>
          <w:b w:val="0"/>
          <w:i w:val="0"/>
          <w:color w:val="1F2937"/>
          <w:sz w:val="21"/>
        </w:rPr>
        <w:t>The system must never present missing data as a negative fact.</w:t>
      </w:r>
    </w:p>
    <w:p>
      <w:pPr>
        <w:pStyle w:val="BlueprintBullet"/>
        <w:widowControl/>
        <w:numPr>
          <w:ilvl w:val="0"/>
          <w:numId w:val="12"/>
        </w:numPr>
      </w:pPr>
      <w:r>
        <w:rPr>
          <w:rFonts w:ascii="Aptos" w:hAnsi="Aptos"/>
          <w:b w:val="0"/>
          <w:i w:val="0"/>
          <w:color w:val="1F2937"/>
          <w:sz w:val="21"/>
        </w:rPr>
        <w:t>Evidence is required before readiness, completion or recovery is claimed.</w:t>
      </w:r>
    </w:p>
    <w:p>
      <w:pPr>
        <w:pStyle w:val="BlueprintBullet"/>
        <w:widowControl/>
        <w:numPr>
          <w:ilvl w:val="0"/>
          <w:numId w:val="12"/>
        </w:numPr>
      </w:pPr>
      <w:r>
        <w:rPr>
          <w:rFonts w:ascii="Aptos" w:hAnsi="Aptos"/>
          <w:b w:val="0"/>
          <w:i w:val="0"/>
          <w:color w:val="1F2937"/>
          <w:sz w:val="21"/>
        </w:rPr>
        <w:t>AI may synthesise, compare, draft and recommend; humans own consequential judgement.</w:t>
      </w:r>
    </w:p>
    <w:p>
      <w:pPr>
        <w:pStyle w:val="BlueprintBullet"/>
        <w:widowControl/>
        <w:numPr>
          <w:ilvl w:val="0"/>
          <w:numId w:val="12"/>
        </w:numPr>
      </w:pPr>
      <w:r>
        <w:rPr>
          <w:rFonts w:ascii="Aptos" w:hAnsi="Aptos"/>
          <w:b w:val="0"/>
          <w:i w:val="0"/>
          <w:color w:val="1F2937"/>
          <w:sz w:val="21"/>
        </w:rPr>
        <w:t>Reusable knowledge is shared; event facts and sensitive guest information remain scoped.</w:t>
      </w:r>
    </w:p>
    <w:p>
      <w:pPr>
        <w:pStyle w:val="BlueprintBullet"/>
        <w:widowControl/>
        <w:numPr>
          <w:ilvl w:val="0"/>
          <w:numId w:val="12"/>
        </w:numPr>
      </w:pPr>
      <w:r>
        <w:rPr>
          <w:rFonts w:ascii="Aptos" w:hAnsi="Aptos"/>
          <w:b w:val="0"/>
          <w:i w:val="0"/>
          <w:color w:val="1F2937"/>
          <w:sz w:val="21"/>
        </w:rPr>
        <w:t>One canonical owner exists for each data category and operational state.</w:t>
      </w:r>
    </w:p>
    <w:p>
      <w:pPr>
        <w:pStyle w:val="Heading2"/>
        <w:keepNext/>
        <w:widowControl/>
      </w:pPr>
      <w:r>
        <w:t>1.3 Success measures</w:t>
      </w:r>
    </w:p>
    <w:tbl>
      <w:tblPr>
        <w:tblStyle w:val="TableGrid"/>
        <w:tblW w:type="dxa" w:w="9360"/>
        <w:jc w:val="left"/>
        <w:tblLayout w:type="fixed"/>
        <w:tblLook w:firstColumn="1" w:firstRow="1" w:lastColumn="0" w:lastRow="0" w:noHBand="0" w:noVBand="1" w:val="04A0"/>
        <w:tblInd w:w="120" w:type="dxa"/>
      </w:tblPr>
      <w:tblGrid>
        <w:gridCol w:w="2100"/>
        <w:gridCol w:w="2300"/>
        <w:gridCol w:w="4960"/>
      </w:tblGrid>
      <w:tr>
        <w:trPr>
          <w:tblHeader w:val="true"/>
        </w:trPr>
        <w:tc>
          <w:tcPr>
            <w:tcW w:type="dxa" w:w="2100"/>
            <w:shd w:fill="111827"/>
            <w:vAlign w:val="top"/>
            <w:tcMar>
              <w:top w:w="90" w:type="dxa"/>
              <w:start w:w="120" w:type="dxa"/>
              <w:bottom w:w="90" w:type="dxa"/>
              <w:end w:w="120" w:type="dxa"/>
            </w:tcMar>
          </w:tcPr>
          <w:p>
            <w:r>
              <w:rPr>
                <w:rFonts w:ascii="Aptos" w:hAnsi="Aptos"/>
                <w:b/>
                <w:i w:val="0"/>
                <w:color w:val="FFFFFF"/>
                <w:sz w:val="18"/>
              </w:rPr>
              <w:t>Measure</w:t>
            </w:r>
          </w:p>
        </w:tc>
        <w:tc>
          <w:tcPr>
            <w:tcW w:type="dxa" w:w="2300"/>
            <w:shd w:fill="111827"/>
            <w:vAlign w:val="top"/>
            <w:tcMar>
              <w:top w:w="90" w:type="dxa"/>
              <w:start w:w="120" w:type="dxa"/>
              <w:bottom w:w="90" w:type="dxa"/>
              <w:end w:w="120" w:type="dxa"/>
            </w:tcMar>
          </w:tcPr>
          <w:p>
            <w:r>
              <w:rPr>
                <w:rFonts w:ascii="Aptos" w:hAnsi="Aptos"/>
                <w:b/>
                <w:i w:val="0"/>
                <w:color w:val="FFFFFF"/>
                <w:sz w:val="18"/>
              </w:rPr>
              <w:t>Target direction</w:t>
            </w:r>
          </w:p>
        </w:tc>
        <w:tc>
          <w:tcPr>
            <w:tcW w:type="dxa" w:w="4960"/>
            <w:shd w:fill="111827"/>
            <w:vAlign w:val="top"/>
            <w:tcMar>
              <w:top w:w="90" w:type="dxa"/>
              <w:start w:w="120" w:type="dxa"/>
              <w:bottom w:w="90" w:type="dxa"/>
              <w:end w:w="120" w:type="dxa"/>
            </w:tcMar>
          </w:tcPr>
          <w:p>
            <w:r>
              <w:rPr>
                <w:rFonts w:ascii="Aptos" w:hAnsi="Aptos"/>
                <w:b/>
                <w:i w:val="0"/>
                <w:color w:val="FFFFFF"/>
                <w:sz w:val="18"/>
              </w:rPr>
              <w:t>Evidence</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Planning completeness</w:t>
            </w:r>
          </w:p>
        </w:tc>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Critical unknowns and overdue dependencies fall before T-24</w:t>
            </w:r>
          </w:p>
        </w:tc>
        <w:tc>
          <w:tcPr>
            <w:tcW w:type="dxa" w:w="49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Readiness history and exception closure</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Guest friction</w:t>
            </w:r>
          </w:p>
        </w:tc>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Preventable high-severity friction decreases</w:t>
            </w:r>
          </w:p>
        </w:tc>
        <w:tc>
          <w:tcPr>
            <w:tcW w:type="dxa" w:w="49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Friction records and verified outcomes</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Decision latency</w:t>
            </w:r>
          </w:p>
        </w:tc>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Urgent issues reach the authorised person within policy</w:t>
            </w:r>
          </w:p>
        </w:tc>
        <w:tc>
          <w:tcPr>
            <w:tcW w:type="dxa" w:w="49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Alert, acknowledgement and decision timestamps</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Operational truth</w:t>
            </w:r>
          </w:p>
        </w:tc>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No unresolved competing source of truth</w:t>
            </w:r>
          </w:p>
        </w:tc>
        <w:tc>
          <w:tcPr>
            <w:tcW w:type="dxa" w:w="49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Ownership and reconciliation checks</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Event-day resilience</w:t>
            </w:r>
          </w:p>
        </w:tc>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Operations continue during connectivity loss</w:t>
            </w:r>
          </w:p>
        </w:tc>
        <w:tc>
          <w:tcPr>
            <w:tcW w:type="dxa" w:w="49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Offline simulation and reconciliation evidence</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Usability</w:t>
            </w:r>
          </w:p>
        </w:tc>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Priority jobs completed without specialist system knowledge</w:t>
            </w:r>
          </w:p>
        </w:tc>
        <w:tc>
          <w:tcPr>
            <w:tcW w:type="dxa" w:w="49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Observed task testing</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Governance</w:t>
            </w:r>
          </w:p>
        </w:tc>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Sensitive actions are authorised and auditable</w:t>
            </w:r>
          </w:p>
        </w:tc>
        <w:tc>
          <w:tcPr>
            <w:tcW w:type="dxa" w:w="49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Permission and audit tests</w:t>
            </w:r>
          </w:p>
        </w:tc>
      </w:tr>
    </w:tbl>
    <w:p>
      <w:pPr>
        <w:widowControl/>
        <w:spacing w:after="0"/>
      </w:pPr>
    </w:p>
    <w:p>
      <w:pPr>
        <w:pStyle w:val="Heading1"/>
        <w:keepNext/>
        <w:widowControl/>
      </w:pPr>
      <w:r>
        <w:t>2. Scope and system boundaries</w:t>
      </w:r>
    </w:p>
    <w:p>
      <w:pPr>
        <w:pStyle w:val="Heading2"/>
        <w:keepNext/>
        <w:widowControl/>
      </w:pPr>
      <w:r>
        <w:t>2.1 Included</w:t>
      </w:r>
    </w:p>
    <w:p>
      <w:pPr>
        <w:pStyle w:val="BlueprintBullet"/>
        <w:widowControl/>
        <w:numPr>
          <w:ilvl w:val="0"/>
          <w:numId w:val="13"/>
        </w:numPr>
      </w:pPr>
      <w:r>
        <w:rPr>
          <w:rFonts w:ascii="Aptos" w:hAnsi="Aptos"/>
          <w:b w:val="0"/>
          <w:i w:val="0"/>
          <w:color w:val="1F2937"/>
          <w:sz w:val="21"/>
        </w:rPr>
        <w:t>Organisation, client and event administration.</w:t>
      </w:r>
    </w:p>
    <w:p>
      <w:pPr>
        <w:pStyle w:val="BlueprintBullet"/>
        <w:widowControl/>
        <w:numPr>
          <w:ilvl w:val="0"/>
          <w:numId w:val="13"/>
        </w:numPr>
      </w:pPr>
      <w:r>
        <w:rPr>
          <w:rFonts w:ascii="Aptos" w:hAnsi="Aptos"/>
          <w:b w:val="0"/>
          <w:i w:val="0"/>
          <w:color w:val="1F2937"/>
          <w:sz w:val="21"/>
        </w:rPr>
        <w:t>Knowledge, standards, context packs and approval.</w:t>
      </w:r>
    </w:p>
    <w:p>
      <w:pPr>
        <w:pStyle w:val="BlueprintBullet"/>
        <w:widowControl/>
        <w:numPr>
          <w:ilvl w:val="0"/>
          <w:numId w:val="13"/>
        </w:numPr>
      </w:pPr>
      <w:r>
        <w:rPr>
          <w:rFonts w:ascii="Aptos" w:hAnsi="Aptos"/>
          <w:b w:val="0"/>
          <w:i w:val="0"/>
          <w:color w:val="1F2937"/>
          <w:sz w:val="21"/>
        </w:rPr>
        <w:t>Guest intake, RSVP, households, requirements and communications.</w:t>
      </w:r>
    </w:p>
    <w:p>
      <w:pPr>
        <w:pStyle w:val="BlueprintBullet"/>
        <w:widowControl/>
        <w:numPr>
          <w:ilvl w:val="0"/>
          <w:numId w:val="13"/>
        </w:numPr>
      </w:pPr>
      <w:r>
        <w:rPr>
          <w:rFonts w:ascii="Aptos" w:hAnsi="Aptos"/>
          <w:b w:val="0"/>
          <w:i w:val="0"/>
          <w:color w:val="1F2937"/>
          <w:sz w:val="21"/>
        </w:rPr>
        <w:t>Venue layout, seating constraints, allocation and publication.</w:t>
      </w:r>
    </w:p>
    <w:p>
      <w:pPr>
        <w:pStyle w:val="BlueprintBullet"/>
        <w:widowControl/>
        <w:numPr>
          <w:ilvl w:val="0"/>
          <w:numId w:val="13"/>
        </w:numPr>
      </w:pPr>
      <w:r>
        <w:rPr>
          <w:rFonts w:ascii="Aptos" w:hAnsi="Aptos"/>
          <w:b w:val="0"/>
          <w:i w:val="0"/>
          <w:color w:val="1F2937"/>
          <w:sz w:val="21"/>
        </w:rPr>
        <w:t>Vendor, staff, ceremony, protocol, cultural, VIP and guest-journey operations.</w:t>
      </w:r>
    </w:p>
    <w:p>
      <w:pPr>
        <w:pStyle w:val="BlueprintBullet"/>
        <w:widowControl/>
        <w:numPr>
          <w:ilvl w:val="0"/>
          <w:numId w:val="13"/>
        </w:numPr>
      </w:pPr>
      <w:r>
        <w:rPr>
          <w:rFonts w:ascii="Aptos" w:hAnsi="Aptos"/>
          <w:b w:val="0"/>
          <w:i w:val="0"/>
          <w:color w:val="1F2937"/>
          <w:sz w:val="21"/>
        </w:rPr>
        <w:t>Readiness, risk, incidents, command, service recovery and outcomes.</w:t>
      </w:r>
    </w:p>
    <w:p>
      <w:pPr>
        <w:pStyle w:val="BlueprintBullet"/>
        <w:widowControl/>
        <w:numPr>
          <w:ilvl w:val="0"/>
          <w:numId w:val="13"/>
        </w:numPr>
      </w:pPr>
      <w:r>
        <w:rPr>
          <w:rFonts w:ascii="Aptos" w:hAnsi="Aptos"/>
          <w:b w:val="0"/>
          <w:i w:val="0"/>
          <w:color w:val="1F2937"/>
          <w:sz w:val="21"/>
        </w:rPr>
        <w:t>Credentials, access cards, QR codes, devices, offline check-in and reconciliation.</w:t>
      </w:r>
    </w:p>
    <w:p>
      <w:pPr>
        <w:pStyle w:val="BlueprintBullet"/>
        <w:widowControl/>
        <w:numPr>
          <w:ilvl w:val="0"/>
          <w:numId w:val="13"/>
        </w:numPr>
      </w:pPr>
      <w:r>
        <w:rPr>
          <w:rFonts w:ascii="Aptos" w:hAnsi="Aptos"/>
          <w:b w:val="0"/>
          <w:i w:val="0"/>
          <w:color w:val="1F2937"/>
          <w:sz w:val="21"/>
        </w:rPr>
        <w:t>Gated biometric enrolment and entry assertion.</w:t>
      </w:r>
    </w:p>
    <w:p>
      <w:pPr>
        <w:pStyle w:val="BlueprintBullet"/>
        <w:widowControl/>
        <w:numPr>
          <w:ilvl w:val="0"/>
          <w:numId w:val="13"/>
        </w:numPr>
      </w:pPr>
      <w:r>
        <w:rPr>
          <w:rFonts w:ascii="Aptos" w:hAnsi="Aptos"/>
          <w:b w:val="0"/>
          <w:i w:val="0"/>
          <w:color w:val="1F2937"/>
          <w:sz w:val="21"/>
        </w:rPr>
        <w:t>Cross-event templates, approved learning, governed person memory and vendor history.</w:t>
      </w:r>
    </w:p>
    <w:p>
      <w:pPr>
        <w:pStyle w:val="BlueprintBullet"/>
        <w:widowControl/>
        <w:numPr>
          <w:ilvl w:val="0"/>
          <w:numId w:val="13"/>
        </w:numPr>
      </w:pPr>
      <w:r>
        <w:rPr>
          <w:rFonts w:ascii="Aptos" w:hAnsi="Aptos"/>
          <w:b w:val="0"/>
          <w:i w:val="0"/>
          <w:color w:val="1F2937"/>
          <w:sz w:val="21"/>
        </w:rPr>
        <w:t>Executive and operational intelligence with explainability and human approval.</w:t>
      </w:r>
    </w:p>
    <w:p>
      <w:pPr>
        <w:pStyle w:val="Heading2"/>
        <w:keepNext/>
        <w:widowControl/>
      </w:pPr>
      <w:r>
        <w:t>2.2 Excluded from automatic authority</w:t>
      </w:r>
    </w:p>
    <w:p>
      <w:pPr>
        <w:pStyle w:val="BlueprintBullet"/>
        <w:widowControl/>
        <w:numPr>
          <w:ilvl w:val="0"/>
          <w:numId w:val="14"/>
        </w:numPr>
      </w:pPr>
      <w:r>
        <w:rPr>
          <w:rFonts w:ascii="Aptos" w:hAnsi="Aptos"/>
          <w:b w:val="0"/>
          <w:i w:val="0"/>
          <w:color w:val="1F2937"/>
          <w:sz w:val="21"/>
        </w:rPr>
        <w:t>Legal, medical, security, fire, safeguarding or protocol conclusions without qualified verification.</w:t>
      </w:r>
    </w:p>
    <w:p>
      <w:pPr>
        <w:pStyle w:val="BlueprintBullet"/>
        <w:widowControl/>
        <w:numPr>
          <w:ilvl w:val="0"/>
          <w:numId w:val="14"/>
        </w:numPr>
      </w:pPr>
      <w:r>
        <w:rPr>
          <w:rFonts w:ascii="Aptos" w:hAnsi="Aptos"/>
          <w:b w:val="0"/>
          <w:i w:val="0"/>
          <w:color w:val="1F2937"/>
          <w:sz w:val="21"/>
        </w:rPr>
        <w:t>Autonomous changes to doctrine, standards, guest identity or event authority.</w:t>
      </w:r>
    </w:p>
    <w:p>
      <w:pPr>
        <w:pStyle w:val="BlueprintBullet"/>
        <w:widowControl/>
        <w:numPr>
          <w:ilvl w:val="0"/>
          <w:numId w:val="14"/>
        </w:numPr>
      </w:pPr>
      <w:r>
        <w:rPr>
          <w:rFonts w:ascii="Aptos" w:hAnsi="Aptos"/>
          <w:b w:val="0"/>
          <w:i w:val="0"/>
          <w:color w:val="1F2937"/>
          <w:sz w:val="21"/>
        </w:rPr>
        <w:t>Autonomous irreversible decisions, crisis communications, VIP treatment or compensation.</w:t>
      </w:r>
    </w:p>
    <w:p>
      <w:pPr>
        <w:pStyle w:val="BlueprintBullet"/>
        <w:widowControl/>
        <w:numPr>
          <w:ilvl w:val="0"/>
          <w:numId w:val="14"/>
        </w:numPr>
      </w:pPr>
      <w:r>
        <w:rPr>
          <w:rFonts w:ascii="Aptos" w:hAnsi="Aptos"/>
          <w:b w:val="0"/>
          <w:i w:val="0"/>
          <w:color w:val="1F2937"/>
          <w:sz w:val="21"/>
        </w:rPr>
        <w:t>Global sharing of guest data simply because contact details match.</w:t>
      </w:r>
    </w:p>
    <w:p>
      <w:pPr>
        <w:pStyle w:val="BlueprintBullet"/>
        <w:widowControl/>
        <w:numPr>
          <w:ilvl w:val="0"/>
          <w:numId w:val="14"/>
        </w:numPr>
      </w:pPr>
      <w:r>
        <w:rPr>
          <w:rFonts w:ascii="Aptos" w:hAnsi="Aptos"/>
          <w:b w:val="0"/>
          <w:i w:val="0"/>
          <w:color w:val="1F2937"/>
          <w:sz w:val="21"/>
        </w:rPr>
        <w:t>Biometric production use before consent, security, legal and pilot gates pass.</w:t>
      </w:r>
    </w:p>
    <w:p>
      <w:pPr>
        <w:pStyle w:val="BlueprintBullet"/>
        <w:widowControl/>
        <w:numPr>
          <w:ilvl w:val="0"/>
          <w:numId w:val="14"/>
        </w:numPr>
      </w:pPr>
      <w:r>
        <w:rPr>
          <w:rFonts w:ascii="Aptos" w:hAnsi="Aptos"/>
          <w:b w:val="0"/>
          <w:i w:val="0"/>
          <w:color w:val="1F2937"/>
          <w:sz w:val="21"/>
        </w:rPr>
        <w:t>Replacing specialist judgement with a model output or static Lagos assumption.</w:t>
      </w:r>
    </w:p>
    <w:p>
      <w:pPr>
        <w:pStyle w:val="Heading2"/>
        <w:keepNext/>
        <w:widowControl/>
      </w:pPr>
      <w:r>
        <w:t>2.3 Deliberately not built</w:t>
      </w:r>
    </w:p>
    <w:p>
      <w:pPr>
        <w:pStyle w:val="BlueprintBullet"/>
        <w:widowControl/>
        <w:numPr>
          <w:ilvl w:val="0"/>
          <w:numId w:val="15"/>
        </w:numPr>
      </w:pPr>
      <w:r>
        <w:rPr>
          <w:rFonts w:ascii="Aptos" w:hAnsi="Aptos"/>
          <w:b w:val="0"/>
          <w:i w:val="0"/>
          <w:color w:val="1F2937"/>
          <w:sz w:val="21"/>
        </w:rPr>
        <w:t>A separate microservice for every module or screen.</w:t>
      </w:r>
    </w:p>
    <w:p>
      <w:pPr>
        <w:pStyle w:val="BlueprintBullet"/>
        <w:widowControl/>
        <w:numPr>
          <w:ilvl w:val="0"/>
          <w:numId w:val="15"/>
        </w:numPr>
      </w:pPr>
      <w:r>
        <w:rPr>
          <w:rFonts w:ascii="Aptos" w:hAnsi="Aptos"/>
          <w:b w:val="0"/>
          <w:i w:val="0"/>
          <w:color w:val="1F2937"/>
          <w:sz w:val="21"/>
        </w:rPr>
        <w:t>A single oversized Guest table containing every domain concern.</w:t>
      </w:r>
    </w:p>
    <w:p>
      <w:pPr>
        <w:pStyle w:val="BlueprintBullet"/>
        <w:widowControl/>
        <w:numPr>
          <w:ilvl w:val="0"/>
          <w:numId w:val="15"/>
        </w:numPr>
      </w:pPr>
      <w:r>
        <w:rPr>
          <w:rFonts w:ascii="Aptos" w:hAnsi="Aptos"/>
          <w:b w:val="0"/>
          <w:i w:val="0"/>
          <w:color w:val="1F2937"/>
          <w:sz w:val="21"/>
        </w:rPr>
        <w:t>A universal activity table used instead of proper domain ledgers.</w:t>
      </w:r>
    </w:p>
    <w:p>
      <w:pPr>
        <w:pStyle w:val="BlueprintBullet"/>
        <w:widowControl/>
        <w:numPr>
          <w:ilvl w:val="0"/>
          <w:numId w:val="15"/>
        </w:numPr>
      </w:pPr>
      <w:r>
        <w:rPr>
          <w:rFonts w:ascii="Aptos" w:hAnsi="Aptos"/>
          <w:b w:val="0"/>
          <w:i w:val="0"/>
          <w:color w:val="1F2937"/>
          <w:sz w:val="21"/>
        </w:rPr>
        <w:t>A guest username/password system for RSVP and access-card journeys.</w:t>
      </w:r>
    </w:p>
    <w:p>
      <w:pPr>
        <w:pStyle w:val="BlueprintBullet"/>
        <w:widowControl/>
        <w:numPr>
          <w:ilvl w:val="0"/>
          <w:numId w:val="15"/>
        </w:numPr>
      </w:pPr>
      <w:r>
        <w:rPr>
          <w:rFonts w:ascii="Aptos" w:hAnsi="Aptos"/>
          <w:b w:val="0"/>
          <w:i w:val="0"/>
          <w:color w:val="1F2937"/>
          <w:sz w:val="21"/>
        </w:rPr>
        <w:t>A second event-day attendance ledger.</w:t>
      </w:r>
    </w:p>
    <w:p>
      <w:pPr>
        <w:pStyle w:val="BlueprintBullet"/>
        <w:widowControl/>
        <w:numPr>
          <w:ilvl w:val="0"/>
          <w:numId w:val="15"/>
        </w:numPr>
      </w:pPr>
      <w:r>
        <w:rPr>
          <w:rFonts w:ascii="Aptos" w:hAnsi="Aptos"/>
          <w:b w:val="0"/>
          <w:i w:val="0"/>
          <w:color w:val="1F2937"/>
          <w:sz w:val="21"/>
        </w:rPr>
        <w:t>An AI chatbot with unrestricted database access.</w:t>
      </w:r>
    </w:p>
    <w:p>
      <w:pPr>
        <w:pStyle w:val="BlueprintBullet"/>
        <w:widowControl/>
        <w:numPr>
          <w:ilvl w:val="0"/>
          <w:numId w:val="15"/>
        </w:numPr>
      </w:pPr>
      <w:r>
        <w:rPr>
          <w:rFonts w:ascii="Aptos" w:hAnsi="Aptos"/>
          <w:b w:val="0"/>
          <w:i w:val="0"/>
          <w:color w:val="1F2937"/>
          <w:sz w:val="21"/>
        </w:rPr>
        <w:t>A frontend generated mechanically from database models.</w:t>
      </w:r>
    </w:p>
    <w:p>
      <w:pPr>
        <w:pStyle w:val="Heading1"/>
        <w:keepNext/>
        <w:widowControl/>
      </w:pPr>
      <w:r>
        <w:t>3. Architectural laws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11827"/>
            <w:vAlign w:val="top"/>
            <w:tcMar>
              <w:top w:w="90" w:type="dxa"/>
              <w:start w:w="120" w:type="dxa"/>
              <w:bottom w:w="90" w:type="dxa"/>
              <w:end w:w="120" w:type="dxa"/>
            </w:tcMar>
          </w:tcPr>
          <w:p>
            <w:r>
              <w:rPr>
                <w:rFonts w:ascii="Aptos" w:hAnsi="Aptos"/>
                <w:b/>
                <w:i w:val="0"/>
                <w:color w:val="FFFFFF"/>
                <w:sz w:val="18"/>
              </w:rPr>
              <w:t>Law</w:t>
            </w:r>
          </w:p>
        </w:tc>
        <w:tc>
          <w:tcPr>
            <w:tcW w:type="dxa" w:w="7260"/>
            <w:shd w:fill="111827"/>
            <w:vAlign w:val="top"/>
            <w:tcMar>
              <w:top w:w="90" w:type="dxa"/>
              <w:start w:w="120" w:type="dxa"/>
              <w:bottom w:w="90" w:type="dxa"/>
              <w:end w:w="120" w:type="dxa"/>
            </w:tcMar>
          </w:tcPr>
          <w:p>
            <w:r>
              <w:rPr>
                <w:rFonts w:ascii="Aptos" w:hAnsi="Aptos"/>
                <w:b/>
                <w:i w:val="0"/>
                <w:color w:val="FFFFFF"/>
                <w:sz w:val="18"/>
              </w:rPr>
              <w:t>Binding rule</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L01 Event scope by default</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Every operational record has an organisation, client and event context unless explicitly classified as reusable organisational knowledge.</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L02 Controlled cross-event use</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Cross-event identity, memory, learning and analytics require declared purpose, permission, provenance and retention.</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L03 Canonical ownership</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Each entity and state has one write authority. Replicas, snapshots and projections declare their source and reconciliation rule.</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L04 Immutable evidence</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Events, decisions, approvals, attendance and sensitive actions append evidence; corrections supersede rather than erase history.</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L05 Truth states</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Unknown, provisional, asserted, verified, stale, contradicted and superseded are distinct states.</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L06 Explainable intelligence</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Every recommendation exposes trigger, inputs, applicable knowledge, confidence, evidence, owner, expiry and required action.</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L07 Human authority</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AI cannot approve, publish doctrine, confirm protocol, close crises, change identity or make irreversible guest-impact decisions.</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L08 Frontend parity</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 capability is incomplete until its screens, states, permissions, accessibility and observed task tests pass.</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L09 Least data</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Every role, service and device receives only the fields required for its present task.</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L10 Fail visible</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Conflicts, failed integrations, stale data, dead letters and partial processing remain visible and owned.</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L11 Version, do not overwrite</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Published knowledge, plans, layouts and event-day snapshots are corrected through a new version with lineage.</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L12 Field validation</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No department is field-ready until a supervised pilot or shadow run passes defined operational gates.</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L13 Lagos as context</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Lagos assumptions live in versioned context packs; they never masquerade as universal truth or current event facts.</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L14 Build economy</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Shared primitives are built once; domain extensions exist only where the operating decision genuinely differs.</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L15 Evidence before status</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Complete, Green, sent, delivered, safe and recovered require the evidence specified for that claim.</w:t>
            </w:r>
          </w:p>
        </w:tc>
      </w:tr>
    </w:tbl>
    <w:p>
      <w:pPr>
        <w:widowControl/>
        <w:spacing w:after="0"/>
      </w:pPr>
    </w:p>
    <w:p>
      <w:pPr>
        <w:pStyle w:val="Heading1"/>
        <w:keepNext/>
        <w:widowControl/>
      </w:pPr>
      <w:r>
        <w:t>4. Target architecture</w:t>
      </w:r>
    </w:p>
    <w:p>
      <w:pPr>
        <w:pStyle w:val="Heading2"/>
        <w:keepNext/>
        <w:widowControl/>
      </w:pPr>
      <w:r>
        <w:t>4.1 Logical components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111827"/>
            <w:vAlign w:val="top"/>
            <w:tcMar>
              <w:top w:w="90" w:type="dxa"/>
              <w:start w:w="120" w:type="dxa"/>
              <w:bottom w:w="90" w:type="dxa"/>
              <w:end w:w="120" w:type="dxa"/>
            </w:tcMar>
          </w:tcPr>
          <w:p>
            <w:r>
              <w:rPr>
                <w:rFonts w:ascii="Aptos" w:hAnsi="Aptos"/>
                <w:b/>
                <w:i w:val="0"/>
                <w:color w:val="FFFFFF"/>
                <w:sz w:val="18"/>
              </w:rPr>
              <w:t>Component</w:t>
            </w:r>
          </w:p>
        </w:tc>
        <w:tc>
          <w:tcPr>
            <w:tcW w:type="dxa" w:w="6960"/>
            <w:shd w:fill="111827"/>
            <w:vAlign w:val="top"/>
            <w:tcMar>
              <w:top w:w="90" w:type="dxa"/>
              <w:start w:w="120" w:type="dxa"/>
              <w:bottom w:w="90" w:type="dxa"/>
              <w:end w:w="120" w:type="dxa"/>
            </w:tcMar>
          </w:tcPr>
          <w:p>
            <w:r>
              <w:rPr>
                <w:rFonts w:ascii="Aptos" w:hAnsi="Aptos"/>
                <w:b/>
                <w:i w:val="0"/>
                <w:color w:val="FFFFFF"/>
                <w:sz w:val="18"/>
              </w:rPr>
              <w:t>Responsibility</w:t>
            </w:r>
          </w:p>
        </w:tc>
      </w:tr>
      <w:tr>
        <w:tc>
          <w:tcPr>
            <w:tcW w:type="dxa" w:w="24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Experience shell</w:t>
            </w:r>
          </w:p>
        </w:tc>
        <w:tc>
          <w:tcPr>
            <w:tcW w:type="dxa" w:w="69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One staff-facing web application and guest-facing signed-link surfaces; role- and event-aware navigation.</w:t>
            </w:r>
          </w:p>
        </w:tc>
      </w:tr>
      <w:tr>
        <w:tc>
          <w:tcPr>
            <w:tcW w:type="dxa" w:w="24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Core Event Platform</w:t>
            </w:r>
          </w:p>
        </w:tc>
        <w:tc>
          <w:tcPr>
            <w:tcW w:type="dxa" w:w="69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Organisations, clients, events, people/event guests, plans, vendors, staff, communications, seating, credentials and evidence.</w:t>
            </w:r>
          </w:p>
        </w:tc>
      </w:tr>
      <w:tr>
        <w:tc>
          <w:tcPr>
            <w:tcW w:type="dxa" w:w="24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Knowledge &amp; Assurance</w:t>
            </w:r>
          </w:p>
        </w:tc>
        <w:tc>
          <w:tcPr>
            <w:tcW w:type="dxa" w:w="69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Versioned doctrine, standards, SOPs, context packs, applicability, readiness and assurance contracts.</w:t>
            </w:r>
          </w:p>
        </w:tc>
      </w:tr>
      <w:tr>
        <w:tc>
          <w:tcPr>
            <w:tcW w:type="dxa" w:w="24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Intelligence &amp; Workflow</w:t>
            </w:r>
          </w:p>
        </w:tc>
        <w:tc>
          <w:tcPr>
            <w:tcW w:type="dxa" w:w="69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Signals, findings, recommendations, decision queues, approvals, escalation and outcome verification.</w:t>
            </w:r>
          </w:p>
        </w:tc>
      </w:tr>
      <w:tr>
        <w:tc>
          <w:tcPr>
            <w:tcW w:type="dxa" w:w="24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Event-Day Runtime (EDR)</w:t>
            </w:r>
          </w:p>
        </w:tc>
        <w:tc>
          <w:tcPr>
            <w:tcW w:type="dxa" w:w="69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Published snapshot, device access, offline operation, append-only attendance/incident ledger, command status and close-out.</w:t>
            </w:r>
          </w:p>
        </w:tc>
      </w:tr>
      <w:tr>
        <w:tc>
          <w:tcPr>
            <w:tcW w:type="dxa" w:w="24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Seating Solver</w:t>
            </w:r>
          </w:p>
        </w:tc>
        <w:tc>
          <w:tcPr>
            <w:tcW w:type="dxa" w:w="69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Stateless deterministic CP-SAT allocation service; receives minimum necessary data and returns explanations.</w:t>
            </w:r>
          </w:p>
        </w:tc>
      </w:tr>
      <w:tr>
        <w:tc>
          <w:tcPr>
            <w:tcW w:type="dxa" w:w="24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Communications workers</w:t>
            </w:r>
          </w:p>
        </w:tc>
        <w:tc>
          <w:tcPr>
            <w:tcW w:type="dxa" w:w="69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Idempotent outbound scheduling, delivery webhooks, inbound ingestion, retries and dead-letter handling.</w:t>
            </w:r>
          </w:p>
        </w:tc>
      </w:tr>
      <w:tr>
        <w:tc>
          <w:tcPr>
            <w:tcW w:type="dxa" w:w="24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Credential service</w:t>
            </w:r>
          </w:p>
        </w:tc>
        <w:tc>
          <w:tcPr>
            <w:tcW w:type="dxa" w:w="69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Opaque QR credentials, card rendering, issuance, delivery, revocation and scan resolution.</w:t>
            </w:r>
          </w:p>
        </w:tc>
      </w:tr>
      <w:tr>
        <w:tc>
          <w:tcPr>
            <w:tcW w:type="dxa" w:w="24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FaceGate boundary</w:t>
            </w:r>
          </w:p>
        </w:tc>
        <w:tc>
          <w:tcPr>
            <w:tcW w:type="dxa" w:w="69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Isolated biometric consent, enrolment, matching and deletion; submits assertions to EDR only when enabled.</w:t>
            </w:r>
          </w:p>
        </w:tc>
      </w:tr>
      <w:tr>
        <w:tc>
          <w:tcPr>
            <w:tcW w:type="dxa" w:w="24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Platform services</w:t>
            </w:r>
          </w:p>
        </w:tc>
        <w:tc>
          <w:tcPr>
            <w:tcW w:type="dxa" w:w="69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Authentication, policy enforcement, audit, object storage, observability, configuration and secrets.</w:t>
            </w:r>
          </w:p>
        </w:tc>
      </w:tr>
    </w:tbl>
    <w:p>
      <w:pPr>
        <w:widowControl/>
        <w:spacing w:after="0"/>
      </w:pPr>
    </w:p>
    <w:p>
      <w:pPr>
        <w:pStyle w:val="Heading2"/>
        <w:keepNext/>
        <w:widowControl/>
      </w:pPr>
      <w:r>
        <w:t>4.2 Canonical flow</w:t>
      </w:r>
    </w:p>
    <w:p>
      <w:pPr>
        <w:pStyle w:val="BlueprintNumber"/>
        <w:spacing w:after="80"/>
        <w:widowControl/>
        <w:numPr>
          <w:ilvl w:val="0"/>
          <w:numId w:val="16"/>
        </w:numPr>
      </w:pPr>
      <w:r>
        <w:rPr>
          <w:rFonts w:ascii="Aptos" w:hAnsi="Aptos"/>
          <w:b w:val="0"/>
          <w:i w:val="0"/>
          <w:color w:val="1F2937"/>
          <w:sz w:val="21"/>
        </w:rPr>
        <w:t>Approved organisational knowledge and context are published.</w:t>
      </w:r>
    </w:p>
    <w:p>
      <w:pPr>
        <w:pStyle w:val="BlueprintNumber"/>
        <w:spacing w:after="80"/>
        <w:widowControl/>
        <w:numPr>
          <w:ilvl w:val="0"/>
          <w:numId w:val="16"/>
        </w:numPr>
      </w:pPr>
      <w:r>
        <w:rPr>
          <w:rFonts w:ascii="Aptos" w:hAnsi="Aptos"/>
          <w:b w:val="0"/>
          <w:i w:val="0"/>
          <w:color w:val="1F2937"/>
          <w:sz w:val="21"/>
        </w:rPr>
        <w:t>An event is created beneath one client and assigned an operating context.</w:t>
      </w:r>
    </w:p>
    <w:p>
      <w:pPr>
        <w:pStyle w:val="BlueprintNumber"/>
        <w:spacing w:after="80"/>
        <w:widowControl/>
        <w:numPr>
          <w:ilvl w:val="0"/>
          <w:numId w:val="16"/>
        </w:numPr>
      </w:pPr>
      <w:r>
        <w:rPr>
          <w:rFonts w:ascii="Aptos" w:hAnsi="Aptos"/>
          <w:b w:val="0"/>
          <w:i w:val="0"/>
          <w:color w:val="1F2937"/>
          <w:sz w:val="21"/>
        </w:rPr>
        <w:t>Event facts, guests, plans, standards and dependencies are collected with provenance.</w:t>
      </w:r>
    </w:p>
    <w:p>
      <w:pPr>
        <w:pStyle w:val="BlueprintNumber"/>
        <w:spacing w:after="80"/>
        <w:widowControl/>
        <w:numPr>
          <w:ilvl w:val="0"/>
          <w:numId w:val="16"/>
        </w:numPr>
      </w:pPr>
      <w:r>
        <w:rPr>
          <w:rFonts w:ascii="Aptos" w:hAnsi="Aptos"/>
          <w:b w:val="0"/>
          <w:i w:val="0"/>
          <w:color w:val="1F2937"/>
          <w:sz w:val="21"/>
        </w:rPr>
        <w:t>The assurance layer evaluates data quality, applicability and readiness.</w:t>
      </w:r>
    </w:p>
    <w:p>
      <w:pPr>
        <w:pStyle w:val="BlueprintNumber"/>
        <w:spacing w:after="80"/>
        <w:widowControl/>
        <w:numPr>
          <w:ilvl w:val="0"/>
          <w:numId w:val="16"/>
        </w:numPr>
      </w:pPr>
      <w:r>
        <w:rPr>
          <w:rFonts w:ascii="Aptos" w:hAnsi="Aptos"/>
          <w:b w:val="0"/>
          <w:i w:val="0"/>
          <w:color w:val="1F2937"/>
          <w:sz w:val="21"/>
        </w:rPr>
        <w:t>The intelligence layer creates explainable findings, recommendations and decisions.</w:t>
      </w:r>
    </w:p>
    <w:p>
      <w:pPr>
        <w:pStyle w:val="BlueprintNumber"/>
        <w:spacing w:after="80"/>
        <w:widowControl/>
        <w:numPr>
          <w:ilvl w:val="0"/>
          <w:numId w:val="16"/>
        </w:numPr>
      </w:pPr>
      <w:r>
        <w:rPr>
          <w:rFonts w:ascii="Aptos" w:hAnsi="Aptos"/>
          <w:b w:val="0"/>
          <w:i w:val="0"/>
          <w:color w:val="1F2937"/>
          <w:sz w:val="21"/>
        </w:rPr>
        <w:t>Humans approve consequential plans and publish an immutable event-day snapshot.</w:t>
      </w:r>
    </w:p>
    <w:p>
      <w:pPr>
        <w:pStyle w:val="BlueprintNumber"/>
        <w:spacing w:after="80"/>
        <w:widowControl/>
        <w:numPr>
          <w:ilvl w:val="0"/>
          <w:numId w:val="16"/>
        </w:numPr>
      </w:pPr>
      <w:r>
        <w:rPr>
          <w:rFonts w:ascii="Aptos" w:hAnsi="Aptos"/>
          <w:b w:val="0"/>
          <w:i w:val="0"/>
          <w:color w:val="1F2937"/>
          <w:sz w:val="21"/>
        </w:rPr>
        <w:t>EDR becomes the only live operational write authority for attendance and event-day runtime records.</w:t>
      </w:r>
    </w:p>
    <w:p>
      <w:pPr>
        <w:pStyle w:val="BlueprintNumber"/>
        <w:spacing w:after="80"/>
        <w:widowControl/>
        <w:numPr>
          <w:ilvl w:val="0"/>
          <w:numId w:val="16"/>
        </w:numPr>
      </w:pPr>
      <w:r>
        <w:rPr>
          <w:rFonts w:ascii="Aptos" w:hAnsi="Aptos"/>
          <w:b w:val="0"/>
          <w:i w:val="0"/>
          <w:color w:val="1F2937"/>
          <w:sz w:val="21"/>
        </w:rPr>
        <w:t>The event is closed and reconciled; verified outcomes return to the core platform.</w:t>
      </w:r>
    </w:p>
    <w:p>
      <w:pPr>
        <w:pStyle w:val="BlueprintNumber"/>
        <w:spacing w:after="80"/>
        <w:widowControl/>
        <w:numPr>
          <w:ilvl w:val="0"/>
          <w:numId w:val="16"/>
        </w:numPr>
      </w:pPr>
      <w:r>
        <w:rPr>
          <w:rFonts w:ascii="Aptos" w:hAnsi="Aptos"/>
          <w:b w:val="0"/>
          <w:i w:val="0"/>
          <w:color w:val="1F2937"/>
          <w:sz w:val="21"/>
        </w:rPr>
        <w:t>Approved lessons may propose knowledge changes; they cannot publish themselves.</w:t>
      </w:r>
    </w:p>
    <w:p>
      <w:pPr>
        <w:pStyle w:val="Heading2"/>
        <w:keepNext/>
        <w:widowControl/>
      </w:pPr>
      <w:r>
        <w:t>4.3 Data ownership</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111827"/>
            <w:vAlign w:val="top"/>
            <w:tcMar>
              <w:top w:w="90" w:type="dxa"/>
              <w:start w:w="120" w:type="dxa"/>
              <w:bottom w:w="90" w:type="dxa"/>
              <w:end w:w="120" w:type="dxa"/>
            </w:tcMar>
          </w:tcPr>
          <w:p>
            <w:r>
              <w:rPr>
                <w:rFonts w:ascii="Aptos" w:hAnsi="Aptos"/>
                <w:b/>
                <w:i w:val="0"/>
                <w:color w:val="FFFFFF"/>
                <w:sz w:val="18"/>
              </w:rPr>
              <w:t>Data category</w:t>
            </w:r>
          </w:p>
        </w:tc>
        <w:tc>
          <w:tcPr>
            <w:tcW w:type="dxa" w:w="3000"/>
            <w:shd w:fill="111827"/>
            <w:vAlign w:val="top"/>
            <w:tcMar>
              <w:top w:w="90" w:type="dxa"/>
              <w:start w:w="120" w:type="dxa"/>
              <w:bottom w:w="90" w:type="dxa"/>
              <w:end w:w="120" w:type="dxa"/>
            </w:tcMar>
          </w:tcPr>
          <w:p>
            <w:r>
              <w:rPr>
                <w:rFonts w:ascii="Aptos" w:hAnsi="Aptos"/>
                <w:b/>
                <w:i w:val="0"/>
                <w:color w:val="FFFFFF"/>
                <w:sz w:val="18"/>
              </w:rPr>
              <w:t>Write authority</w:t>
            </w:r>
          </w:p>
        </w:tc>
        <w:tc>
          <w:tcPr>
            <w:tcW w:type="dxa" w:w="4160"/>
            <w:shd w:fill="111827"/>
            <w:vAlign w:val="top"/>
            <w:tcMar>
              <w:top w:w="90" w:type="dxa"/>
              <w:start w:w="120" w:type="dxa"/>
              <w:bottom w:w="90" w:type="dxa"/>
              <w:end w:w="120" w:type="dxa"/>
            </w:tcMar>
          </w:tcPr>
          <w:p>
            <w:r>
              <w:rPr>
                <w:rFonts w:ascii="Aptos" w:hAnsi="Aptos"/>
                <w:b/>
                <w:i w:val="0"/>
                <w:color w:val="FFFFFF"/>
                <w:sz w:val="18"/>
              </w:rPr>
              <w:t>Consumers</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Organisation, client, event</w:t>
            </w:r>
          </w:p>
        </w:tc>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Core Event Platform</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All authorised components</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Knowledge and standards</w:t>
            </w:r>
          </w:p>
        </w:tc>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Knowledge &amp; Assurance</w:t>
            </w:r>
          </w:p>
        </w:tc>
        <w:tc>
          <w:tcPr>
            <w:tcW w:type="dxa" w:w="4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Planning, intelligence, EDR snapshot</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 guests and households</w:t>
            </w:r>
          </w:p>
        </w:tc>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Core Event Platform</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RSVP, seating, communications, credentials, snapshot publisher</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Published event-day snapshot</w:t>
            </w:r>
          </w:p>
        </w:tc>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EDR snapshot service</w:t>
            </w:r>
          </w:p>
        </w:tc>
        <w:tc>
          <w:tcPr>
            <w:tcW w:type="dxa" w:w="4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Devices, FaceGate integration, command surfaces</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Live attendance and event-day ledger</w:t>
            </w:r>
          </w:p>
        </w:tc>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EDR</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Command, reconciliation, core outcome import</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Seating recommendation</w:t>
            </w:r>
          </w:p>
        </w:tc>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Seating Solver output stored by core</w:t>
            </w:r>
          </w:p>
        </w:tc>
        <w:tc>
          <w:tcPr>
            <w:tcW w:type="dxa" w:w="4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Review and publication workflow</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Messages and replies</w:t>
            </w:r>
          </w:p>
        </w:tc>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Communications domain</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 record timeline, operational inbox, intelligence</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Biometric templates</w:t>
            </w:r>
          </w:p>
        </w:tc>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FaceGate only</w:t>
            </w:r>
          </w:p>
        </w:tc>
        <w:tc>
          <w:tcPr>
            <w:tcW w:type="dxa" w:w="4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FaceGate matching and deletion jobs</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Decisions and approvals</w:t>
            </w:r>
          </w:p>
        </w:tc>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Workflow domain</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All relevant workspaces and audit</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Audit events</w:t>
            </w:r>
          </w:p>
        </w:tc>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Domain emitters into shared audit projection</w:t>
            </w:r>
          </w:p>
        </w:tc>
        <w:tc>
          <w:tcPr>
            <w:tcW w:type="dxa" w:w="4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Authorised review and incident investigation</w:t>
            </w:r>
          </w:p>
        </w:tc>
      </w:tr>
    </w:tbl>
    <w:p>
      <w:pPr>
        <w:widowControl/>
        <w:spacing w:after="0"/>
      </w:pPr>
    </w:p>
    <w:p>
      <w:pPr>
        <w:pStyle w:val="Heading2"/>
        <w:keepNext/>
        <w:widowControl/>
      </w:pPr>
      <w:r>
        <w:t>4.4 Service-boundary test</w:t>
      </w:r>
    </w:p>
    <w:p>
      <w:pPr>
        <w:keepLines w:val="0"/>
        <w:widowControl/>
      </w:pPr>
      <w:r>
        <w:rPr>
          <w:rFonts w:ascii="Aptos" w:hAnsi="Aptos"/>
          <w:b w:val="0"/>
          <w:i w:val="0"/>
          <w:color w:val="1F2937"/>
          <w:sz w:val="21"/>
        </w:rPr>
        <w:t>A capability becomes independently deployed only when at least one boundary is material: specialist runtime, sensitive-data isolation, event-day availability, independent scaling or failure containment. Otherwise it remains a module of the core application. Database schemas follow bounded domains, not the number of modules or screens.</w:t>
      </w:r>
    </w:p>
    <w:p>
      <w:pPr>
        <w:pStyle w:val="Heading1"/>
        <w:keepNext/>
        <w:widowControl/>
      </w:pPr>
      <w:r>
        <w:t>5. Event and cross-event model</w:t>
      </w:r>
    </w:p>
    <w:p>
      <w:pPr>
        <w:pStyle w:val="Heading2"/>
        <w:keepNext/>
        <w:widowControl/>
      </w:pPr>
      <w:r>
        <w:t>5.1 Hierarchy</w:t>
      </w:r>
    </w:p>
    <w:tbl>
      <w:tblPr>
        <w:tblStyle w:val="TableGrid"/>
        <w:tblW w:type="dxa" w:w="9360"/>
        <w:jc w:val="left"/>
        <w:tblLayout w:type="fixed"/>
        <w:tblLook w:firstColumn="1" w:firstRow="1" w:lastColumn="0" w:lastRow="0" w:noHBand="0" w:noVBand="1" w:val="04A0"/>
        <w:tblInd w:w="120" w:type="dxa"/>
      </w:tblPr>
      <w:tblGrid>
        <w:gridCol w:w="1900"/>
        <w:gridCol w:w="3700"/>
        <w:gridCol w:w="3760"/>
      </w:tblGrid>
      <w:tr>
        <w:trPr>
          <w:tblHeader w:val="true"/>
        </w:trPr>
        <w:tc>
          <w:tcPr>
            <w:tcW w:type="dxa" w:w="1900"/>
            <w:shd w:fill="111827"/>
            <w:vAlign w:val="top"/>
            <w:tcMar>
              <w:top w:w="90" w:type="dxa"/>
              <w:start w:w="120" w:type="dxa"/>
              <w:bottom w:w="90" w:type="dxa"/>
              <w:end w:w="120" w:type="dxa"/>
            </w:tcMar>
          </w:tcPr>
          <w:p>
            <w:r>
              <w:rPr>
                <w:rFonts w:ascii="Aptos" w:hAnsi="Aptos"/>
                <w:b/>
                <w:i w:val="0"/>
                <w:color w:val="FFFFFF"/>
                <w:sz w:val="18"/>
              </w:rPr>
              <w:t>Level</w:t>
            </w:r>
          </w:p>
        </w:tc>
        <w:tc>
          <w:tcPr>
            <w:tcW w:type="dxa" w:w="3700"/>
            <w:shd w:fill="111827"/>
            <w:vAlign w:val="top"/>
            <w:tcMar>
              <w:top w:w="90" w:type="dxa"/>
              <w:start w:w="120" w:type="dxa"/>
              <w:bottom w:w="90" w:type="dxa"/>
              <w:end w:w="120" w:type="dxa"/>
            </w:tcMar>
          </w:tcPr>
          <w:p>
            <w:r>
              <w:rPr>
                <w:rFonts w:ascii="Aptos" w:hAnsi="Aptos"/>
                <w:b/>
                <w:i w:val="0"/>
                <w:color w:val="FFFFFF"/>
                <w:sz w:val="18"/>
              </w:rPr>
              <w:t>Purpose</w:t>
            </w:r>
          </w:p>
        </w:tc>
        <w:tc>
          <w:tcPr>
            <w:tcW w:type="dxa" w:w="3760"/>
            <w:shd w:fill="111827"/>
            <w:vAlign w:val="top"/>
            <w:tcMar>
              <w:top w:w="90" w:type="dxa"/>
              <w:start w:w="120" w:type="dxa"/>
              <w:bottom w:w="90" w:type="dxa"/>
              <w:end w:w="120" w:type="dxa"/>
            </w:tcMar>
          </w:tcPr>
          <w:p>
            <w:r>
              <w:rPr>
                <w:rFonts w:ascii="Aptos" w:hAnsi="Aptos"/>
                <w:b/>
                <w:i w:val="0"/>
                <w:color w:val="FFFFFF"/>
                <w:sz w:val="18"/>
              </w:rPr>
              <w:t>Examples</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Organisation</w:t>
            </w:r>
          </w:p>
        </w:tc>
        <w:tc>
          <w:tcPr>
            <w:tcW w:type="dxa" w:w="3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Maison Doclar operating boundary</w:t>
            </w:r>
          </w:p>
        </w:tc>
        <w:tc>
          <w:tcPr>
            <w:tcW w:type="dxa" w:w="3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Users, policy, knowledge, templates</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Client</w:t>
            </w:r>
          </w:p>
        </w:tc>
        <w:tc>
          <w:tcPr>
            <w:tcW w:type="dxa" w:w="37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Contracting or commissioning party</w:t>
            </w:r>
          </w:p>
        </w:tc>
        <w:tc>
          <w:tcPr>
            <w:tcW w:type="dxa" w:w="3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Client team, retention and data-sharing rules</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 programme</w:t>
            </w:r>
          </w:p>
        </w:tc>
        <w:tc>
          <w:tcPr>
            <w:tcW w:type="dxa" w:w="3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Optional group of related events</w:t>
            </w:r>
          </w:p>
        </w:tc>
        <w:tc>
          <w:tcPr>
            <w:tcW w:type="dxa" w:w="3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Wedding weekend, conference series</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w:t>
            </w:r>
          </w:p>
        </w:tc>
        <w:tc>
          <w:tcPr>
            <w:tcW w:type="dxa" w:w="37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Primary operating and permission scope</w:t>
            </w:r>
          </w:p>
        </w:tc>
        <w:tc>
          <w:tcPr>
            <w:tcW w:type="dxa" w:w="3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Plans, guests, vendors, standards, decisions</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 phase</w:t>
            </w:r>
          </w:p>
        </w:tc>
        <w:tc>
          <w:tcPr>
            <w:tcW w:type="dxa" w:w="3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Lifecycle state and control context</w:t>
            </w:r>
          </w:p>
        </w:tc>
        <w:tc>
          <w:tcPr>
            <w:tcW w:type="dxa" w:w="3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Discover, design, prepare, ready, live, close, learn</w:t>
            </w:r>
          </w:p>
        </w:tc>
      </w:tr>
    </w:tbl>
    <w:p>
      <w:pPr>
        <w:widowControl/>
        <w:spacing w:after="0"/>
      </w:pPr>
    </w:p>
    <w:p>
      <w:pPr>
        <w:pStyle w:val="Heading2"/>
        <w:keepNext/>
        <w:widowControl/>
      </w:pPr>
      <w:r>
        <w:t>5.2 Person and guest identity</w:t>
      </w:r>
    </w:p>
    <w:p>
      <w:pPr>
        <w:pStyle w:val="BlueprintBullet"/>
        <w:widowControl/>
        <w:numPr>
          <w:ilvl w:val="0"/>
          <w:numId w:val="17"/>
        </w:numPr>
      </w:pPr>
      <w:r>
        <w:rPr>
          <w:rFonts w:ascii="Aptos" w:hAnsi="Aptos"/>
          <w:b w:val="0"/>
          <w:i w:val="0"/>
          <w:color w:val="1F2937"/>
          <w:sz w:val="21"/>
        </w:rPr>
        <w:t>PersonProfile is optional and cross-event; it contains only governed, reusable identity and memory.</w:t>
      </w:r>
    </w:p>
    <w:p>
      <w:pPr>
        <w:pStyle w:val="BlueprintBullet"/>
        <w:widowControl/>
        <w:numPr>
          <w:ilvl w:val="0"/>
          <w:numId w:val="17"/>
        </w:numPr>
      </w:pPr>
      <w:r>
        <w:rPr>
          <w:rFonts w:ascii="Aptos" w:hAnsi="Aptos"/>
          <w:b w:val="0"/>
          <w:i w:val="0"/>
          <w:color w:val="1F2937"/>
          <w:sz w:val="21"/>
        </w:rPr>
        <w:t>EventGuest is mandatory for participation in an event and is the operational identity consumed by RSVP, seating, credentials and EDR.</w:t>
      </w:r>
    </w:p>
    <w:p>
      <w:pPr>
        <w:pStyle w:val="BlueprintBullet"/>
        <w:widowControl/>
        <w:numPr>
          <w:ilvl w:val="0"/>
          <w:numId w:val="17"/>
        </w:numPr>
      </w:pPr>
      <w:r>
        <w:rPr>
          <w:rFonts w:ascii="Aptos" w:hAnsi="Aptos"/>
          <w:b w:val="0"/>
          <w:i w:val="0"/>
          <w:color w:val="1F2937"/>
          <w:sz w:val="21"/>
        </w:rPr>
        <w:t>Matching may propose a PersonProfile link; an authorised human confirms it.</w:t>
      </w:r>
    </w:p>
    <w:p>
      <w:pPr>
        <w:pStyle w:val="BlueprintBullet"/>
        <w:widowControl/>
        <w:numPr>
          <w:ilvl w:val="0"/>
          <w:numId w:val="17"/>
        </w:numPr>
      </w:pPr>
      <w:r>
        <w:rPr>
          <w:rFonts w:ascii="Aptos" w:hAnsi="Aptos"/>
          <w:b w:val="0"/>
          <w:i w:val="0"/>
          <w:color w:val="1F2937"/>
          <w:sz w:val="21"/>
        </w:rPr>
        <w:t>A phone or email match never silently merges people or crosses clients.</w:t>
      </w:r>
    </w:p>
    <w:p>
      <w:pPr>
        <w:pStyle w:val="BlueprintBullet"/>
        <w:widowControl/>
        <w:numPr>
          <w:ilvl w:val="0"/>
          <w:numId w:val="17"/>
        </w:numPr>
      </w:pPr>
      <w:r>
        <w:rPr>
          <w:rFonts w:ascii="Aptos" w:hAnsi="Aptos"/>
          <w:b w:val="0"/>
          <w:i w:val="0"/>
          <w:color w:val="1F2937"/>
          <w:sz w:val="21"/>
        </w:rPr>
        <w:t>Sensitive event facts remain on EventGuest or a protected domain record, not on the reusable profile.</w:t>
      </w:r>
    </w:p>
    <w:p>
      <w:pPr>
        <w:pStyle w:val="BlueprintBullet"/>
        <w:widowControl/>
        <w:numPr>
          <w:ilvl w:val="0"/>
          <w:numId w:val="17"/>
        </w:numPr>
      </w:pPr>
      <w:r>
        <w:rPr>
          <w:rFonts w:ascii="Aptos" w:hAnsi="Aptos"/>
          <w:b w:val="0"/>
          <w:i w:val="0"/>
          <w:color w:val="1F2937"/>
          <w:sz w:val="21"/>
        </w:rPr>
        <w:t>Plus-ones become EventGuest records when named or when an individual credential is required.</w:t>
      </w:r>
    </w:p>
    <w:p>
      <w:pPr>
        <w:pStyle w:val="Heading2"/>
        <w:keepNext/>
        <w:widowControl/>
      </w:pPr>
      <w:r>
        <w:t>5.3 Cross-event capabilities</w:t>
      </w:r>
    </w:p>
    <w:tbl>
      <w:tblPr>
        <w:tblStyle w:val="TableGrid"/>
        <w:tblW w:type="dxa" w:w="9360"/>
        <w:jc w:val="left"/>
        <w:tblLayout w:type="fixed"/>
        <w:tblLook w:firstColumn="1" w:firstRow="1" w:lastColumn="0" w:lastRow="0" w:noHBand="0" w:noVBand="1" w:val="04A0"/>
        <w:tblInd w:w="120" w:type="dxa"/>
      </w:tblPr>
      <w:tblGrid>
        <w:gridCol w:w="2200"/>
        <w:gridCol w:w="4100"/>
        <w:gridCol w:w="3060"/>
      </w:tblGrid>
      <w:tr>
        <w:trPr>
          <w:tblHeader w:val="true"/>
        </w:trPr>
        <w:tc>
          <w:tcPr>
            <w:tcW w:type="dxa" w:w="2200"/>
            <w:shd w:fill="111827"/>
            <w:vAlign w:val="top"/>
            <w:tcMar>
              <w:top w:w="90" w:type="dxa"/>
              <w:start w:w="120" w:type="dxa"/>
              <w:bottom w:w="90" w:type="dxa"/>
              <w:end w:w="120" w:type="dxa"/>
            </w:tcMar>
          </w:tcPr>
          <w:p>
            <w:r>
              <w:rPr>
                <w:rFonts w:ascii="Aptos" w:hAnsi="Aptos"/>
                <w:b/>
                <w:i w:val="0"/>
                <w:color w:val="FFFFFF"/>
                <w:sz w:val="18"/>
              </w:rPr>
              <w:t>Capability</w:t>
            </w:r>
          </w:p>
        </w:tc>
        <w:tc>
          <w:tcPr>
            <w:tcW w:type="dxa" w:w="4100"/>
            <w:shd w:fill="111827"/>
            <w:vAlign w:val="top"/>
            <w:tcMar>
              <w:top w:w="90" w:type="dxa"/>
              <w:start w:w="120" w:type="dxa"/>
              <w:bottom w:w="90" w:type="dxa"/>
              <w:end w:w="120" w:type="dxa"/>
            </w:tcMar>
          </w:tcPr>
          <w:p>
            <w:r>
              <w:rPr>
                <w:rFonts w:ascii="Aptos" w:hAnsi="Aptos"/>
                <w:b/>
                <w:i w:val="0"/>
                <w:color w:val="FFFFFF"/>
                <w:sz w:val="18"/>
              </w:rPr>
              <w:t>Permitted shared content</w:t>
            </w:r>
          </w:p>
        </w:tc>
        <w:tc>
          <w:tcPr>
            <w:tcW w:type="dxa" w:w="3060"/>
            <w:shd w:fill="111827"/>
            <w:vAlign w:val="top"/>
            <w:tcMar>
              <w:top w:w="90" w:type="dxa"/>
              <w:start w:w="120" w:type="dxa"/>
              <w:bottom w:w="90" w:type="dxa"/>
              <w:end w:w="120" w:type="dxa"/>
            </w:tcMar>
          </w:tcPr>
          <w:p>
            <w:r>
              <w:rPr>
                <w:rFonts w:ascii="Aptos" w:hAnsi="Aptos"/>
                <w:b/>
                <w:i w:val="0"/>
                <w:color w:val="FFFFFF"/>
                <w:sz w:val="18"/>
              </w:rPr>
              <w:t>Control</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Knowledge</w:t>
            </w:r>
          </w:p>
        </w:tc>
        <w:tc>
          <w:tcPr>
            <w:tcW w:type="dxa" w:w="4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Approved doctrine, standards, SOPs and context packs</w:t>
            </w:r>
          </w:p>
        </w:tc>
        <w:tc>
          <w:tcPr>
            <w:tcW w:type="dxa" w:w="3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Version, authority and applicability</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Templates</w:t>
            </w:r>
          </w:p>
        </w:tc>
        <w:tc>
          <w:tcPr>
            <w:tcW w:type="dxa" w:w="4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 structures, questions, briefs, cards and workflows</w:t>
            </w:r>
          </w:p>
        </w:tc>
        <w:tc>
          <w:tcPr>
            <w:tcW w:type="dxa" w:w="3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Clone creates event-owned version</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Vendor history</w:t>
            </w:r>
          </w:p>
        </w:tc>
        <w:tc>
          <w:tcPr>
            <w:tcW w:type="dxa" w:w="4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Verified performance, incidents and references</w:t>
            </w:r>
          </w:p>
        </w:tc>
        <w:tc>
          <w:tcPr>
            <w:tcW w:type="dxa" w:w="3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Commercial permission and evidence</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Person memory</w:t>
            </w:r>
          </w:p>
        </w:tc>
        <w:tc>
          <w:tcPr>
            <w:tcW w:type="dxa" w:w="4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Explicitly approved stable preferences</w:t>
            </w:r>
          </w:p>
        </w:tc>
        <w:tc>
          <w:tcPr>
            <w:tcW w:type="dxa" w:w="3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Purpose, consent, sensitivity and retention</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Lessons</w:t>
            </w:r>
          </w:p>
        </w:tc>
        <w:tc>
          <w:tcPr>
            <w:tcW w:type="dxa" w:w="4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Anonymised or approved verified outcomes</w:t>
            </w:r>
          </w:p>
        </w:tc>
        <w:tc>
          <w:tcPr>
            <w:tcW w:type="dxa" w:w="3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Learning review before promotion</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Portfolio intelligence</w:t>
            </w:r>
          </w:p>
        </w:tc>
        <w:tc>
          <w:tcPr>
            <w:tcW w:type="dxa" w:w="4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Aggregated readiness, risk and performance</w:t>
            </w:r>
          </w:p>
        </w:tc>
        <w:tc>
          <w:tcPr>
            <w:tcW w:type="dxa" w:w="3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Minimum cohort and access control</w:t>
            </w:r>
          </w:p>
        </w:tc>
      </w:tr>
    </w:tbl>
    <w:p>
      <w:pPr>
        <w:widowControl/>
        <w:spacing w:after="0"/>
      </w:pPr>
    </w:p>
    <w:p>
      <w:pPr>
        <w:pStyle w:val="Heading2"/>
        <w:keepNext/>
        <w:widowControl/>
      </w:pPr>
      <w:r>
        <w:t>5.4 Event lifecycle</w:t>
      </w:r>
    </w:p>
    <w:tbl>
      <w:tblPr>
        <w:tblStyle w:val="TableGrid"/>
        <w:tblW w:type="dxa" w:w="9360"/>
        <w:jc w:val="left"/>
        <w:tblLayout w:type="fixed"/>
        <w:tblLook w:firstColumn="1" w:firstRow="1" w:lastColumn="0" w:lastRow="0" w:noHBand="0" w:noVBand="1" w:val="04A0"/>
        <w:tblInd w:w="120" w:type="dxa"/>
      </w:tblPr>
      <w:tblGrid>
        <w:gridCol w:w="1600"/>
        <w:gridCol w:w="3600"/>
        <w:gridCol w:w="4160"/>
      </w:tblGrid>
      <w:tr>
        <w:trPr>
          <w:tblHeader w:val="true"/>
        </w:trPr>
        <w:tc>
          <w:tcPr>
            <w:tcW w:type="dxa" w:w="1600"/>
            <w:shd w:fill="111827"/>
            <w:vAlign w:val="top"/>
            <w:tcMar>
              <w:top w:w="90" w:type="dxa"/>
              <w:start w:w="120" w:type="dxa"/>
              <w:bottom w:w="90" w:type="dxa"/>
              <w:end w:w="120" w:type="dxa"/>
            </w:tcMar>
          </w:tcPr>
          <w:p>
            <w:r>
              <w:rPr>
                <w:rFonts w:ascii="Aptos" w:hAnsi="Aptos"/>
                <w:b/>
                <w:i w:val="0"/>
                <w:color w:val="FFFFFF"/>
                <w:sz w:val="18"/>
              </w:rPr>
              <w:t>Phase</w:t>
            </w:r>
          </w:p>
        </w:tc>
        <w:tc>
          <w:tcPr>
            <w:tcW w:type="dxa" w:w="3600"/>
            <w:shd w:fill="111827"/>
            <w:vAlign w:val="top"/>
            <w:tcMar>
              <w:top w:w="90" w:type="dxa"/>
              <w:start w:w="120" w:type="dxa"/>
              <w:bottom w:w="90" w:type="dxa"/>
              <w:end w:w="120" w:type="dxa"/>
            </w:tcMar>
          </w:tcPr>
          <w:p>
            <w:r>
              <w:rPr>
                <w:rFonts w:ascii="Aptos" w:hAnsi="Aptos"/>
                <w:b/>
                <w:i w:val="0"/>
                <w:color w:val="FFFFFF"/>
                <w:sz w:val="18"/>
              </w:rPr>
              <w:t>Entry condition</w:t>
            </w:r>
          </w:p>
        </w:tc>
        <w:tc>
          <w:tcPr>
            <w:tcW w:type="dxa" w:w="4160"/>
            <w:shd w:fill="111827"/>
            <w:vAlign w:val="top"/>
            <w:tcMar>
              <w:top w:w="90" w:type="dxa"/>
              <w:start w:w="120" w:type="dxa"/>
              <w:bottom w:w="90" w:type="dxa"/>
              <w:end w:w="120" w:type="dxa"/>
            </w:tcMar>
          </w:tcPr>
          <w:p>
            <w:r>
              <w:rPr>
                <w:rFonts w:ascii="Aptos" w:hAnsi="Aptos"/>
                <w:b/>
                <w:i w:val="0"/>
                <w:color w:val="FFFFFF"/>
                <w:sz w:val="18"/>
              </w:rPr>
              <w:t>Exit evidence</w:t>
            </w:r>
          </w:p>
        </w:tc>
      </w:tr>
      <w:tr>
        <w:tc>
          <w:tcPr>
            <w:tcW w:type="dxa" w:w="1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Discover</w:t>
            </w:r>
          </w:p>
        </w:tc>
        <w:tc>
          <w:tcPr>
            <w:tcW w:type="dxa" w:w="3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Client and purpose identified</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Approved event brief and authority map</w:t>
            </w:r>
          </w:p>
        </w:tc>
      </w:tr>
      <w:tr>
        <w:tc>
          <w:tcPr>
            <w:tcW w:type="dxa" w:w="1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Design</w:t>
            </w:r>
          </w:p>
        </w:tc>
        <w:tc>
          <w:tcPr>
            <w:tcW w:type="dxa" w:w="3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Scope and principals understood</w:t>
            </w:r>
          </w:p>
        </w:tc>
        <w:tc>
          <w:tcPr>
            <w:tcW w:type="dxa" w:w="4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Approved experience architecture and baseline</w:t>
            </w:r>
          </w:p>
        </w:tc>
      </w:tr>
      <w:tr>
        <w:tc>
          <w:tcPr>
            <w:tcW w:type="dxa" w:w="1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Prepare</w:t>
            </w:r>
          </w:p>
        </w:tc>
        <w:tc>
          <w:tcPr>
            <w:tcW w:type="dxa" w:w="3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Plans and suppliers appointed</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Owned programme, risks, standards and dependencies</w:t>
            </w:r>
          </w:p>
        </w:tc>
      </w:tr>
      <w:tr>
        <w:tc>
          <w:tcPr>
            <w:tcW w:type="dxa" w:w="1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Ready</w:t>
            </w:r>
          </w:p>
        </w:tc>
        <w:tc>
          <w:tcPr>
            <w:tcW w:type="dxa" w:w="3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Critical evidence collected</w:t>
            </w:r>
          </w:p>
        </w:tc>
        <w:tc>
          <w:tcPr>
            <w:tcW w:type="dxa" w:w="4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 Readiness Declaration and publish approval</w:t>
            </w:r>
          </w:p>
        </w:tc>
      </w:tr>
      <w:tr>
        <w:tc>
          <w:tcPr>
            <w:tcW w:type="dxa" w:w="1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Live</w:t>
            </w:r>
          </w:p>
        </w:tc>
        <w:tc>
          <w:tcPr>
            <w:tcW w:type="dxa" w:w="3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Snapshot published; command open</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Closed runtime session and reconciled ledger</w:t>
            </w:r>
          </w:p>
        </w:tc>
      </w:tr>
      <w:tr>
        <w:tc>
          <w:tcPr>
            <w:tcW w:type="dxa" w:w="1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Close</w:t>
            </w:r>
          </w:p>
        </w:tc>
        <w:tc>
          <w:tcPr>
            <w:tcW w:type="dxa" w:w="3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Guest-facing obligations complete</w:t>
            </w:r>
          </w:p>
        </w:tc>
        <w:tc>
          <w:tcPr>
            <w:tcW w:type="dxa" w:w="4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Reports, unresolved items and retention timers</w:t>
            </w:r>
          </w:p>
        </w:tc>
      </w:tr>
      <w:tr>
        <w:tc>
          <w:tcPr>
            <w:tcW w:type="dxa" w:w="1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Learn</w:t>
            </w:r>
          </w:p>
        </w:tc>
        <w:tc>
          <w:tcPr>
            <w:tcW w:type="dxa" w:w="3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Outcomes verified</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Approved lessons or knowledge-change proposals</w:t>
            </w:r>
          </w:p>
        </w:tc>
      </w:tr>
    </w:tbl>
    <w:p>
      <w:pPr>
        <w:widowControl/>
        <w:spacing w:after="0"/>
      </w:pPr>
    </w:p>
    <w:p>
      <w:pPr>
        <w:pStyle w:val="Heading1"/>
        <w:keepNext/>
        <w:widowControl/>
      </w:pPr>
      <w:r>
        <w:t>6. Canonical data architecture</w:t>
      </w:r>
    </w:p>
    <w:p>
      <w:pPr>
        <w:keepLines w:val="0"/>
        <w:widowControl/>
      </w:pPr>
      <w:r>
        <w:rPr>
          <w:rFonts w:ascii="Aptos" w:hAnsi="Aptos"/>
          <w:b w:val="0"/>
          <w:i w:val="0"/>
          <w:color w:val="1F2937"/>
          <w:sz w:val="21"/>
        </w:rPr>
        <w:t>The model is organised into bounded domains. Names below are logical contracts; physical Prisma names may differ only through an approved mapping. Every mutable record carries version/audit metadata appropriate to its risk.</w:t>
      </w:r>
    </w:p>
    <w:p>
      <w:pPr>
        <w:pStyle w:val="Heading2"/>
        <w:keepNext/>
        <w:widowControl/>
      </w:pPr>
      <w:r>
        <w:t>6.1 Organisation and access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11827"/>
            <w:vAlign w:val="top"/>
            <w:tcMar>
              <w:top w:w="90" w:type="dxa"/>
              <w:start w:w="120" w:type="dxa"/>
              <w:bottom w:w="90" w:type="dxa"/>
              <w:end w:w="120" w:type="dxa"/>
            </w:tcMar>
          </w:tcPr>
          <w:p>
            <w:r>
              <w:rPr>
                <w:rFonts w:ascii="Aptos" w:hAnsi="Aptos"/>
                <w:b/>
                <w:i w:val="0"/>
                <w:color w:val="FFFFFF"/>
                <w:sz w:val="18"/>
              </w:rPr>
              <w:t>Entity</w:t>
            </w:r>
          </w:p>
        </w:tc>
        <w:tc>
          <w:tcPr>
            <w:tcW w:type="dxa" w:w="7060"/>
            <w:shd w:fill="111827"/>
            <w:vAlign w:val="top"/>
            <w:tcMar>
              <w:top w:w="90" w:type="dxa"/>
              <w:start w:w="120" w:type="dxa"/>
              <w:bottom w:w="90" w:type="dxa"/>
              <w:end w:w="120" w:type="dxa"/>
            </w:tcMar>
          </w:tcPr>
          <w:p>
            <w:r>
              <w:rPr>
                <w:rFonts w:ascii="Aptos" w:hAnsi="Aptos"/>
                <w:b/>
                <w:i w:val="0"/>
                <w:color w:val="FFFFFF"/>
                <w:sz w:val="18"/>
              </w:rPr>
              <w:t>Purpose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Organisation</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Top-level operating boundary</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Client</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Commissioning party and policy boundary</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EventProgramme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Optional multi-event grouping</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Primary operational scope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EventPhaseHistory</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Lifecycle transitions</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User</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Authenticated staff identity</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Role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Named responsibility bundle</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Permission</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Atomic allowed action</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EventAssignment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User-role-event relationship</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ApprovalPolicy</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Action and authority requirements</w:t>
            </w:r>
          </w:p>
        </w:tc>
      </w:tr>
    </w:tbl>
    <w:p>
      <w:pPr>
        <w:widowControl/>
        <w:spacing w:after="0"/>
      </w:pPr>
    </w:p>
    <w:p>
      <w:pPr>
        <w:pStyle w:val="Heading2"/>
        <w:keepNext/>
        <w:widowControl/>
      </w:pPr>
      <w:r>
        <w:t>6.2 People and guest lifecycle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11827"/>
            <w:vAlign w:val="top"/>
            <w:tcMar>
              <w:top w:w="90" w:type="dxa"/>
              <w:start w:w="120" w:type="dxa"/>
              <w:bottom w:w="90" w:type="dxa"/>
              <w:end w:w="120" w:type="dxa"/>
            </w:tcMar>
          </w:tcPr>
          <w:p>
            <w:r>
              <w:rPr>
                <w:rFonts w:ascii="Aptos" w:hAnsi="Aptos"/>
                <w:b/>
                <w:i w:val="0"/>
                <w:color w:val="FFFFFF"/>
                <w:sz w:val="18"/>
              </w:rPr>
              <w:t>Entity</w:t>
            </w:r>
          </w:p>
        </w:tc>
        <w:tc>
          <w:tcPr>
            <w:tcW w:type="dxa" w:w="7060"/>
            <w:shd w:fill="111827"/>
            <w:vAlign w:val="top"/>
            <w:tcMar>
              <w:top w:w="90" w:type="dxa"/>
              <w:start w:w="120" w:type="dxa"/>
              <w:bottom w:w="90" w:type="dxa"/>
              <w:end w:w="120" w:type="dxa"/>
            </w:tcMar>
          </w:tcPr>
          <w:p>
            <w:r>
              <w:rPr>
                <w:rFonts w:ascii="Aptos" w:hAnsi="Aptos"/>
                <w:b/>
                <w:i w:val="0"/>
                <w:color w:val="FFFFFF"/>
                <w:sz w:val="18"/>
              </w:rPr>
              <w:t>Purpose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PersonProfile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Governed cross-event identity</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EventGuest</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 participation identity</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Household</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Event-scoped social unit</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ContactPoint</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Normalised channel address with verification</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GuestRequirement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Dietary, mobility, accessibility or assistance need</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GuestRelationship</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Relationship to host or another guest</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GuestPreference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 or approved reusable preference</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ConsentRecord</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Purpose-specific consent evidence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IdentityMatchProposal</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Possible link requiring review</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DataSubjectRequest</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Access, correction, deletion or restriction</w:t>
            </w:r>
          </w:p>
        </w:tc>
      </w:tr>
    </w:tbl>
    <w:p>
      <w:pPr>
        <w:widowControl/>
        <w:spacing w:after="0"/>
      </w:pPr>
    </w:p>
    <w:p>
      <w:pPr>
        <w:pStyle w:val="Heading2"/>
        <w:keepNext/>
        <w:widowControl/>
      </w:pPr>
      <w:r>
        <w:t>6.3 Intake and RSVP</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11827"/>
            <w:vAlign w:val="top"/>
            <w:tcMar>
              <w:top w:w="90" w:type="dxa"/>
              <w:start w:w="120" w:type="dxa"/>
              <w:bottom w:w="90" w:type="dxa"/>
              <w:end w:w="120" w:type="dxa"/>
            </w:tcMar>
          </w:tcPr>
          <w:p>
            <w:r>
              <w:rPr>
                <w:rFonts w:ascii="Aptos" w:hAnsi="Aptos"/>
                <w:b/>
                <w:i w:val="0"/>
                <w:color w:val="FFFFFF"/>
                <w:sz w:val="18"/>
              </w:rPr>
              <w:t>Entity</w:t>
            </w:r>
          </w:p>
        </w:tc>
        <w:tc>
          <w:tcPr>
            <w:tcW w:type="dxa" w:w="7060"/>
            <w:shd w:fill="111827"/>
            <w:vAlign w:val="top"/>
            <w:tcMar>
              <w:top w:w="90" w:type="dxa"/>
              <w:start w:w="120" w:type="dxa"/>
              <w:bottom w:w="90" w:type="dxa"/>
              <w:end w:w="120" w:type="dxa"/>
            </w:tcMar>
          </w:tcPr>
          <w:p>
            <w:r>
              <w:rPr>
                <w:rFonts w:ascii="Aptos" w:hAnsi="Aptos"/>
                <w:b/>
                <w:i w:val="0"/>
                <w:color w:val="FFFFFF"/>
                <w:sz w:val="18"/>
              </w:rPr>
              <w:t>Purpose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RawSubmission</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Immutable intake payload</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WorkingRecord</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Normalised candidate under validation</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IntakeCandidate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Reviewed promotable record</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ImportBatch</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Source, mapping, counts and rollback boundary</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Invitation</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Invitation status and entitlement</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RSVPQuestion</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Versioned event question</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RSVPResponse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 answer history</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AttendanceIntent</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Accepted, declined, pending or conditional</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Entitlement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Plus-one or access allowance</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HeadcountException</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Overshoot and resolution</w:t>
            </w:r>
          </w:p>
        </w:tc>
      </w:tr>
    </w:tbl>
    <w:p>
      <w:pPr>
        <w:widowControl/>
        <w:spacing w:after="0"/>
      </w:pPr>
    </w:p>
    <w:p>
      <w:pPr>
        <w:pStyle w:val="Heading2"/>
        <w:keepNext/>
        <w:widowControl/>
      </w:pPr>
      <w:r>
        <w:t>6.4 Venue and seating</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11827"/>
            <w:vAlign w:val="top"/>
            <w:tcMar>
              <w:top w:w="90" w:type="dxa"/>
              <w:start w:w="120" w:type="dxa"/>
              <w:bottom w:w="90" w:type="dxa"/>
              <w:end w:w="120" w:type="dxa"/>
            </w:tcMar>
          </w:tcPr>
          <w:p>
            <w:r>
              <w:rPr>
                <w:rFonts w:ascii="Aptos" w:hAnsi="Aptos"/>
                <w:b/>
                <w:i w:val="0"/>
                <w:color w:val="FFFFFF"/>
                <w:sz w:val="18"/>
              </w:rPr>
              <w:t>Entity</w:t>
            </w:r>
          </w:p>
        </w:tc>
        <w:tc>
          <w:tcPr>
            <w:tcW w:type="dxa" w:w="7060"/>
            <w:shd w:fill="111827"/>
            <w:vAlign w:val="top"/>
            <w:tcMar>
              <w:top w:w="90" w:type="dxa"/>
              <w:start w:w="120" w:type="dxa"/>
              <w:bottom w:w="90" w:type="dxa"/>
              <w:end w:w="120" w:type="dxa"/>
            </w:tcMar>
          </w:tcPr>
          <w:p>
            <w:r>
              <w:rPr>
                <w:rFonts w:ascii="Aptos" w:hAnsi="Aptos"/>
                <w:b/>
                <w:i w:val="0"/>
                <w:color w:val="FFFFFF"/>
                <w:sz w:val="18"/>
              </w:rPr>
              <w:t>Purpose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Venue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Place and operational constraints</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Layout</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Versioned spatial canvas</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Zone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Named functional or access area</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Table</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Capacity-bearing object</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Seat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Optional individual seat</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SeatingConstraint</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Hard or weighted relationship rule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ReservationBlock</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Reserved capacity</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AllocationRun</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Solver input hash, version and result</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SeatAssignment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Proposed or approved placement</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SeatingPublication</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Published seating version</w:t>
            </w:r>
          </w:p>
        </w:tc>
      </w:tr>
    </w:tbl>
    <w:p>
      <w:pPr>
        <w:widowControl/>
        <w:spacing w:after="0"/>
      </w:pPr>
    </w:p>
    <w:p>
      <w:pPr>
        <w:pStyle w:val="Heading2"/>
        <w:keepNext/>
        <w:widowControl/>
      </w:pPr>
      <w:r>
        <w:t>6.5 Communications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11827"/>
            <w:vAlign w:val="top"/>
            <w:tcMar>
              <w:top w:w="90" w:type="dxa"/>
              <w:start w:w="120" w:type="dxa"/>
              <w:bottom w:w="90" w:type="dxa"/>
              <w:end w:w="120" w:type="dxa"/>
            </w:tcMar>
          </w:tcPr>
          <w:p>
            <w:r>
              <w:rPr>
                <w:rFonts w:ascii="Aptos" w:hAnsi="Aptos"/>
                <w:b/>
                <w:i w:val="0"/>
                <w:color w:val="FFFFFF"/>
                <w:sz w:val="18"/>
              </w:rPr>
              <w:t>Entity</w:t>
            </w:r>
          </w:p>
        </w:tc>
        <w:tc>
          <w:tcPr>
            <w:tcW w:type="dxa" w:w="7060"/>
            <w:shd w:fill="111827"/>
            <w:vAlign w:val="top"/>
            <w:tcMar>
              <w:top w:w="90" w:type="dxa"/>
              <w:start w:w="120" w:type="dxa"/>
              <w:bottom w:w="90" w:type="dxa"/>
              <w:end w:w="120" w:type="dxa"/>
            </w:tcMar>
          </w:tcPr>
          <w:p>
            <w:r>
              <w:rPr>
                <w:rFonts w:ascii="Aptos" w:hAnsi="Aptos"/>
                <w:b/>
                <w:i w:val="0"/>
                <w:color w:val="FFFFFF"/>
                <w:sz w:val="18"/>
              </w:rPr>
              <w:t>Purpose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ChannelPolicy</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Allowed sequence and fallback</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MessageTemplate</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Versioned content and variables</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AudienceDefinition</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Reusable event-scoped segment</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Campaign</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Planned communication</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Message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One recipient/channel attempt</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DeliveryEvent</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Provider status history</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ConversationThread</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 conversation</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InboundMessage</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Reply and provenance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FollowUpTask</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Owned response obligation</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ContactCorrection</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Audited contact change</w:t>
            </w:r>
          </w:p>
        </w:tc>
      </w:tr>
    </w:tbl>
    <w:p>
      <w:pPr>
        <w:widowControl/>
        <w:spacing w:after="0"/>
      </w:pPr>
    </w:p>
    <w:p>
      <w:pPr>
        <w:pStyle w:val="Heading2"/>
        <w:keepNext/>
        <w:widowControl/>
      </w:pPr>
      <w:r>
        <w:t>6.6 Credentials and event day</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11827"/>
            <w:vAlign w:val="top"/>
            <w:tcMar>
              <w:top w:w="90" w:type="dxa"/>
              <w:start w:w="120" w:type="dxa"/>
              <w:bottom w:w="90" w:type="dxa"/>
              <w:end w:w="120" w:type="dxa"/>
            </w:tcMar>
          </w:tcPr>
          <w:p>
            <w:r>
              <w:rPr>
                <w:rFonts w:ascii="Aptos" w:hAnsi="Aptos"/>
                <w:b/>
                <w:i w:val="0"/>
                <w:color w:val="FFFFFF"/>
                <w:sz w:val="18"/>
              </w:rPr>
              <w:t>Entity</w:t>
            </w:r>
          </w:p>
        </w:tc>
        <w:tc>
          <w:tcPr>
            <w:tcW w:type="dxa" w:w="7060"/>
            <w:shd w:fill="111827"/>
            <w:vAlign w:val="top"/>
            <w:tcMar>
              <w:top w:w="90" w:type="dxa"/>
              <w:start w:w="120" w:type="dxa"/>
              <w:bottom w:w="90" w:type="dxa"/>
              <w:end w:w="120" w:type="dxa"/>
            </w:tcMar>
          </w:tcPr>
          <w:p>
            <w:r>
              <w:rPr>
                <w:rFonts w:ascii="Aptos" w:hAnsi="Aptos"/>
                <w:b/>
                <w:i w:val="0"/>
                <w:color w:val="FFFFFF"/>
                <w:sz w:val="18"/>
              </w:rPr>
              <w:t>Purpose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CredentialTemplate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Card visual and access policy</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Credential</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Opaque, event-scoped access grant</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CredentialIssue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Generation and delivery history</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CredentialUse</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Scan and decision history</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RuntimeSnapshot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Immutable published event data</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RuntimeSession</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Open/closed event-day authority</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Device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Managed event-day hardware</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DeviceSession</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Revocable operator/device session</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RuntimeLedgerEntry</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Append-only operational fact</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ReconciliationResult</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Final per-guest result</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DeadLetter</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Unprocessed event requiring action</w:t>
            </w:r>
          </w:p>
        </w:tc>
      </w:tr>
    </w:tbl>
    <w:p>
      <w:pPr>
        <w:widowControl/>
        <w:spacing w:after="0"/>
      </w:pPr>
    </w:p>
    <w:p>
      <w:pPr>
        <w:pStyle w:val="Heading2"/>
        <w:keepNext/>
        <w:widowControl/>
      </w:pPr>
      <w:r>
        <w:t>6.7 Knowledge, assurance and intelligence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11827"/>
            <w:vAlign w:val="top"/>
            <w:tcMar>
              <w:top w:w="90" w:type="dxa"/>
              <w:start w:w="120" w:type="dxa"/>
              <w:bottom w:w="90" w:type="dxa"/>
              <w:end w:w="120" w:type="dxa"/>
            </w:tcMar>
          </w:tcPr>
          <w:p>
            <w:r>
              <w:rPr>
                <w:rFonts w:ascii="Aptos" w:hAnsi="Aptos"/>
                <w:b/>
                <w:i w:val="0"/>
                <w:color w:val="FFFFFF"/>
                <w:sz w:val="18"/>
              </w:rPr>
              <w:t>Entity</w:t>
            </w:r>
          </w:p>
        </w:tc>
        <w:tc>
          <w:tcPr>
            <w:tcW w:type="dxa" w:w="7060"/>
            <w:shd w:fill="111827"/>
            <w:vAlign w:val="top"/>
            <w:tcMar>
              <w:top w:w="90" w:type="dxa"/>
              <w:start w:w="120" w:type="dxa"/>
              <w:bottom w:w="90" w:type="dxa"/>
              <w:end w:w="120" w:type="dxa"/>
            </w:tcMar>
          </w:tcPr>
          <w:p>
            <w:r>
              <w:rPr>
                <w:rFonts w:ascii="Aptos" w:hAnsi="Aptos"/>
                <w:b/>
                <w:i w:val="0"/>
                <w:color w:val="FFFFFF"/>
                <w:sz w:val="18"/>
              </w:rPr>
              <w:t>Purpose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KnowledgeItem</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Versioned doctrine, rule, standard or SOP</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KnowledgeSource</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Origin and authority</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ContextPack</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Lagos or other locality assumptions</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ApplicabilityRule</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Conditions selecting knowledge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AssuranceRequirement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Evidence contract for a claim</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EvidenceRecord</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Submitted and verified proof</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ReadinessFinding</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Current assurance result</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Signal</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Observed fact or assertion</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Recommendation</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Explainable proposed action</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Decision</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Human judgement and rationale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ApprovalRequest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Authority workflow</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OutcomeVerification</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Evidence that intervention worked</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KnowledgeChangeProposal</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Learning awaiting review</w:t>
            </w:r>
          </w:p>
        </w:tc>
      </w:tr>
    </w:tbl>
    <w:p>
      <w:pPr>
        <w:widowControl/>
        <w:spacing w:after="0"/>
      </w:pPr>
    </w:p>
    <w:p>
      <w:pPr>
        <w:pStyle w:val="Heading2"/>
        <w:keepNext/>
        <w:widowControl/>
      </w:pPr>
      <w:r>
        <w:t>6.8 Operations and delivery</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11827"/>
            <w:vAlign w:val="top"/>
            <w:tcMar>
              <w:top w:w="90" w:type="dxa"/>
              <w:start w:w="120" w:type="dxa"/>
              <w:bottom w:w="90" w:type="dxa"/>
              <w:end w:w="120" w:type="dxa"/>
            </w:tcMar>
          </w:tcPr>
          <w:p>
            <w:r>
              <w:rPr>
                <w:rFonts w:ascii="Aptos" w:hAnsi="Aptos"/>
                <w:b/>
                <w:i w:val="0"/>
                <w:color w:val="FFFFFF"/>
                <w:sz w:val="18"/>
              </w:rPr>
              <w:t>Entity</w:t>
            </w:r>
          </w:p>
        </w:tc>
        <w:tc>
          <w:tcPr>
            <w:tcW w:type="dxa" w:w="7060"/>
            <w:shd w:fill="111827"/>
            <w:vAlign w:val="top"/>
            <w:tcMar>
              <w:top w:w="90" w:type="dxa"/>
              <w:start w:w="120" w:type="dxa"/>
              <w:bottom w:w="90" w:type="dxa"/>
              <w:end w:w="120" w:type="dxa"/>
            </w:tcMar>
          </w:tcPr>
          <w:p>
            <w:r>
              <w:rPr>
                <w:rFonts w:ascii="Aptos" w:hAnsi="Aptos"/>
                <w:b/>
                <w:i w:val="0"/>
                <w:color w:val="FFFFFF"/>
                <w:sz w:val="18"/>
              </w:rPr>
              <w:t>Purpose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StaffMember</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 workforce identity</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RoleCard</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Event-specific responsibility</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BriefingAcknowledgement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Evidence of understanding</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VendorProfile</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Reusable supplier identity</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VendorEngagement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Event-specific appointment</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Dependency</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Upstream/downstream delivery relationship</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ProgrammeItem</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Milestone or activity</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Risk</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Potential adverse outcome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Incident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Occurred operational problem</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RecoveryAction</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Owned intervention</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StandardPlan</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Event-applicable standards</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StandardCheck</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Planned or observed compliance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CeremonyItem</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Run-of-show, cue, movement or hold</w:t>
            </w:r>
          </w:p>
        </w:tc>
      </w:tr>
    </w:tbl>
    <w:p>
      <w:pPr>
        <w:widowControl/>
        <w:spacing w:after="0"/>
      </w:pPr>
    </w:p>
    <w:p>
      <w:pPr>
        <w:pStyle w:val="Heading2"/>
        <w:keepNext/>
        <w:widowControl/>
      </w:pPr>
      <w:r>
        <w:t>6.9 Common record contract</w:t>
      </w:r>
    </w:p>
    <w:p>
      <w:pPr>
        <w:pStyle w:val="BlueprintBullet"/>
        <w:widowControl/>
        <w:numPr>
          <w:ilvl w:val="0"/>
          <w:numId w:val="18"/>
        </w:numPr>
      </w:pPr>
      <w:r>
        <w:rPr>
          <w:rFonts w:ascii="Aptos" w:hAnsi="Aptos"/>
          <w:b w:val="0"/>
          <w:i w:val="0"/>
          <w:color w:val="1F2937"/>
          <w:sz w:val="21"/>
        </w:rPr>
        <w:t>Stable opaque identifier.</w:t>
      </w:r>
    </w:p>
    <w:p>
      <w:pPr>
        <w:pStyle w:val="BlueprintBullet"/>
        <w:widowControl/>
        <w:numPr>
          <w:ilvl w:val="0"/>
          <w:numId w:val="18"/>
        </w:numPr>
      </w:pPr>
      <w:r>
        <w:rPr>
          <w:rFonts w:ascii="Aptos" w:hAnsi="Aptos"/>
          <w:b w:val="0"/>
          <w:i w:val="0"/>
          <w:color w:val="1F2937"/>
          <w:sz w:val="21"/>
        </w:rPr>
        <w:t>organisationId and eventId where applicable.</w:t>
      </w:r>
    </w:p>
    <w:p>
      <w:pPr>
        <w:pStyle w:val="BlueprintBullet"/>
        <w:widowControl/>
        <w:numPr>
          <w:ilvl w:val="0"/>
          <w:numId w:val="18"/>
        </w:numPr>
      </w:pPr>
      <w:r>
        <w:rPr>
          <w:rFonts w:ascii="Aptos" w:hAnsi="Aptos"/>
          <w:b w:val="0"/>
          <w:i w:val="0"/>
          <w:color w:val="1F2937"/>
          <w:sz w:val="21"/>
        </w:rPr>
        <w:t>Created/updated timestamps and actor.</w:t>
      </w:r>
    </w:p>
    <w:p>
      <w:pPr>
        <w:pStyle w:val="BlueprintBullet"/>
        <w:widowControl/>
        <w:numPr>
          <w:ilvl w:val="0"/>
          <w:numId w:val="18"/>
        </w:numPr>
      </w:pPr>
      <w:r>
        <w:rPr>
          <w:rFonts w:ascii="Aptos" w:hAnsi="Aptos"/>
          <w:b w:val="0"/>
          <w:i w:val="0"/>
          <w:color w:val="1F2937"/>
          <w:sz w:val="21"/>
        </w:rPr>
        <w:t>Status and lifecycle transition history.</w:t>
      </w:r>
    </w:p>
    <w:p>
      <w:pPr>
        <w:pStyle w:val="BlueprintBullet"/>
        <w:widowControl/>
        <w:numPr>
          <w:ilvl w:val="0"/>
          <w:numId w:val="18"/>
        </w:numPr>
      </w:pPr>
      <w:r>
        <w:rPr>
          <w:rFonts w:ascii="Aptos" w:hAnsi="Aptos"/>
          <w:b w:val="0"/>
          <w:i w:val="0"/>
          <w:color w:val="1F2937"/>
          <w:sz w:val="21"/>
        </w:rPr>
        <w:t>Source and provenance.</w:t>
      </w:r>
    </w:p>
    <w:p>
      <w:pPr>
        <w:pStyle w:val="BlueprintBullet"/>
        <w:widowControl/>
        <w:numPr>
          <w:ilvl w:val="0"/>
          <w:numId w:val="18"/>
        </w:numPr>
      </w:pPr>
      <w:r>
        <w:rPr>
          <w:rFonts w:ascii="Aptos" w:hAnsi="Aptos"/>
          <w:b w:val="0"/>
          <w:i w:val="0"/>
          <w:color w:val="1F2937"/>
          <w:sz w:val="21"/>
        </w:rPr>
        <w:t>Sensitivity classification.</w:t>
      </w:r>
    </w:p>
    <w:p>
      <w:pPr>
        <w:pStyle w:val="BlueprintBullet"/>
        <w:widowControl/>
        <w:numPr>
          <w:ilvl w:val="0"/>
          <w:numId w:val="18"/>
        </w:numPr>
      </w:pPr>
      <w:r>
        <w:rPr>
          <w:rFonts w:ascii="Aptos" w:hAnsi="Aptos"/>
          <w:b w:val="0"/>
          <w:i w:val="0"/>
          <w:color w:val="1F2937"/>
          <w:sz w:val="21"/>
        </w:rPr>
        <w:t>Version or supersession link where published.</w:t>
      </w:r>
    </w:p>
    <w:p>
      <w:pPr>
        <w:pStyle w:val="BlueprintBullet"/>
        <w:widowControl/>
        <w:numPr>
          <w:ilvl w:val="0"/>
          <w:numId w:val="18"/>
        </w:numPr>
      </w:pPr>
      <w:r>
        <w:rPr>
          <w:rFonts w:ascii="Aptos" w:hAnsi="Aptos"/>
          <w:b w:val="0"/>
          <w:i w:val="0"/>
          <w:color w:val="1F2937"/>
          <w:sz w:val="21"/>
        </w:rPr>
        <w:t>Retention class and deletion/anonymisation status.</w:t>
      </w:r>
    </w:p>
    <w:p>
      <w:pPr>
        <w:pStyle w:val="BlueprintBullet"/>
        <w:widowControl/>
        <w:numPr>
          <w:ilvl w:val="0"/>
          <w:numId w:val="18"/>
        </w:numPr>
      </w:pPr>
      <w:r>
        <w:rPr>
          <w:rFonts w:ascii="Aptos" w:hAnsi="Aptos"/>
          <w:b w:val="0"/>
          <w:i w:val="0"/>
          <w:color w:val="1F2937"/>
          <w:sz w:val="21"/>
        </w:rPr>
        <w:t>Correlation identifier for cross-service activity.</w:t>
      </w:r>
    </w:p>
    <w:p>
      <w:pPr>
        <w:pStyle w:val="Heading2"/>
        <w:keepNext/>
        <w:widowControl/>
      </w:pPr>
      <w:r>
        <w:t>6.10 Truth and freshness</w:t>
      </w:r>
    </w:p>
    <w:tbl>
      <w:tblPr>
        <w:tblStyle w:val="TableGrid"/>
        <w:tblW w:type="dxa" w:w="9360"/>
        <w:jc w:val="left"/>
        <w:tblLayout w:type="fixed"/>
        <w:tblLook w:firstColumn="1" w:firstRow="1" w:lastColumn="0" w:lastRow="0" w:noHBand="0" w:noVBand="1" w:val="04A0"/>
        <w:tblInd w:w="120" w:type="dxa"/>
      </w:tblPr>
      <w:tblGrid>
        <w:gridCol w:w="1700"/>
        <w:gridCol w:w="3800"/>
        <w:gridCol w:w="3860"/>
      </w:tblGrid>
      <w:tr>
        <w:trPr>
          <w:tblHeader w:val="true"/>
        </w:trPr>
        <w:tc>
          <w:tcPr>
            <w:tcW w:type="dxa" w:w="1700"/>
            <w:shd w:fill="111827"/>
            <w:vAlign w:val="top"/>
            <w:tcMar>
              <w:top w:w="90" w:type="dxa"/>
              <w:start w:w="120" w:type="dxa"/>
              <w:bottom w:w="90" w:type="dxa"/>
              <w:end w:w="120" w:type="dxa"/>
            </w:tcMar>
          </w:tcPr>
          <w:p>
            <w:r>
              <w:rPr>
                <w:rFonts w:ascii="Aptos" w:hAnsi="Aptos"/>
                <w:b/>
                <w:i w:val="0"/>
                <w:color w:val="FFFFFF"/>
                <w:sz w:val="18"/>
              </w:rPr>
              <w:t>State</w:t>
            </w:r>
          </w:p>
        </w:tc>
        <w:tc>
          <w:tcPr>
            <w:tcW w:type="dxa" w:w="3800"/>
            <w:shd w:fill="111827"/>
            <w:vAlign w:val="top"/>
            <w:tcMar>
              <w:top w:w="90" w:type="dxa"/>
              <w:start w:w="120" w:type="dxa"/>
              <w:bottom w:w="90" w:type="dxa"/>
              <w:end w:w="120" w:type="dxa"/>
            </w:tcMar>
          </w:tcPr>
          <w:p>
            <w:r>
              <w:rPr>
                <w:rFonts w:ascii="Aptos" w:hAnsi="Aptos"/>
                <w:b/>
                <w:i w:val="0"/>
                <w:color w:val="FFFFFF"/>
                <w:sz w:val="18"/>
              </w:rPr>
              <w:t>Meaning</w:t>
            </w:r>
          </w:p>
        </w:tc>
        <w:tc>
          <w:tcPr>
            <w:tcW w:type="dxa" w:w="3860"/>
            <w:shd w:fill="111827"/>
            <w:vAlign w:val="top"/>
            <w:tcMar>
              <w:top w:w="90" w:type="dxa"/>
              <w:start w:w="120" w:type="dxa"/>
              <w:bottom w:w="90" w:type="dxa"/>
              <w:end w:w="120" w:type="dxa"/>
            </w:tcMar>
          </w:tcPr>
          <w:p>
            <w:r>
              <w:rPr>
                <w:rFonts w:ascii="Aptos" w:hAnsi="Aptos"/>
                <w:b/>
                <w:i w:val="0"/>
                <w:color w:val="FFFFFF"/>
                <w:sz w:val="18"/>
              </w:rPr>
              <w:t>UI treatment</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Unknown</w:t>
            </w:r>
          </w:p>
        </w:tc>
        <w:tc>
          <w:tcPr>
            <w:tcW w:type="dxa" w:w="3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No reliable value exists</w:t>
            </w:r>
          </w:p>
        </w:tc>
        <w:tc>
          <w:tcPr>
            <w:tcW w:type="dxa" w:w="3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Show unknown and request/owner</w:t>
            </w:r>
          </w:p>
        </w:tc>
      </w:tr>
      <w:tr>
        <w:tc>
          <w:tcPr>
            <w:tcW w:type="dxa" w:w="17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Provisional</w:t>
            </w:r>
          </w:p>
        </w:tc>
        <w:tc>
          <w:tcPr>
            <w:tcW w:type="dxa" w:w="3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Entered but not verified</w:t>
            </w:r>
          </w:p>
        </w:tc>
        <w:tc>
          <w:tcPr>
            <w:tcW w:type="dxa" w:w="3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Label provisional; restrict consequential use</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Asserted</w:t>
            </w:r>
          </w:p>
        </w:tc>
        <w:tc>
          <w:tcPr>
            <w:tcW w:type="dxa" w:w="3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Claim from a named source</w:t>
            </w:r>
          </w:p>
        </w:tc>
        <w:tc>
          <w:tcPr>
            <w:tcW w:type="dxa" w:w="3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Show source and confidence</w:t>
            </w:r>
          </w:p>
        </w:tc>
      </w:tr>
      <w:tr>
        <w:tc>
          <w:tcPr>
            <w:tcW w:type="dxa" w:w="17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Verified</w:t>
            </w:r>
          </w:p>
        </w:tc>
        <w:tc>
          <w:tcPr>
            <w:tcW w:type="dxa" w:w="3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Required evidence accepted</w:t>
            </w:r>
          </w:p>
        </w:tc>
        <w:tc>
          <w:tcPr>
            <w:tcW w:type="dxa" w:w="3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Show verifier and date</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Stale</w:t>
            </w:r>
          </w:p>
        </w:tc>
        <w:tc>
          <w:tcPr>
            <w:tcW w:type="dxa" w:w="3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Freshness period expired</w:t>
            </w:r>
          </w:p>
        </w:tc>
        <w:tc>
          <w:tcPr>
            <w:tcW w:type="dxa" w:w="3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Warn and block where policy requires</w:t>
            </w:r>
          </w:p>
        </w:tc>
      </w:tr>
      <w:tr>
        <w:tc>
          <w:tcPr>
            <w:tcW w:type="dxa" w:w="17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Contradicted</w:t>
            </w:r>
          </w:p>
        </w:tc>
        <w:tc>
          <w:tcPr>
            <w:tcW w:type="dxa" w:w="3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Credible records disagree</w:t>
            </w:r>
          </w:p>
        </w:tc>
        <w:tc>
          <w:tcPr>
            <w:tcW w:type="dxa" w:w="3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Open conflict workflow</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Superseded</w:t>
            </w:r>
          </w:p>
        </w:tc>
        <w:tc>
          <w:tcPr>
            <w:tcW w:type="dxa" w:w="3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Replaced by later authorised version</w:t>
            </w:r>
          </w:p>
        </w:tc>
        <w:tc>
          <w:tcPr>
            <w:tcW w:type="dxa" w:w="3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Retain history; use current version</w:t>
            </w:r>
          </w:p>
        </w:tc>
      </w:tr>
    </w:tbl>
    <w:p>
      <w:pPr>
        <w:widowControl/>
        <w:spacing w:after="0"/>
      </w:pPr>
    </w:p>
    <w:p>
      <w:pPr>
        <w:pStyle w:val="Heading1"/>
        <w:keepNext/>
        <w:widowControl/>
      </w:pPr>
      <w:r>
        <w:t>7. Knowledge architecture</w:t>
      </w:r>
    </w:p>
    <w:p>
      <w:pPr>
        <w:pStyle w:val="Heading2"/>
        <w:keepNext/>
        <w:widowControl/>
      </w:pPr>
      <w:r>
        <w:t>7.1 Knowledge item contract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11827"/>
            <w:vAlign w:val="top"/>
            <w:tcMar>
              <w:top w:w="90" w:type="dxa"/>
              <w:start w:w="120" w:type="dxa"/>
              <w:bottom w:w="90" w:type="dxa"/>
              <w:end w:w="120" w:type="dxa"/>
            </w:tcMar>
          </w:tcPr>
          <w:p>
            <w:r>
              <w:rPr>
                <w:rFonts w:ascii="Aptos" w:hAnsi="Aptos"/>
                <w:b/>
                <w:i w:val="0"/>
                <w:color w:val="FFFFFF"/>
                <w:sz w:val="18"/>
              </w:rPr>
              <w:t>Field</w:t>
            </w:r>
          </w:p>
        </w:tc>
        <w:tc>
          <w:tcPr>
            <w:tcW w:type="dxa" w:w="7260"/>
            <w:shd w:fill="111827"/>
            <w:vAlign w:val="top"/>
            <w:tcMar>
              <w:top w:w="90" w:type="dxa"/>
              <w:start w:w="120" w:type="dxa"/>
              <w:bottom w:w="90" w:type="dxa"/>
              <w:end w:w="120" w:type="dxa"/>
            </w:tcMar>
          </w:tcPr>
          <w:p>
            <w:r>
              <w:rPr>
                <w:rFonts w:ascii="Aptos" w:hAnsi="Aptos"/>
                <w:b/>
                <w:i w:val="0"/>
                <w:color w:val="FFFFFF"/>
                <w:sz w:val="18"/>
              </w:rPr>
              <w:t>Requirement</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Identity</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Stable ID, name, domain and type</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Content</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Structured rule, standard, SOP, checklist or principle</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Authority</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Owner, approver and permitted interpreter</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Source</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Module, document, specialist or authoritative dataset</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Evidence tier</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Sourced, verified, inferred or provisional</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Applicability</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 geography, culture, guest, phase and trigger conditions</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Action contract</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Required data, expected action and proof</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Exceptions</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Known exclusions and escalation path</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Version</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Draft, review, approved, withdrawn or superseded</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Freshness</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Review date and external verification requirement</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AI use</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Whether AI may retrieve, summarise or recommend from it</w:t>
            </w:r>
          </w:p>
        </w:tc>
      </w:tr>
    </w:tbl>
    <w:p>
      <w:pPr>
        <w:widowControl/>
        <w:spacing w:after="0"/>
      </w:pPr>
    </w:p>
    <w:p>
      <w:pPr>
        <w:pStyle w:val="Heading2"/>
        <w:keepNext/>
        <w:widowControl/>
      </w:pPr>
      <w:r>
        <w:t>7.2 Knowledge types</w:t>
      </w:r>
    </w:p>
    <w:p>
      <w:pPr>
        <w:pStyle w:val="BlueprintBullet"/>
        <w:widowControl/>
        <w:numPr>
          <w:ilvl w:val="0"/>
          <w:numId w:val="19"/>
        </w:numPr>
      </w:pPr>
      <w:r>
        <w:rPr>
          <w:rFonts w:ascii="Aptos" w:hAnsi="Aptos"/>
          <w:b w:val="0"/>
          <w:i w:val="0"/>
          <w:color w:val="1F2937"/>
          <w:sz w:val="21"/>
        </w:rPr>
        <w:t>Doctrine: enduring Maison Doclar philosophy.</w:t>
      </w:r>
    </w:p>
    <w:p>
      <w:pPr>
        <w:pStyle w:val="BlueprintBullet"/>
        <w:widowControl/>
        <w:numPr>
          <w:ilvl w:val="0"/>
          <w:numId w:val="19"/>
        </w:numPr>
      </w:pPr>
      <w:r>
        <w:rPr>
          <w:rFonts w:ascii="Aptos" w:hAnsi="Aptos"/>
          <w:b w:val="0"/>
          <w:i w:val="0"/>
          <w:color w:val="1F2937"/>
          <w:sz w:val="21"/>
        </w:rPr>
        <w:t>Rule: binding instruction with authority and exceptions.</w:t>
      </w:r>
    </w:p>
    <w:p>
      <w:pPr>
        <w:pStyle w:val="BlueprintBullet"/>
        <w:widowControl/>
        <w:numPr>
          <w:ilvl w:val="0"/>
          <w:numId w:val="19"/>
        </w:numPr>
      </w:pPr>
      <w:r>
        <w:rPr>
          <w:rFonts w:ascii="Aptos" w:hAnsi="Aptos"/>
          <w:b w:val="0"/>
          <w:i w:val="0"/>
          <w:color w:val="1F2937"/>
          <w:sz w:val="21"/>
        </w:rPr>
        <w:t>Standard: measurable condition and evidence contract.</w:t>
      </w:r>
    </w:p>
    <w:p>
      <w:pPr>
        <w:pStyle w:val="BlueprintBullet"/>
        <w:widowControl/>
        <w:numPr>
          <w:ilvl w:val="0"/>
          <w:numId w:val="19"/>
        </w:numPr>
      </w:pPr>
      <w:r>
        <w:rPr>
          <w:rFonts w:ascii="Aptos" w:hAnsi="Aptos"/>
          <w:b w:val="0"/>
          <w:i w:val="0"/>
          <w:color w:val="1F2937"/>
          <w:sz w:val="21"/>
        </w:rPr>
        <w:t>SOP: ordered operating procedure.</w:t>
      </w:r>
    </w:p>
    <w:p>
      <w:pPr>
        <w:pStyle w:val="BlueprintBullet"/>
        <w:widowControl/>
        <w:numPr>
          <w:ilvl w:val="0"/>
          <w:numId w:val="19"/>
        </w:numPr>
      </w:pPr>
      <w:r>
        <w:rPr>
          <w:rFonts w:ascii="Aptos" w:hAnsi="Aptos"/>
          <w:b w:val="0"/>
          <w:i w:val="0"/>
          <w:color w:val="1F2937"/>
          <w:sz w:val="21"/>
        </w:rPr>
        <w:t>Context pack: locality or cultural assumptions requiring event verification.</w:t>
      </w:r>
    </w:p>
    <w:p>
      <w:pPr>
        <w:pStyle w:val="BlueprintBullet"/>
        <w:widowControl/>
        <w:numPr>
          <w:ilvl w:val="0"/>
          <w:numId w:val="19"/>
        </w:numPr>
      </w:pPr>
      <w:r>
        <w:rPr>
          <w:rFonts w:ascii="Aptos" w:hAnsi="Aptos"/>
          <w:b w:val="0"/>
          <w:i w:val="0"/>
          <w:color w:val="1F2937"/>
          <w:sz w:val="21"/>
        </w:rPr>
        <w:t>Dataset: authoritative reference such as protocol precedence.</w:t>
      </w:r>
    </w:p>
    <w:p>
      <w:pPr>
        <w:pStyle w:val="BlueprintBullet"/>
        <w:widowControl/>
        <w:numPr>
          <w:ilvl w:val="0"/>
          <w:numId w:val="19"/>
        </w:numPr>
      </w:pPr>
      <w:r>
        <w:rPr>
          <w:rFonts w:ascii="Aptos" w:hAnsi="Aptos"/>
          <w:b w:val="0"/>
          <w:i w:val="0"/>
          <w:color w:val="1F2937"/>
          <w:sz w:val="21"/>
        </w:rPr>
        <w:t>Pattern: reusable judgement aid, not an automatic rule.</w:t>
      </w:r>
    </w:p>
    <w:p>
      <w:pPr>
        <w:pStyle w:val="BlueprintBullet"/>
        <w:widowControl/>
        <w:numPr>
          <w:ilvl w:val="0"/>
          <w:numId w:val="19"/>
        </w:numPr>
      </w:pPr>
      <w:r>
        <w:rPr>
          <w:rFonts w:ascii="Aptos" w:hAnsi="Aptos"/>
          <w:b w:val="0"/>
          <w:i w:val="0"/>
          <w:color w:val="1F2937"/>
          <w:sz w:val="21"/>
        </w:rPr>
        <w:t>Case: verified example with outcome and learning status.</w:t>
      </w:r>
    </w:p>
    <w:p>
      <w:pPr>
        <w:pStyle w:val="Heading2"/>
        <w:keepNext/>
        <w:widowControl/>
      </w:pPr>
      <w:r>
        <w:t>7.3 Precedence</w:t>
      </w:r>
    </w:p>
    <w:p>
      <w:pPr>
        <w:pStyle w:val="BlueprintNumber"/>
        <w:spacing w:after="80"/>
        <w:widowControl/>
        <w:numPr>
          <w:ilvl w:val="0"/>
          <w:numId w:val="20"/>
        </w:numPr>
      </w:pPr>
      <w:r>
        <w:rPr>
          <w:rFonts w:ascii="Aptos" w:hAnsi="Aptos"/>
          <w:b w:val="0"/>
          <w:i w:val="0"/>
          <w:color w:val="1F2937"/>
          <w:sz w:val="21"/>
        </w:rPr>
        <w:t>Safety, law and mandatory authority.</w:t>
      </w:r>
    </w:p>
    <w:p>
      <w:pPr>
        <w:pStyle w:val="BlueprintNumber"/>
        <w:spacing w:after="80"/>
        <w:widowControl/>
        <w:numPr>
          <w:ilvl w:val="0"/>
          <w:numId w:val="20"/>
        </w:numPr>
      </w:pPr>
      <w:r>
        <w:rPr>
          <w:rFonts w:ascii="Aptos" w:hAnsi="Aptos"/>
          <w:b w:val="0"/>
          <w:i w:val="0"/>
          <w:color w:val="1F2937"/>
          <w:sz w:val="21"/>
        </w:rPr>
        <w:t>Current event facts and approved authority map.</w:t>
      </w:r>
    </w:p>
    <w:p>
      <w:pPr>
        <w:pStyle w:val="BlueprintNumber"/>
        <w:spacing w:after="80"/>
        <w:widowControl/>
        <w:numPr>
          <w:ilvl w:val="0"/>
          <w:numId w:val="20"/>
        </w:numPr>
      </w:pPr>
      <w:r>
        <w:rPr>
          <w:rFonts w:ascii="Aptos" w:hAnsi="Aptos"/>
          <w:b w:val="0"/>
          <w:i w:val="0"/>
          <w:color w:val="1F2937"/>
          <w:sz w:val="21"/>
        </w:rPr>
        <w:t>Qualified specialist or protocol verification.</w:t>
      </w:r>
    </w:p>
    <w:p>
      <w:pPr>
        <w:pStyle w:val="BlueprintNumber"/>
        <w:spacing w:after="80"/>
        <w:widowControl/>
        <w:numPr>
          <w:ilvl w:val="0"/>
          <w:numId w:val="20"/>
        </w:numPr>
      </w:pPr>
      <w:r>
        <w:rPr>
          <w:rFonts w:ascii="Aptos" w:hAnsi="Aptos"/>
          <w:b w:val="0"/>
          <w:i w:val="0"/>
          <w:color w:val="1F2937"/>
          <w:sz w:val="21"/>
        </w:rPr>
        <w:t>Approved Maison Doclar rule or standard.</w:t>
      </w:r>
    </w:p>
    <w:p>
      <w:pPr>
        <w:pStyle w:val="BlueprintNumber"/>
        <w:spacing w:after="80"/>
        <w:widowControl/>
        <w:numPr>
          <w:ilvl w:val="0"/>
          <w:numId w:val="20"/>
        </w:numPr>
      </w:pPr>
      <w:r>
        <w:rPr>
          <w:rFonts w:ascii="Aptos" w:hAnsi="Aptos"/>
          <w:b w:val="0"/>
          <w:i w:val="0"/>
          <w:color w:val="1F2937"/>
          <w:sz w:val="21"/>
        </w:rPr>
        <w:t>Approved context pack.</w:t>
      </w:r>
    </w:p>
    <w:p>
      <w:pPr>
        <w:pStyle w:val="BlueprintNumber"/>
        <w:spacing w:after="80"/>
        <w:widowControl/>
        <w:numPr>
          <w:ilvl w:val="0"/>
          <w:numId w:val="20"/>
        </w:numPr>
      </w:pPr>
      <w:r>
        <w:rPr>
          <w:rFonts w:ascii="Aptos" w:hAnsi="Aptos"/>
          <w:b w:val="0"/>
          <w:i w:val="0"/>
          <w:color w:val="1F2937"/>
          <w:sz w:val="21"/>
        </w:rPr>
        <w:t>Historical pattern or case.</w:t>
      </w:r>
    </w:p>
    <w:p>
      <w:pPr>
        <w:pStyle w:val="BlueprintNumber"/>
        <w:spacing w:after="80"/>
        <w:widowControl/>
        <w:numPr>
          <w:ilvl w:val="0"/>
          <w:numId w:val="20"/>
        </w:numPr>
      </w:pPr>
      <w:r>
        <w:rPr>
          <w:rFonts w:ascii="Aptos" w:hAnsi="Aptos"/>
          <w:b w:val="0"/>
          <w:i w:val="0"/>
          <w:color w:val="1F2937"/>
          <w:sz w:val="21"/>
        </w:rPr>
        <w:t>AI inference.</w:t>
      </w:r>
    </w:p>
    <w:p>
      <w:pPr>
        <w:keepLines w:val="0"/>
        <w:widowControl/>
      </w:pPr>
      <w:r>
        <w:rPr>
          <w:rFonts w:ascii="Aptos" w:hAnsi="Aptos"/>
          <w:b w:val="0"/>
          <w:i w:val="0"/>
          <w:color w:val="1F2937"/>
          <w:sz w:val="21"/>
        </w:rPr>
        <w:t>A lower source cannot silently override a higher source. Contradictions create a visible conflict requiring the named authority.</w:t>
      </w:r>
    </w:p>
    <w:p>
      <w:pPr>
        <w:pStyle w:val="Heading2"/>
        <w:keepNext/>
        <w:widowControl/>
      </w:pPr>
      <w:r>
        <w:t>7.4 Lagos and global reuse</w:t>
      </w:r>
    </w:p>
    <w:tbl>
      <w:tblPr>
        <w:tblStyle w:val="TableGrid"/>
        <w:tblW w:type="dxa" w:w="9360"/>
        <w:jc w:val="left"/>
        <w:tblLayout w:type="fixed"/>
        <w:tblLook w:firstColumn="1" w:firstRow="1" w:lastColumn="0" w:lastRow="0" w:noHBand="0" w:noVBand="1" w:val="04A0"/>
        <w:tblInd w:w="120" w:type="dxa"/>
      </w:tblPr>
      <w:tblGrid>
        <w:gridCol w:w="2000"/>
        <w:gridCol w:w="3600"/>
        <w:gridCol w:w="3760"/>
      </w:tblGrid>
      <w:tr>
        <w:trPr>
          <w:tblHeader w:val="true"/>
        </w:trPr>
        <w:tc>
          <w:tcPr>
            <w:tcW w:type="dxa" w:w="2000"/>
            <w:shd w:fill="111827"/>
            <w:vAlign w:val="top"/>
            <w:tcMar>
              <w:top w:w="90" w:type="dxa"/>
              <w:start w:w="120" w:type="dxa"/>
              <w:bottom w:w="90" w:type="dxa"/>
              <w:end w:w="120" w:type="dxa"/>
            </w:tcMar>
          </w:tcPr>
          <w:p>
            <w:r>
              <w:rPr>
                <w:rFonts w:ascii="Aptos" w:hAnsi="Aptos"/>
                <w:b/>
                <w:i w:val="0"/>
                <w:color w:val="FFFFFF"/>
                <w:sz w:val="18"/>
              </w:rPr>
              <w:t>Layer</w:t>
            </w:r>
          </w:p>
        </w:tc>
        <w:tc>
          <w:tcPr>
            <w:tcW w:type="dxa" w:w="3600"/>
            <w:shd w:fill="111827"/>
            <w:vAlign w:val="top"/>
            <w:tcMar>
              <w:top w:w="90" w:type="dxa"/>
              <w:start w:w="120" w:type="dxa"/>
              <w:bottom w:w="90" w:type="dxa"/>
              <w:end w:w="120" w:type="dxa"/>
            </w:tcMar>
          </w:tcPr>
          <w:p>
            <w:r>
              <w:rPr>
                <w:rFonts w:ascii="Aptos" w:hAnsi="Aptos"/>
                <w:b/>
                <w:i w:val="0"/>
                <w:color w:val="FFFFFF"/>
                <w:sz w:val="18"/>
              </w:rPr>
              <w:t>Examples</w:t>
            </w:r>
          </w:p>
        </w:tc>
        <w:tc>
          <w:tcPr>
            <w:tcW w:type="dxa" w:w="3760"/>
            <w:shd w:fill="111827"/>
            <w:vAlign w:val="top"/>
            <w:tcMar>
              <w:top w:w="90" w:type="dxa"/>
              <w:start w:w="120" w:type="dxa"/>
              <w:bottom w:w="90" w:type="dxa"/>
              <w:end w:w="120" w:type="dxa"/>
            </w:tcMar>
          </w:tcPr>
          <w:p>
            <w:r>
              <w:rPr>
                <w:rFonts w:ascii="Aptos" w:hAnsi="Aptos"/>
                <w:b/>
                <w:i w:val="0"/>
                <w:color w:val="FFFFFF"/>
                <w:sz w:val="18"/>
              </w:rPr>
              <w:t>Rule</w:t>
            </w:r>
          </w:p>
        </w:tc>
      </w:tr>
      <w:tr>
        <w:tc>
          <w:tcPr>
            <w:tcW w:type="dxa" w:w="2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Global doctrine</w:t>
            </w:r>
          </w:p>
        </w:tc>
        <w:tc>
          <w:tcPr>
            <w:tcW w:type="dxa" w:w="3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Dignity, privacy, evidence, command, recovery</w:t>
            </w:r>
          </w:p>
        </w:tc>
        <w:tc>
          <w:tcPr>
            <w:tcW w:type="dxa" w:w="3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Reusable unless explicitly superseded</w:t>
            </w:r>
          </w:p>
        </w:tc>
      </w:tr>
      <w:tr>
        <w:tc>
          <w:tcPr>
            <w:tcW w:type="dxa" w:w="2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Local context pack</w:t>
            </w:r>
          </w:p>
        </w:tc>
        <w:tc>
          <w:tcPr>
            <w:tcW w:type="dxa" w:w="3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Traffic, power, venue access, cultural or protocol context</w:t>
            </w:r>
          </w:p>
        </w:tc>
        <w:tc>
          <w:tcPr>
            <w:tcW w:type="dxa" w:w="3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Versioned; not treated as current event fact</w:t>
            </w:r>
          </w:p>
        </w:tc>
      </w:tr>
      <w:tr>
        <w:tc>
          <w:tcPr>
            <w:tcW w:type="dxa" w:w="2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 configuration</w:t>
            </w:r>
          </w:p>
        </w:tc>
        <w:tc>
          <w:tcPr>
            <w:tcW w:type="dxa" w:w="3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Venue, principals, authorities, weather, security and timings</w:t>
            </w:r>
          </w:p>
        </w:tc>
        <w:tc>
          <w:tcPr>
            <w:tcW w:type="dxa" w:w="3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Current approved truth</w:t>
            </w:r>
          </w:p>
        </w:tc>
      </w:tr>
      <w:tr>
        <w:tc>
          <w:tcPr>
            <w:tcW w:type="dxa" w:w="2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Specialist verification</w:t>
            </w:r>
          </w:p>
        </w:tc>
        <w:tc>
          <w:tcPr>
            <w:tcW w:type="dxa" w:w="3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Protocol, security, medical, legal, fire or safeguarding</w:t>
            </w:r>
          </w:p>
        </w:tc>
        <w:tc>
          <w:tcPr>
            <w:tcW w:type="dxa" w:w="3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Required for consequential conclusions</w:t>
            </w:r>
          </w:p>
        </w:tc>
      </w:tr>
    </w:tbl>
    <w:p>
      <w:pPr>
        <w:widowControl/>
        <w:spacing w:after="0"/>
      </w:pPr>
    </w:p>
    <w:p>
      <w:pPr>
        <w:pStyle w:val="Heading2"/>
        <w:keepNext/>
        <w:widowControl/>
      </w:pPr>
      <w:r>
        <w:t>7.5 Knowledge lifecycle</w:t>
      </w:r>
    </w:p>
    <w:p>
      <w:pPr>
        <w:pStyle w:val="BlueprintNumber"/>
        <w:spacing w:after="80"/>
        <w:widowControl/>
        <w:numPr>
          <w:ilvl w:val="0"/>
          <w:numId w:val="21"/>
        </w:numPr>
      </w:pPr>
      <w:r>
        <w:rPr>
          <w:rFonts w:ascii="Aptos" w:hAnsi="Aptos"/>
          <w:b w:val="0"/>
          <w:i w:val="0"/>
          <w:color w:val="1F2937"/>
          <w:sz w:val="21"/>
        </w:rPr>
        <w:t>Draft with source and owner.</w:t>
      </w:r>
    </w:p>
    <w:p>
      <w:pPr>
        <w:pStyle w:val="BlueprintNumber"/>
        <w:spacing w:after="80"/>
        <w:widowControl/>
        <w:numPr>
          <w:ilvl w:val="0"/>
          <w:numId w:val="21"/>
        </w:numPr>
      </w:pPr>
      <w:r>
        <w:rPr>
          <w:rFonts w:ascii="Aptos" w:hAnsi="Aptos"/>
          <w:b w:val="0"/>
          <w:i w:val="0"/>
          <w:color w:val="1F2937"/>
          <w:sz w:val="21"/>
        </w:rPr>
        <w:t>Review for contradiction, authority, applicability and testability.</w:t>
      </w:r>
    </w:p>
    <w:p>
      <w:pPr>
        <w:pStyle w:val="BlueprintNumber"/>
        <w:spacing w:after="80"/>
        <w:widowControl/>
        <w:numPr>
          <w:ilvl w:val="0"/>
          <w:numId w:val="21"/>
        </w:numPr>
      </w:pPr>
      <w:r>
        <w:rPr>
          <w:rFonts w:ascii="Aptos" w:hAnsi="Aptos"/>
          <w:b w:val="0"/>
          <w:i w:val="0"/>
          <w:color w:val="1F2937"/>
          <w:sz w:val="21"/>
        </w:rPr>
        <w:t>Approve and publish a version.</w:t>
      </w:r>
    </w:p>
    <w:p>
      <w:pPr>
        <w:pStyle w:val="BlueprintNumber"/>
        <w:spacing w:after="80"/>
        <w:widowControl/>
        <w:numPr>
          <w:ilvl w:val="0"/>
          <w:numId w:val="21"/>
        </w:numPr>
      </w:pPr>
      <w:r>
        <w:rPr>
          <w:rFonts w:ascii="Aptos" w:hAnsi="Aptos"/>
          <w:b w:val="0"/>
          <w:i w:val="0"/>
          <w:color w:val="1F2937"/>
          <w:sz w:val="21"/>
        </w:rPr>
        <w:t>Apply to event through a recorded applicability result.</w:t>
      </w:r>
    </w:p>
    <w:p>
      <w:pPr>
        <w:pStyle w:val="BlueprintNumber"/>
        <w:spacing w:after="80"/>
        <w:widowControl/>
        <w:numPr>
          <w:ilvl w:val="0"/>
          <w:numId w:val="21"/>
        </w:numPr>
      </w:pPr>
      <w:r>
        <w:rPr>
          <w:rFonts w:ascii="Aptos" w:hAnsi="Aptos"/>
          <w:b w:val="0"/>
          <w:i w:val="0"/>
          <w:color w:val="1F2937"/>
          <w:sz w:val="21"/>
        </w:rPr>
        <w:t>Collect evidence and outcomes.</w:t>
      </w:r>
    </w:p>
    <w:p>
      <w:pPr>
        <w:pStyle w:val="BlueprintNumber"/>
        <w:spacing w:after="80"/>
        <w:widowControl/>
        <w:numPr>
          <w:ilvl w:val="0"/>
          <w:numId w:val="21"/>
        </w:numPr>
      </w:pPr>
      <w:r>
        <w:rPr>
          <w:rFonts w:ascii="Aptos" w:hAnsi="Aptos"/>
          <w:b w:val="0"/>
          <w:i w:val="0"/>
          <w:color w:val="1F2937"/>
          <w:sz w:val="21"/>
        </w:rPr>
        <w:t>Propose a change from verified learning.</w:t>
      </w:r>
    </w:p>
    <w:p>
      <w:pPr>
        <w:pStyle w:val="BlueprintNumber"/>
        <w:spacing w:after="80"/>
        <w:widowControl/>
        <w:numPr>
          <w:ilvl w:val="0"/>
          <w:numId w:val="21"/>
        </w:numPr>
      </w:pPr>
      <w:r>
        <w:rPr>
          <w:rFonts w:ascii="Aptos" w:hAnsi="Aptos"/>
          <w:b w:val="0"/>
          <w:i w:val="0"/>
          <w:color w:val="1F2937"/>
          <w:sz w:val="21"/>
        </w:rPr>
        <w:t>Approve, reject or supersede; never allow an event outcome to rewrite doctrine automatically.</w:t>
      </w:r>
    </w:p>
    <w:p>
      <w:pPr>
        <w:pStyle w:val="Heading1"/>
        <w:keepNext/>
        <w:widowControl/>
      </w:pPr>
      <w:r>
        <w:t>8. Intelligence architecture</w:t>
      </w:r>
    </w:p>
    <w:p>
      <w:pPr>
        <w:pStyle w:val="Heading2"/>
        <w:keepNext/>
        <w:widowControl/>
      </w:pPr>
      <w:r>
        <w:t>8.1 Intelligence loop</w:t>
      </w:r>
    </w:p>
    <w:p>
      <w:pPr>
        <w:pStyle w:val="BlueprintNumber"/>
        <w:spacing w:after="80"/>
        <w:widowControl/>
        <w:numPr>
          <w:ilvl w:val="0"/>
          <w:numId w:val="22"/>
        </w:numPr>
      </w:pPr>
      <w:r>
        <w:rPr>
          <w:rFonts w:ascii="Aptos" w:hAnsi="Aptos"/>
          <w:b w:val="0"/>
          <w:i w:val="0"/>
          <w:color w:val="1F2937"/>
          <w:sz w:val="21"/>
        </w:rPr>
        <w:t>Observe event data and external signals.</w:t>
      </w:r>
    </w:p>
    <w:p>
      <w:pPr>
        <w:pStyle w:val="BlueprintNumber"/>
        <w:spacing w:after="80"/>
        <w:widowControl/>
        <w:numPr>
          <w:ilvl w:val="0"/>
          <w:numId w:val="22"/>
        </w:numPr>
      </w:pPr>
      <w:r>
        <w:rPr>
          <w:rFonts w:ascii="Aptos" w:hAnsi="Aptos"/>
          <w:b w:val="0"/>
          <w:i w:val="0"/>
          <w:color w:val="1F2937"/>
          <w:sz w:val="21"/>
        </w:rPr>
        <w:t>Validate provenance, freshness and completeness.</w:t>
      </w:r>
    </w:p>
    <w:p>
      <w:pPr>
        <w:pStyle w:val="BlueprintNumber"/>
        <w:spacing w:after="80"/>
        <w:widowControl/>
        <w:numPr>
          <w:ilvl w:val="0"/>
          <w:numId w:val="22"/>
        </w:numPr>
      </w:pPr>
      <w:r>
        <w:rPr>
          <w:rFonts w:ascii="Aptos" w:hAnsi="Aptos"/>
          <w:b w:val="0"/>
          <w:i w:val="0"/>
          <w:color w:val="1F2937"/>
          <w:sz w:val="21"/>
        </w:rPr>
        <w:t>Select applicable approved knowledge.</w:t>
      </w:r>
    </w:p>
    <w:p>
      <w:pPr>
        <w:pStyle w:val="BlueprintNumber"/>
        <w:spacing w:after="80"/>
        <w:widowControl/>
        <w:numPr>
          <w:ilvl w:val="0"/>
          <w:numId w:val="22"/>
        </w:numPr>
      </w:pPr>
      <w:r>
        <w:rPr>
          <w:rFonts w:ascii="Aptos" w:hAnsi="Aptos"/>
          <w:b w:val="0"/>
          <w:i w:val="0"/>
          <w:color w:val="1F2937"/>
          <w:sz w:val="21"/>
        </w:rPr>
        <w:t>Evaluate rules, standards, thresholds and dependencies.</w:t>
      </w:r>
    </w:p>
    <w:p>
      <w:pPr>
        <w:pStyle w:val="BlueprintNumber"/>
        <w:spacing w:after="80"/>
        <w:widowControl/>
        <w:numPr>
          <w:ilvl w:val="0"/>
          <w:numId w:val="22"/>
        </w:numPr>
      </w:pPr>
      <w:r>
        <w:rPr>
          <w:rFonts w:ascii="Aptos" w:hAnsi="Aptos"/>
          <w:b w:val="0"/>
          <w:i w:val="0"/>
          <w:color w:val="1F2937"/>
          <w:sz w:val="21"/>
        </w:rPr>
        <w:t>Create a finding or recommendation with explanation.</w:t>
      </w:r>
    </w:p>
    <w:p>
      <w:pPr>
        <w:pStyle w:val="BlueprintNumber"/>
        <w:spacing w:after="80"/>
        <w:widowControl/>
        <w:numPr>
          <w:ilvl w:val="0"/>
          <w:numId w:val="22"/>
        </w:numPr>
      </w:pPr>
      <w:r>
        <w:rPr>
          <w:rFonts w:ascii="Aptos" w:hAnsi="Aptos"/>
          <w:b w:val="0"/>
          <w:i w:val="0"/>
          <w:color w:val="1F2937"/>
          <w:sz w:val="21"/>
        </w:rPr>
        <w:t>Route it to the correct owner and approval authority.</w:t>
      </w:r>
    </w:p>
    <w:p>
      <w:pPr>
        <w:pStyle w:val="BlueprintNumber"/>
        <w:spacing w:after="80"/>
        <w:widowControl/>
        <w:numPr>
          <w:ilvl w:val="0"/>
          <w:numId w:val="22"/>
        </w:numPr>
      </w:pPr>
      <w:r>
        <w:rPr>
          <w:rFonts w:ascii="Aptos" w:hAnsi="Aptos"/>
          <w:b w:val="0"/>
          <w:i w:val="0"/>
          <w:color w:val="1F2937"/>
          <w:sz w:val="21"/>
        </w:rPr>
        <w:t>Record acknowledgement, decision and action.</w:t>
      </w:r>
    </w:p>
    <w:p>
      <w:pPr>
        <w:pStyle w:val="BlueprintNumber"/>
        <w:spacing w:after="80"/>
        <w:widowControl/>
        <w:numPr>
          <w:ilvl w:val="0"/>
          <w:numId w:val="22"/>
        </w:numPr>
      </w:pPr>
      <w:r>
        <w:rPr>
          <w:rFonts w:ascii="Aptos" w:hAnsi="Aptos"/>
          <w:b w:val="0"/>
          <w:i w:val="0"/>
          <w:color w:val="1F2937"/>
          <w:sz w:val="21"/>
        </w:rPr>
        <w:t>Verify the outcome and feed learning into a controlled proposal.</w:t>
      </w:r>
    </w:p>
    <w:p>
      <w:pPr>
        <w:pStyle w:val="Heading2"/>
        <w:keepNext/>
        <w:widowControl/>
      </w:pPr>
      <w:r>
        <w:t>8.2 Intelligence output contract</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11827"/>
            <w:vAlign w:val="top"/>
            <w:tcMar>
              <w:top w:w="90" w:type="dxa"/>
              <w:start w:w="120" w:type="dxa"/>
              <w:bottom w:w="90" w:type="dxa"/>
              <w:end w:w="120" w:type="dxa"/>
            </w:tcMar>
          </w:tcPr>
          <w:p>
            <w:r>
              <w:rPr>
                <w:rFonts w:ascii="Aptos" w:hAnsi="Aptos"/>
                <w:b/>
                <w:i w:val="0"/>
                <w:color w:val="FFFFFF"/>
                <w:sz w:val="18"/>
              </w:rPr>
              <w:t>Field</w:t>
            </w:r>
          </w:p>
        </w:tc>
        <w:tc>
          <w:tcPr>
            <w:tcW w:type="dxa" w:w="7460"/>
            <w:shd w:fill="111827"/>
            <w:vAlign w:val="top"/>
            <w:tcMar>
              <w:top w:w="90" w:type="dxa"/>
              <w:start w:w="120" w:type="dxa"/>
              <w:bottom w:w="90" w:type="dxa"/>
              <w:end w:w="120" w:type="dxa"/>
            </w:tcMar>
          </w:tcPr>
          <w:p>
            <w:r>
              <w:rPr>
                <w:rFonts w:ascii="Aptos" w:hAnsi="Aptos"/>
                <w:b/>
                <w:i w:val="0"/>
                <w:color w:val="FFFFFF"/>
                <w:sz w:val="18"/>
              </w:rPr>
              <w:t>Required content</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Type</w:t>
            </w:r>
          </w:p>
        </w:tc>
        <w:tc>
          <w:tcPr>
            <w:tcW w:type="dxa" w:w="74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Information, alert, recommendation, decision request, conflict or forecast</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Scope</w:t>
            </w:r>
          </w:p>
        </w:tc>
        <w:tc>
          <w:tcPr>
            <w:tcW w:type="dxa" w:w="74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Organisation, client, event, guest, vendor, standard or incident</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Trigger</w:t>
            </w:r>
          </w:p>
        </w:tc>
        <w:tc>
          <w:tcPr>
            <w:tcW w:type="dxa" w:w="74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What caused the output and when</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Inputs</w:t>
            </w:r>
          </w:p>
        </w:tc>
        <w:tc>
          <w:tcPr>
            <w:tcW w:type="dxa" w:w="74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Facts, assertions, missing data and freshness</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Knowledge</w:t>
            </w:r>
          </w:p>
        </w:tc>
        <w:tc>
          <w:tcPr>
            <w:tcW w:type="dxa" w:w="74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Applicable rule/version and context</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Reasoning</w:t>
            </w:r>
          </w:p>
        </w:tc>
        <w:tc>
          <w:tcPr>
            <w:tcW w:type="dxa" w:w="74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Human-readable explanation and machine trace</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Confidence</w:t>
            </w:r>
          </w:p>
        </w:tc>
        <w:tc>
          <w:tcPr>
            <w:tcW w:type="dxa" w:w="74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Level plus reasons and limitations</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Urgency</w:t>
            </w:r>
          </w:p>
        </w:tc>
        <w:tc>
          <w:tcPr>
            <w:tcW w:type="dxa" w:w="74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Severity, latest safe action and expiry</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Owner</w:t>
            </w:r>
          </w:p>
        </w:tc>
        <w:tc>
          <w:tcPr>
            <w:tcW w:type="dxa" w:w="74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Recipient and accountable action owner</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Authority</w:t>
            </w:r>
          </w:p>
        </w:tc>
        <w:tc>
          <w:tcPr>
            <w:tcW w:type="dxa" w:w="74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Who may decide or approve</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Action</w:t>
            </w:r>
          </w:p>
        </w:tc>
        <w:tc>
          <w:tcPr>
            <w:tcW w:type="dxa" w:w="74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Recommended next step and alternatives</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Evidence</w:t>
            </w:r>
          </w:p>
        </w:tc>
        <w:tc>
          <w:tcPr>
            <w:tcW w:type="dxa" w:w="74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Links to supporting and required proof</w:t>
            </w:r>
          </w:p>
        </w:tc>
      </w:tr>
      <w:tr>
        <w:tc>
          <w:tcPr>
            <w:tcW w:type="dxa" w:w="1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State</w:t>
            </w:r>
          </w:p>
        </w:tc>
        <w:tc>
          <w:tcPr>
            <w:tcW w:type="dxa" w:w="74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Open, acknowledged, decided, actioned, verified, expired or superseded</w:t>
            </w:r>
          </w:p>
        </w:tc>
      </w:tr>
      <w:tr>
        <w:tc>
          <w:tcPr>
            <w:tcW w:type="dxa" w:w="1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Outcome</w:t>
            </w:r>
          </w:p>
        </w:tc>
        <w:tc>
          <w:tcPr>
            <w:tcW w:type="dxa" w:w="74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What happened and whether the risk or friction reduced</w:t>
            </w:r>
          </w:p>
        </w:tc>
      </w:tr>
    </w:tbl>
    <w:p>
      <w:pPr>
        <w:widowControl/>
        <w:spacing w:after="0"/>
      </w:pPr>
    </w:p>
    <w:p>
      <w:pPr>
        <w:pStyle w:val="Heading2"/>
        <w:keepNext/>
        <w:widowControl/>
      </w:pPr>
      <w:r>
        <w:t>8.3 Signal classes</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tblHeader w:val="true"/>
        </w:trPr>
        <w:tc>
          <w:tcPr>
            <w:tcW w:type="dxa" w:w="1700"/>
            <w:shd w:fill="111827"/>
            <w:vAlign w:val="top"/>
            <w:tcMar>
              <w:top w:w="90" w:type="dxa"/>
              <w:start w:w="120" w:type="dxa"/>
              <w:bottom w:w="90" w:type="dxa"/>
              <w:end w:w="120" w:type="dxa"/>
            </w:tcMar>
          </w:tcPr>
          <w:p>
            <w:r>
              <w:rPr>
                <w:rFonts w:ascii="Aptos" w:hAnsi="Aptos"/>
                <w:b/>
                <w:i w:val="0"/>
                <w:color w:val="FFFFFF"/>
                <w:sz w:val="18"/>
              </w:rPr>
              <w:t>Class</w:t>
            </w:r>
          </w:p>
        </w:tc>
        <w:tc>
          <w:tcPr>
            <w:tcW w:type="dxa" w:w="3900"/>
            <w:shd w:fill="111827"/>
            <w:vAlign w:val="top"/>
            <w:tcMar>
              <w:top w:w="90" w:type="dxa"/>
              <w:start w:w="120" w:type="dxa"/>
              <w:bottom w:w="90" w:type="dxa"/>
              <w:end w:w="120" w:type="dxa"/>
            </w:tcMar>
          </w:tcPr>
          <w:p>
            <w:r>
              <w:rPr>
                <w:rFonts w:ascii="Aptos" w:hAnsi="Aptos"/>
                <w:b/>
                <w:i w:val="0"/>
                <w:color w:val="FFFFFF"/>
                <w:sz w:val="18"/>
              </w:rPr>
              <w:t>Example</w:t>
            </w:r>
          </w:p>
        </w:tc>
        <w:tc>
          <w:tcPr>
            <w:tcW w:type="dxa" w:w="3760"/>
            <w:shd w:fill="111827"/>
            <w:vAlign w:val="top"/>
            <w:tcMar>
              <w:top w:w="90" w:type="dxa"/>
              <w:start w:w="120" w:type="dxa"/>
              <w:bottom w:w="90" w:type="dxa"/>
              <w:end w:w="120" w:type="dxa"/>
            </w:tcMar>
          </w:tcPr>
          <w:p>
            <w:r>
              <w:rPr>
                <w:rFonts w:ascii="Aptos" w:hAnsi="Aptos"/>
                <w:b/>
                <w:i w:val="0"/>
                <w:color w:val="FFFFFF"/>
                <w:sz w:val="18"/>
              </w:rPr>
              <w:t>Treatment</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Fact</w:t>
            </w:r>
          </w:p>
        </w:tc>
        <w:tc>
          <w:tcPr>
            <w:tcW w:type="dxa" w:w="3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Approved venue capacity</w:t>
            </w:r>
          </w:p>
        </w:tc>
        <w:tc>
          <w:tcPr>
            <w:tcW w:type="dxa" w:w="3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May drive rules while current</w:t>
            </w:r>
          </w:p>
        </w:tc>
      </w:tr>
      <w:tr>
        <w:tc>
          <w:tcPr>
            <w:tcW w:type="dxa" w:w="17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Assertion</w:t>
            </w:r>
          </w:p>
        </w:tc>
        <w:tc>
          <w:tcPr>
            <w:tcW w:type="dxa" w:w="3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Vendor says setup is complete</w:t>
            </w:r>
          </w:p>
        </w:tc>
        <w:tc>
          <w:tcPr>
            <w:tcW w:type="dxa" w:w="3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Requires evidence before Green</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Observation</w:t>
            </w:r>
          </w:p>
        </w:tc>
        <w:tc>
          <w:tcPr>
            <w:tcW w:type="dxa" w:w="3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Queue exceeds target</w:t>
            </w:r>
          </w:p>
        </w:tc>
        <w:tc>
          <w:tcPr>
            <w:tcW w:type="dxa" w:w="3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Timestamp and observer/device provenance</w:t>
            </w:r>
          </w:p>
        </w:tc>
      </w:tr>
      <w:tr>
        <w:tc>
          <w:tcPr>
            <w:tcW w:type="dxa" w:w="17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Forecast</w:t>
            </w:r>
          </w:p>
        </w:tc>
        <w:tc>
          <w:tcPr>
            <w:tcW w:type="dxa" w:w="3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Traffic threatens arrival window</w:t>
            </w:r>
          </w:p>
        </w:tc>
        <w:tc>
          <w:tcPr>
            <w:tcW w:type="dxa" w:w="3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Confidence, horizon and alternatives</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Absence</w:t>
            </w:r>
          </w:p>
        </w:tc>
        <w:tc>
          <w:tcPr>
            <w:tcW w:type="dxa" w:w="3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No evidence uploaded</w:t>
            </w:r>
          </w:p>
        </w:tc>
        <w:tc>
          <w:tcPr>
            <w:tcW w:type="dxa" w:w="3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Missing, not failed</w:t>
            </w:r>
          </w:p>
        </w:tc>
      </w:tr>
      <w:tr>
        <w:tc>
          <w:tcPr>
            <w:tcW w:type="dxa" w:w="17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Conflict</w:t>
            </w:r>
          </w:p>
        </w:tc>
        <w:tc>
          <w:tcPr>
            <w:tcW w:type="dxa" w:w="39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Two principals give different authority</w:t>
            </w:r>
          </w:p>
        </w:tc>
        <w:tc>
          <w:tcPr>
            <w:tcW w:type="dxa" w:w="3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Block and escalate</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Recommendation</w:t>
            </w:r>
          </w:p>
        </w:tc>
        <w:tc>
          <w:tcPr>
            <w:tcW w:type="dxa" w:w="39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Move VIP arrival by 15 minutes</w:t>
            </w:r>
          </w:p>
        </w:tc>
        <w:tc>
          <w:tcPr>
            <w:tcW w:type="dxa" w:w="3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Human decision and expiry</w:t>
            </w:r>
          </w:p>
        </w:tc>
      </w:tr>
    </w:tbl>
    <w:p>
      <w:pPr>
        <w:widowControl/>
        <w:spacing w:after="0"/>
      </w:pPr>
    </w:p>
    <w:p>
      <w:pPr>
        <w:pStyle w:val="Heading2"/>
        <w:keepNext/>
        <w:widowControl/>
      </w:pPr>
      <w:r>
        <w:t>8.4 AI boundary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111827"/>
            <w:vAlign w:val="top"/>
            <w:tcMar>
              <w:top w:w="90" w:type="dxa"/>
              <w:start w:w="120" w:type="dxa"/>
              <w:bottom w:w="90" w:type="dxa"/>
              <w:end w:w="120" w:type="dxa"/>
            </w:tcMar>
          </w:tcPr>
          <w:p>
            <w:r>
              <w:rPr>
                <w:rFonts w:ascii="Aptos" w:hAnsi="Aptos"/>
                <w:b/>
                <w:i w:val="0"/>
                <w:color w:val="FFFFFF"/>
                <w:sz w:val="18"/>
              </w:rPr>
              <w:t>AI may</w:t>
            </w:r>
          </w:p>
        </w:tc>
        <w:tc>
          <w:tcPr>
            <w:tcW w:type="dxa" w:w="4680"/>
            <w:shd w:fill="111827"/>
            <w:vAlign w:val="top"/>
            <w:tcMar>
              <w:top w:w="90" w:type="dxa"/>
              <w:start w:w="120" w:type="dxa"/>
              <w:bottom w:w="90" w:type="dxa"/>
              <w:end w:w="120" w:type="dxa"/>
            </w:tcMar>
          </w:tcPr>
          <w:p>
            <w:r>
              <w:rPr>
                <w:rFonts w:ascii="Aptos" w:hAnsi="Aptos"/>
                <w:b/>
                <w:i w:val="0"/>
                <w:color w:val="FFFFFF"/>
                <w:sz w:val="18"/>
              </w:rPr>
              <w:t>AI may not</w:t>
            </w:r>
          </w:p>
        </w:tc>
      </w:tr>
      <w:tr>
        <w:tc>
          <w:tcPr>
            <w:tcW w:type="dxa" w:w="468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Retrieve and summarise approved knowledge</w:t>
            </w:r>
          </w:p>
        </w:tc>
        <w:tc>
          <w:tcPr>
            <w:tcW w:type="dxa" w:w="468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Invent or publish doctrine</w:t>
            </w:r>
          </w:p>
        </w:tc>
      </w:tr>
      <w:tr>
        <w:tc>
          <w:tcPr>
            <w:tcW w:type="dxa" w:w="468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Compare event facts with standards</w:t>
            </w:r>
          </w:p>
        </w:tc>
        <w:tc>
          <w:tcPr>
            <w:tcW w:type="dxa" w:w="468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Treat missing data as a negative fact</w:t>
            </w:r>
          </w:p>
        </w:tc>
      </w:tr>
      <w:tr>
        <w:tc>
          <w:tcPr>
            <w:tcW w:type="dxa" w:w="468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Draft briefs, options and communications</w:t>
            </w:r>
          </w:p>
        </w:tc>
        <w:tc>
          <w:tcPr>
            <w:tcW w:type="dxa" w:w="468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Send consequential communication without policy approval</w:t>
            </w:r>
          </w:p>
        </w:tc>
      </w:tr>
      <w:tr>
        <w:tc>
          <w:tcPr>
            <w:tcW w:type="dxa" w:w="468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Detect patterns and propose risks</w:t>
            </w:r>
          </w:p>
        </w:tc>
        <w:tc>
          <w:tcPr>
            <w:tcW w:type="dxa" w:w="468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Confirm legal, medical, security or protocol correctness</w:t>
            </w:r>
          </w:p>
        </w:tc>
      </w:tr>
      <w:tr>
        <w:tc>
          <w:tcPr>
            <w:tcW w:type="dxa" w:w="468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Explain recommendations and limitations</w:t>
            </w:r>
          </w:p>
        </w:tc>
        <w:tc>
          <w:tcPr>
            <w:tcW w:type="dxa" w:w="468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Make irreversible guest-impact decisions</w:t>
            </w:r>
          </w:p>
        </w:tc>
      </w:tr>
      <w:tr>
        <w:tc>
          <w:tcPr>
            <w:tcW w:type="dxa" w:w="468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Operate in shadow mode and be evaluated</w:t>
            </w:r>
          </w:p>
        </w:tc>
        <w:tc>
          <w:tcPr>
            <w:tcW w:type="dxa" w:w="468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Use biometrics or sensitive profiles outside approved purpose</w:t>
            </w:r>
          </w:p>
        </w:tc>
      </w:tr>
    </w:tbl>
    <w:p>
      <w:pPr>
        <w:widowControl/>
        <w:spacing w:after="0"/>
      </w:pPr>
    </w:p>
    <w:p>
      <w:pPr>
        <w:pStyle w:val="Heading2"/>
        <w:keepNext/>
        <w:widowControl/>
      </w:pPr>
      <w:r>
        <w:t>8.5 Readiness model</w:t>
      </w:r>
    </w:p>
    <w:p>
      <w:pPr>
        <w:keepLines w:val="0"/>
        <w:widowControl/>
      </w:pPr>
      <w:r>
        <w:rPr>
          <w:rFonts w:ascii="Aptos" w:hAnsi="Aptos"/>
          <w:b w:val="0"/>
          <w:i w:val="0"/>
          <w:color w:val="1F2937"/>
          <w:sz w:val="21"/>
        </w:rPr>
        <w:t>Readiness is a collection of independently evidenced domain declarations, not one opaque score. The whole event may be Green only when all critical domains have passed their assurance contracts or an authorised exception is recorded.</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111827"/>
            <w:vAlign w:val="top"/>
            <w:tcMar>
              <w:top w:w="90" w:type="dxa"/>
              <w:start w:w="120" w:type="dxa"/>
              <w:bottom w:w="90" w:type="dxa"/>
              <w:end w:w="120" w:type="dxa"/>
            </w:tcMar>
          </w:tcPr>
          <w:p>
            <w:r>
              <w:rPr>
                <w:rFonts w:ascii="Aptos" w:hAnsi="Aptos"/>
                <w:b/>
                <w:i w:val="0"/>
                <w:color w:val="FFFFFF"/>
                <w:sz w:val="18"/>
              </w:rPr>
              <w:t>Status</w:t>
            </w:r>
          </w:p>
        </w:tc>
        <w:tc>
          <w:tcPr>
            <w:tcW w:type="dxa" w:w="7660"/>
            <w:shd w:fill="111827"/>
            <w:vAlign w:val="top"/>
            <w:tcMar>
              <w:top w:w="90" w:type="dxa"/>
              <w:start w:w="120" w:type="dxa"/>
              <w:bottom w:w="90" w:type="dxa"/>
              <w:end w:w="120" w:type="dxa"/>
            </w:tcMar>
          </w:tcPr>
          <w:p>
            <w:r>
              <w:rPr>
                <w:rFonts w:ascii="Aptos" w:hAnsi="Aptos"/>
                <w:b/>
                <w:i w:val="0"/>
                <w:color w:val="FFFFFF"/>
                <w:sz w:val="18"/>
              </w:rPr>
              <w:t>Meaning</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Unknown</w:t>
            </w:r>
          </w:p>
        </w:tc>
        <w:tc>
          <w:tcPr>
            <w:tcW w:type="dxa" w:w="76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Required assessment has not been completed</w:t>
            </w:r>
          </w:p>
        </w:tc>
      </w:tr>
      <w:tr>
        <w:tc>
          <w:tcPr>
            <w:tcW w:type="dxa" w:w="17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Red</w:t>
            </w:r>
          </w:p>
        </w:tc>
        <w:tc>
          <w:tcPr>
            <w:tcW w:type="dxa" w:w="76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Critical requirement failed or evidence absent beyond latest safe point</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Amber</w:t>
            </w:r>
          </w:p>
        </w:tc>
        <w:tc>
          <w:tcPr>
            <w:tcW w:type="dxa" w:w="76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Material exposure exists with owned recovery</w:t>
            </w:r>
          </w:p>
        </w:tc>
      </w:tr>
      <w:tr>
        <w:tc>
          <w:tcPr>
            <w:tcW w:type="dxa" w:w="17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Green</w:t>
            </w:r>
          </w:p>
        </w:tc>
        <w:tc>
          <w:tcPr>
            <w:tcW w:type="dxa" w:w="76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Evidence contract satisfied and still fresh</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Exception</w:t>
            </w:r>
          </w:p>
        </w:tc>
        <w:tc>
          <w:tcPr>
            <w:tcW w:type="dxa" w:w="76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Authorised acceptance with rationale, owner and expiry</w:t>
            </w:r>
          </w:p>
        </w:tc>
      </w:tr>
    </w:tbl>
    <w:p>
      <w:pPr>
        <w:widowControl/>
        <w:spacing w:after="0"/>
      </w:pPr>
    </w:p>
    <w:p>
      <w:pPr>
        <w:pStyle w:val="Heading1"/>
        <w:keepNext/>
        <w:widowControl/>
      </w:pPr>
      <w:r>
        <w:t>9. Frontend architecture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top"/>
            <w:tcMar>
              <w:top w:w="90" w:type="dxa"/>
              <w:start w:w="120" w:type="dxa"/>
              <w:bottom w:w="90" w:type="dxa"/>
              <w:end w:w="120" w:type="dxa"/>
            </w:tcMar>
            <w:shd w:fill="F7F5F2"/>
          </w:tcPr>
          <w:p>
            <w:r/>
            <w:r>
              <w:rPr>
                <w:rFonts w:ascii="Aptos" w:hAnsi="Aptos"/>
                <w:b/>
                <w:i w:val="0"/>
                <w:color w:val="B79F85"/>
                <w:sz w:val="18"/>
              </w:rPr>
              <w:t xml:space="preserve">FRONTEND LAW  </w:t>
            </w:r>
            <w:r>
              <w:rPr>
                <w:rFonts w:ascii="Aptos" w:hAnsi="Aptos"/>
                <w:b/>
                <w:i w:val="0"/>
                <w:color w:val="111827"/>
                <w:sz w:val="20"/>
              </w:rPr>
              <w:t>The frontend is the operating environment where truth is understood and decisions are made. It is not a visual layer over backend tables.</w:t>
            </w:r>
          </w:p>
        </w:tc>
      </w:tr>
    </w:tbl>
    <w:p>
      <w:pPr>
        <w:widowControl/>
        <w:spacing w:after="0"/>
      </w:pPr>
    </w:p>
    <w:p>
      <w:pPr>
        <w:pStyle w:val="Heading2"/>
        <w:keepNext/>
        <w:widowControl/>
      </w:pPr>
      <w:r>
        <w:t>9.1 Information architecture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8"/>
              </w:rPr>
              <w:t>Level</w:t>
            </w:r>
          </w:p>
        </w:tc>
        <w:tc>
          <w:tcPr>
            <w:tcW w:type="dxa" w:w="7560"/>
            <w:shd w:fill="111827"/>
            <w:vAlign w:val="top"/>
            <w:tcMar>
              <w:top w:w="90" w:type="dxa"/>
              <w:start w:w="120" w:type="dxa"/>
              <w:bottom w:w="90" w:type="dxa"/>
              <w:end w:w="120" w:type="dxa"/>
            </w:tcMar>
          </w:tcPr>
          <w:p>
            <w:r>
              <w:rPr>
                <w:rFonts w:ascii="Aptos" w:hAnsi="Aptos"/>
                <w:b/>
                <w:i w:val="0"/>
                <w:color w:val="FFFFFF"/>
                <w:sz w:val="18"/>
              </w:rPr>
              <w:t>Navigation</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Global</w:t>
            </w:r>
          </w:p>
        </w:tc>
        <w:tc>
          <w:tcPr>
            <w:tcW w:type="dxa" w:w="7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Home, clients, events, knowledge, suppliers, people memory, portfolio intelligence, administration</w:t>
            </w:r>
          </w:p>
        </w:tc>
      </w:tr>
      <w:tr>
        <w:tc>
          <w:tcPr>
            <w:tcW w:type="dxa" w:w="1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 workspace</w:t>
            </w:r>
          </w:p>
        </w:tc>
        <w:tc>
          <w:tcPr>
            <w:tcW w:type="dxa" w:w="75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Overview, guests, experience, protocol, ceremony, operations, suppliers, team, communications, seating, standards, risks, command, event day, decisions, files</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My work</w:t>
            </w:r>
          </w:p>
        </w:tc>
        <w:tc>
          <w:tcPr>
            <w:tcW w:type="dxa" w:w="7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Tasks, approvals, alerts, mentions, expiring evidence and handoffs</w:t>
            </w:r>
          </w:p>
        </w:tc>
      </w:tr>
      <w:tr>
        <w:tc>
          <w:tcPr>
            <w:tcW w:type="dxa" w:w="1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Live mode</w:t>
            </w:r>
          </w:p>
        </w:tc>
        <w:tc>
          <w:tcPr>
            <w:tcW w:type="dxa" w:w="75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Command picture, arrivals, attendance, incidents, VIP/protocol, communications and recovery</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 surfaces</w:t>
            </w:r>
          </w:p>
        </w:tc>
        <w:tc>
          <w:tcPr>
            <w:tcW w:type="dxa" w:w="7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RSVP, information, updates, credential and assistance through signed links</w:t>
            </w:r>
          </w:p>
        </w:tc>
      </w:tr>
    </w:tbl>
    <w:p>
      <w:pPr>
        <w:widowControl/>
        <w:spacing w:after="0"/>
      </w:pPr>
    </w:p>
    <w:p>
      <w:pPr>
        <w:pStyle w:val="Heading2"/>
        <w:keepNext/>
        <w:widowControl/>
      </w:pPr>
      <w:r>
        <w:t>9.2 Responsive model</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8"/>
              </w:rPr>
              <w:t>Surface</w:t>
            </w:r>
          </w:p>
        </w:tc>
        <w:tc>
          <w:tcPr>
            <w:tcW w:type="dxa" w:w="3500"/>
            <w:shd w:fill="111827"/>
            <w:vAlign w:val="top"/>
            <w:tcMar>
              <w:top w:w="90" w:type="dxa"/>
              <w:start w:w="120" w:type="dxa"/>
              <w:bottom w:w="90" w:type="dxa"/>
              <w:end w:w="120" w:type="dxa"/>
            </w:tcMar>
          </w:tcPr>
          <w:p>
            <w:r>
              <w:rPr>
                <w:rFonts w:ascii="Aptos" w:hAnsi="Aptos"/>
                <w:b/>
                <w:i w:val="0"/>
                <w:color w:val="FFFFFF"/>
                <w:sz w:val="18"/>
              </w:rPr>
              <w:t>Primary use</w:t>
            </w:r>
          </w:p>
        </w:tc>
        <w:tc>
          <w:tcPr>
            <w:tcW w:type="dxa" w:w="4060"/>
            <w:shd w:fill="111827"/>
            <w:vAlign w:val="top"/>
            <w:tcMar>
              <w:top w:w="90" w:type="dxa"/>
              <w:start w:w="120" w:type="dxa"/>
              <w:bottom w:w="90" w:type="dxa"/>
              <w:end w:w="120" w:type="dxa"/>
            </w:tcMar>
          </w:tcPr>
          <w:p>
            <w:r>
              <w:rPr>
                <w:rFonts w:ascii="Aptos" w:hAnsi="Aptos"/>
                <w:b/>
                <w:i w:val="0"/>
                <w:color w:val="FFFFFF"/>
                <w:sz w:val="18"/>
              </w:rPr>
              <w:t>Rules</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Desktop</w:t>
            </w:r>
          </w:p>
        </w:tc>
        <w:tc>
          <w:tcPr>
            <w:tcW w:type="dxa" w:w="3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Configuration, analysis, layouts and bulk work</w:t>
            </w:r>
          </w:p>
        </w:tc>
        <w:tc>
          <w:tcPr>
            <w:tcW w:type="dxa" w:w="4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Dense comparison allowed; keyboard-first</w:t>
            </w:r>
          </w:p>
        </w:tc>
      </w:tr>
      <w:tr>
        <w:tc>
          <w:tcPr>
            <w:tcW w:type="dxa" w:w="1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Tablet</w:t>
            </w:r>
          </w:p>
        </w:tc>
        <w:tc>
          <w:tcPr>
            <w:tcW w:type="dxa" w:w="3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Briefings, inspections, command and concierge</w:t>
            </w:r>
          </w:p>
        </w:tc>
        <w:tc>
          <w:tcPr>
            <w:tcW w:type="dxa" w:w="4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Touch targets, two-column maximum, rapid switching</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Mobile staff</w:t>
            </w:r>
          </w:p>
        </w:tc>
        <w:tc>
          <w:tcPr>
            <w:tcW w:type="dxa" w:w="3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Assigned actions, guest lookup and evidence capture</w:t>
            </w:r>
          </w:p>
        </w:tc>
        <w:tc>
          <w:tcPr>
            <w:tcW w:type="dxa" w:w="4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One primary action; minimum sensitive data</w:t>
            </w:r>
          </w:p>
        </w:tc>
      </w:tr>
      <w:tr>
        <w:tc>
          <w:tcPr>
            <w:tcW w:type="dxa" w:w="1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Event-day device</w:t>
            </w:r>
          </w:p>
        </w:tc>
        <w:tc>
          <w:tcPr>
            <w:tcW w:type="dxa" w:w="3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Scan, search, admit, conflict and offline queue</w:t>
            </w:r>
          </w:p>
        </w:tc>
        <w:tc>
          <w:tcPr>
            <w:tcW w:type="dxa" w:w="4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Speed, high contrast, persistent session and explicit sync state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 mobile</w:t>
            </w:r>
          </w:p>
        </w:tc>
        <w:tc>
          <w:tcPr>
            <w:tcW w:type="dxa" w:w="3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RSVP, credential and updates</w:t>
            </w:r>
          </w:p>
        </w:tc>
        <w:tc>
          <w:tcPr>
            <w:tcW w:type="dxa" w:w="4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No account; accessible; low-bandwidth; clear recovery</w:t>
            </w:r>
          </w:p>
        </w:tc>
      </w:tr>
    </w:tbl>
    <w:p>
      <w:pPr>
        <w:widowControl/>
        <w:spacing w:after="0"/>
      </w:pPr>
    </w:p>
    <w:p>
      <w:pPr>
        <w:pStyle w:val="Heading2"/>
        <w:keepNext/>
        <w:widowControl/>
      </w:pPr>
      <w:r>
        <w:t>9.3 Shared interaction patterns</w:t>
      </w:r>
    </w:p>
    <w:p>
      <w:pPr>
        <w:pStyle w:val="BlueprintBullet"/>
        <w:widowControl/>
        <w:numPr>
          <w:ilvl w:val="0"/>
          <w:numId w:val="23"/>
        </w:numPr>
      </w:pPr>
      <w:r>
        <w:rPr>
          <w:rFonts w:ascii="Aptos" w:hAnsi="Aptos"/>
          <w:b w:val="0"/>
          <w:i w:val="0"/>
          <w:color w:val="1F2937"/>
          <w:sz w:val="21"/>
        </w:rPr>
        <w:t>Event switcher always shows organisation, client, event date and current phase.</w:t>
      </w:r>
    </w:p>
    <w:p>
      <w:pPr>
        <w:pStyle w:val="BlueprintBullet"/>
        <w:widowControl/>
        <w:numPr>
          <w:ilvl w:val="0"/>
          <w:numId w:val="23"/>
        </w:numPr>
      </w:pPr>
      <w:r>
        <w:rPr>
          <w:rFonts w:ascii="Aptos" w:hAnsi="Aptos"/>
          <w:b w:val="0"/>
          <w:i w:val="0"/>
          <w:color w:val="1F2937"/>
          <w:sz w:val="21"/>
        </w:rPr>
        <w:t>Priority rail separates alerts, approvals and assigned work.</w:t>
      </w:r>
    </w:p>
    <w:p>
      <w:pPr>
        <w:pStyle w:val="BlueprintBullet"/>
        <w:widowControl/>
        <w:numPr>
          <w:ilvl w:val="0"/>
          <w:numId w:val="23"/>
        </w:numPr>
      </w:pPr>
      <w:r>
        <w:rPr>
          <w:rFonts w:ascii="Aptos" w:hAnsi="Aptos"/>
          <w:b w:val="0"/>
          <w:i w:val="0"/>
          <w:color w:val="1F2937"/>
          <w:sz w:val="21"/>
        </w:rPr>
        <w:t>Every intelligence card answers: what happened, why it matters, evidence, confidence, owner and next action.</w:t>
      </w:r>
    </w:p>
    <w:p>
      <w:pPr>
        <w:pStyle w:val="BlueprintBullet"/>
        <w:widowControl/>
        <w:numPr>
          <w:ilvl w:val="0"/>
          <w:numId w:val="23"/>
        </w:numPr>
      </w:pPr>
      <w:r>
        <w:rPr>
          <w:rFonts w:ascii="Aptos" w:hAnsi="Aptos"/>
          <w:b w:val="0"/>
          <w:i w:val="0"/>
          <w:color w:val="1F2937"/>
          <w:sz w:val="21"/>
        </w:rPr>
        <w:t>Status changes require the evidence defined by the relevant assurance contract.</w:t>
      </w:r>
    </w:p>
    <w:p>
      <w:pPr>
        <w:pStyle w:val="BlueprintBullet"/>
        <w:widowControl/>
        <w:numPr>
          <w:ilvl w:val="0"/>
          <w:numId w:val="23"/>
        </w:numPr>
      </w:pPr>
      <w:r>
        <w:rPr>
          <w:rFonts w:ascii="Aptos" w:hAnsi="Aptos"/>
          <w:b w:val="0"/>
          <w:i w:val="0"/>
          <w:color w:val="1F2937"/>
          <w:sz w:val="21"/>
        </w:rPr>
        <w:t>Sensitive fields are masked until purpose and permission are satisfied.</w:t>
      </w:r>
    </w:p>
    <w:p>
      <w:pPr>
        <w:pStyle w:val="BlueprintBullet"/>
        <w:widowControl/>
        <w:numPr>
          <w:ilvl w:val="0"/>
          <w:numId w:val="23"/>
        </w:numPr>
      </w:pPr>
      <w:r>
        <w:rPr>
          <w:rFonts w:ascii="Aptos" w:hAnsi="Aptos"/>
          <w:b w:val="0"/>
          <w:i w:val="0"/>
          <w:color w:val="1F2937"/>
          <w:sz w:val="21"/>
        </w:rPr>
        <w:t>Bulk actions show scope, exclusions and an undo/reversal plan before commit.</w:t>
      </w:r>
    </w:p>
    <w:p>
      <w:pPr>
        <w:pStyle w:val="BlueprintBullet"/>
        <w:widowControl/>
        <w:numPr>
          <w:ilvl w:val="0"/>
          <w:numId w:val="23"/>
        </w:numPr>
      </w:pPr>
      <w:r>
        <w:rPr>
          <w:rFonts w:ascii="Aptos" w:hAnsi="Aptos"/>
          <w:b w:val="0"/>
          <w:i w:val="0"/>
          <w:color w:val="1F2937"/>
          <w:sz w:val="21"/>
        </w:rPr>
        <w:t>Published objects show version, approver and supersession path.</w:t>
      </w:r>
    </w:p>
    <w:p>
      <w:pPr>
        <w:pStyle w:val="BlueprintBullet"/>
        <w:widowControl/>
        <w:numPr>
          <w:ilvl w:val="0"/>
          <w:numId w:val="23"/>
        </w:numPr>
      </w:pPr>
      <w:r>
        <w:rPr>
          <w:rFonts w:ascii="Aptos" w:hAnsi="Aptos"/>
          <w:b w:val="0"/>
          <w:i w:val="0"/>
          <w:color w:val="1F2937"/>
          <w:sz w:val="21"/>
        </w:rPr>
        <w:t>Offline surfaces show local state, pending sync, last successful sync and conflicts.</w:t>
      </w:r>
    </w:p>
    <w:p>
      <w:pPr>
        <w:pStyle w:val="Heading2"/>
        <w:keepNext/>
        <w:widowControl/>
      </w:pPr>
      <w:r>
        <w:t>9.4 Mandatory interface states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111827"/>
            <w:vAlign w:val="top"/>
            <w:tcMar>
              <w:top w:w="90" w:type="dxa"/>
              <w:start w:w="120" w:type="dxa"/>
              <w:bottom w:w="90" w:type="dxa"/>
              <w:end w:w="120" w:type="dxa"/>
            </w:tcMar>
          </w:tcPr>
          <w:p>
            <w:r>
              <w:rPr>
                <w:rFonts w:ascii="Aptos" w:hAnsi="Aptos"/>
                <w:b/>
                <w:i w:val="0"/>
                <w:color w:val="FFFFFF"/>
                <w:sz w:val="17"/>
              </w:rPr>
              <w:t>State</w:t>
            </w:r>
          </w:p>
        </w:tc>
        <w:tc>
          <w:tcPr>
            <w:tcW w:type="dxa" w:w="6360"/>
            <w:shd w:fill="111827"/>
            <w:vAlign w:val="top"/>
            <w:tcMar>
              <w:top w:w="90" w:type="dxa"/>
              <w:start w:w="120" w:type="dxa"/>
              <w:bottom w:w="90" w:type="dxa"/>
              <w:end w:w="120" w:type="dxa"/>
            </w:tcMar>
          </w:tcPr>
          <w:p>
            <w:r>
              <w:rPr>
                <w:rFonts w:ascii="Aptos" w:hAnsi="Aptos"/>
                <w:b/>
                <w:i w:val="0"/>
                <w:color w:val="FFFFFF"/>
                <w:sz w:val="17"/>
              </w:rPr>
              <w:t>Required behaviour</w:t>
            </w:r>
          </w:p>
        </w:tc>
      </w:tr>
      <w:tr>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Empty with a useful first action</w:t>
            </w:r>
          </w:p>
        </w:tc>
        <w:tc>
          <w:tcPr>
            <w:tcW w:type="dxa" w:w="63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Loading with stable layout</w:t>
            </w:r>
          </w:p>
        </w:tc>
        <w:tc>
          <w:tcPr>
            <w:tcW w:type="dxa" w:w="63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Unknown or not provided</w:t>
            </w:r>
          </w:p>
        </w:tc>
        <w:tc>
          <w:tcPr>
            <w:tcW w:type="dxa" w:w="63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Provisional or unverified</w:t>
            </w:r>
          </w:p>
        </w:tc>
        <w:tc>
          <w:tcPr>
            <w:tcW w:type="dxa" w:w="63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Stale or expired</w:t>
            </w:r>
          </w:p>
        </w:tc>
        <w:tc>
          <w:tcPr>
            <w:tcW w:type="dxa" w:w="63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Draft</w:t>
            </w:r>
          </w:p>
        </w:tc>
        <w:tc>
          <w:tcPr>
            <w:tcW w:type="dxa" w:w="63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Awaiting review</w:t>
            </w:r>
          </w:p>
        </w:tc>
        <w:tc>
          <w:tcPr>
            <w:tcW w:type="dxa" w:w="63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Awaiting approval</w:t>
            </w:r>
          </w:p>
        </w:tc>
        <w:tc>
          <w:tcPr>
            <w:tcW w:type="dxa" w:w="63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Blocked with owner and reason</w:t>
            </w:r>
          </w:p>
        </w:tc>
        <w:tc>
          <w:tcPr>
            <w:tcW w:type="dxa" w:w="63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Conflict requiring resolution</w:t>
            </w:r>
          </w:p>
        </w:tc>
        <w:tc>
          <w:tcPr>
            <w:tcW w:type="dxa" w:w="63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Offline and queued</w:t>
            </w:r>
          </w:p>
        </w:tc>
        <w:tc>
          <w:tcPr>
            <w:tcW w:type="dxa" w:w="63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Partially synchronised</w:t>
            </w:r>
          </w:p>
        </w:tc>
        <w:tc>
          <w:tcPr>
            <w:tcW w:type="dxa" w:w="63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Provider failure</w:t>
            </w:r>
          </w:p>
        </w:tc>
        <w:tc>
          <w:tcPr>
            <w:tcW w:type="dxa" w:w="63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Permission denied without data leakage</w:t>
            </w:r>
          </w:p>
        </w:tc>
        <w:tc>
          <w:tcPr>
            <w:tcW w:type="dxa" w:w="63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Success with evidence and next step</w:t>
            </w:r>
          </w:p>
        </w:tc>
        <w:tc>
          <w:tcPr>
            <w:tcW w:type="dxa" w:w="63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r>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Superseded/read-only history</w:t>
            </w:r>
          </w:p>
        </w:tc>
        <w:tc>
          <w:tcPr>
            <w:tcW w:type="dxa" w:w="63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Designed, written and tested for every applicable screen; never rely on a generic spinner or toast alone.</w:t>
            </w:r>
          </w:p>
        </w:tc>
      </w:tr>
    </w:tbl>
    <w:p>
      <w:pPr>
        <w:widowControl/>
        <w:spacing w:after="0"/>
      </w:pPr>
    </w:p>
    <w:p>
      <w:pPr>
        <w:pStyle w:val="Heading2"/>
        <w:keepNext/>
        <w:widowControl/>
      </w:pPr>
      <w:r>
        <w:t>9.5 Design system</w:t>
      </w:r>
    </w:p>
    <w:p>
      <w:pPr>
        <w:pStyle w:val="BlueprintBullet"/>
        <w:widowControl/>
        <w:numPr>
          <w:ilvl w:val="0"/>
          <w:numId w:val="24"/>
        </w:numPr>
      </w:pPr>
      <w:r>
        <w:rPr>
          <w:rFonts w:ascii="Aptos" w:hAnsi="Aptos"/>
          <w:b w:val="0"/>
          <w:i w:val="0"/>
          <w:color w:val="1F2937"/>
          <w:sz w:val="21"/>
        </w:rPr>
        <w:t>Maison Doclar palette: obsidian/navy foundations, restrained warm brass accent, neutral evidence surfaces and semantic status colours.</w:t>
      </w:r>
    </w:p>
    <w:p>
      <w:pPr>
        <w:pStyle w:val="BlueprintBullet"/>
        <w:widowControl/>
        <w:numPr>
          <w:ilvl w:val="0"/>
          <w:numId w:val="24"/>
        </w:numPr>
      </w:pPr>
      <w:r>
        <w:rPr>
          <w:rFonts w:ascii="Aptos" w:hAnsi="Aptos"/>
          <w:b w:val="0"/>
          <w:i w:val="0"/>
          <w:color w:val="1F2937"/>
          <w:sz w:val="21"/>
        </w:rPr>
        <w:t>Inter or equivalent modern sans serif for operational clarity; display serif may be used only for guest-facing editorial moments.</w:t>
      </w:r>
    </w:p>
    <w:p>
      <w:pPr>
        <w:pStyle w:val="BlueprintBullet"/>
        <w:widowControl/>
        <w:numPr>
          <w:ilvl w:val="0"/>
          <w:numId w:val="24"/>
        </w:numPr>
      </w:pPr>
      <w:r>
        <w:rPr>
          <w:rFonts w:ascii="Aptos" w:hAnsi="Aptos"/>
          <w:b w:val="0"/>
          <w:i w:val="0"/>
          <w:color w:val="1F2937"/>
          <w:sz w:val="21"/>
        </w:rPr>
        <w:t>A shared token package controls spacing, typography, colour, elevation, motion, density and breakpoints.</w:t>
      </w:r>
    </w:p>
    <w:p>
      <w:pPr>
        <w:pStyle w:val="BlueprintBullet"/>
        <w:widowControl/>
        <w:numPr>
          <w:ilvl w:val="0"/>
          <w:numId w:val="24"/>
        </w:numPr>
      </w:pPr>
      <w:r>
        <w:rPr>
          <w:rFonts w:ascii="Aptos" w:hAnsi="Aptos"/>
          <w:b w:val="0"/>
          <w:i w:val="0"/>
          <w:color w:val="1F2937"/>
          <w:sz w:val="21"/>
        </w:rPr>
        <w:t>Domain modules may not invent competing colour meanings.</w:t>
      </w:r>
    </w:p>
    <w:p>
      <w:pPr>
        <w:pStyle w:val="BlueprintBullet"/>
        <w:widowControl/>
        <w:numPr>
          <w:ilvl w:val="0"/>
          <w:numId w:val="24"/>
        </w:numPr>
      </w:pPr>
      <w:r>
        <w:rPr>
          <w:rFonts w:ascii="Aptos" w:hAnsi="Aptos"/>
          <w:b w:val="0"/>
          <w:i w:val="0"/>
          <w:color w:val="1F2937"/>
          <w:sz w:val="21"/>
        </w:rPr>
        <w:t>WCAG 2.2 AA is the minimum; event-day critical actions target enhanced contrast and large touch areas.</w:t>
      </w:r>
    </w:p>
    <w:p>
      <w:pPr>
        <w:pStyle w:val="BlueprintBullet"/>
        <w:widowControl/>
        <w:numPr>
          <w:ilvl w:val="0"/>
          <w:numId w:val="24"/>
        </w:numPr>
      </w:pPr>
      <w:r>
        <w:rPr>
          <w:rFonts w:ascii="Aptos" w:hAnsi="Aptos"/>
          <w:b w:val="0"/>
          <w:i w:val="0"/>
          <w:color w:val="1F2937"/>
          <w:sz w:val="21"/>
        </w:rPr>
        <w:t>Performance budgets apply to initial event workspace, guest search and check-in—not only marketing pages.</w:t>
      </w:r>
    </w:p>
    <w:p>
      <w:pPr>
        <w:pStyle w:val="Heading1"/>
        <w:keepNext/>
        <w:widowControl/>
      </w:pPr>
      <w:r>
        <w:t>10. Detailed workspace specifications</w:t>
      </w:r>
    </w:p>
    <w:p>
      <w:pPr>
        <w:pStyle w:val="Heading2"/>
        <w:keepNext/>
        <w:widowControl/>
      </w:pPr>
      <w:r>
        <w:t>10.1 Global home</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CEO, Event Director, department leads</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Portfolio attention: upcoming events, critical readiness, reserved decisions, expiring evidence, incidents and system health.</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Open event; acknowledge alert; approve/return decision; filter by client, phase or domain.</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Never expose guest-level sensitive data in portfolio summaries.</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10.2 Client workspace</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CEO, client lead</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Client profile, contacts, agreements, active programmes, retention rules and authorised representatives.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Create event; manage representatives; approve client-level policy.</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Client isolation and purpose limitation.</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10.3 Event setup</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Event Director, planner</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Brief, principals, authority map, dates, venues, phases, context packs and success criteria.</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Create, clone template, assign leads, approve baseline.</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Cannot enter Ready without required authority and event facts.</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10.4 Event overview</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All assigned staff, role-filtered</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Current phase, readiness by domain, programme, dependencies, decisions, risks and next actions.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Drill down, assign, acknowledge and escalate.</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One coherent event picture; no duplicate dashboards by module.</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10.5 Guest intake</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Guest lead, authorised data operator</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Batches, raw source, mapping, validation, duplicates, candidates and promotion results.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Upload, map, correct working record, review duplicate, promote or reject.</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Raw submission immutable; bulk promotion reversible through audited correction.</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10.6 Guest directory and profile</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Guest services, authorised leads</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Event guest, household, contact, RSVP, requirements, journey, communications, seating, credentials and attendance.</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Correct, link household, record need, initiate communication, propose cross-event link.</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Field-level masking; cross-event memory separate from event facts.</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10.7 RSVP administration</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Guest lead, communications</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Invitation status, question set, responses, headcount and exceptions.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Publish question set, send invitation, resolve overshoot, reopen response.</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Version questions; preserve response history.</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10.8 Guest self-service</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Guest</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RSVP, named companions, needs, consent, event information and credential.</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Respond, amend within policy, request assistance.</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Signed single-purpose link; accessible and low bandwidth.</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10.9 Communications centre</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Communications and concierge</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Campaigns, audiences, templates, delivery, inbound replies and follow-ups.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Preview audience, approve/send, respond, correct contact, escalate channel.</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Do-not-contact and channel permissions enforced before queueing.</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10.10 Venue and layout studio</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Planner, production lead</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Scaled layout, zones, tables, seats, fixtures, access and safe areas.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Design, snapshot, compare, validate capacity, publish version.</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No guest placement logic inside spatial canvas.</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10.11 Seating studio</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Seating lead, protocol/VIP reviewers</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Constraints, reserved blocks, solver runs, explanations, conflicts and approved placements.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Validate input, run allocation, compare, edit, approve and publish.</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Hard constraints never silently relaxed; edits retain rationale.</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10.12 Standards and readiness</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Department leads, assurance reviewers</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Applicable standards, evidence required, owner, due date, result and exception.</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Plan, submit evidence, verify, return, approve exception.</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Green requires current accepted evidence.</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10.13 Protocol, culture and VIP</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Protocol/VIP leads</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Authority map, precedence, cultural context, VIP controlled files, routes and conflicts.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Verify source, brief, request specialist decision, approve event application.</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Data minimisation; no AI-confirmed precedence.</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10.14 Ceremony and run-of-show</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Ceremony lead, stage, command</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Spine moments, movements, cues, GO/HOLD, buffers, principals and recovery.</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Edit version, rehearse, acknowledge cue, hold/release and log deviation.</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Published run is versioned; live changes require authority.</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10.15 Vendors and dependencies</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Vendor lead, department leads</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Engagements, diligence, scope, milestones, dependencies, evidence, incidents and scorecards.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Appoint, brief, inspect, approve change, escalate failure.</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Reusable vendor history separated from event engagement.</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10.16 Team and briefing</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Event Director, staffing lead</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Assignments, role cards, competence, training, positioning, wellbeing and acknowledgements.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Assign, brief, attest, replace, hand over and record concern.</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Staff see only data required by role.</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10.17 Risks and incidents</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Event Director, safety/security leads</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Risk register, early warnings, incidents, severity, actions, communications and recovery.</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Raise, classify, escalate, assign, update, close with outcome evidence.</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Safety overrides luxury/invisibility; closure requires verification.</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10.18 Decisions and approvals</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CEO and delegated authorities</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Decision queue, options, evidence, recommendation, reversibility, deadline and history.</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Approve, reject, return, delegate where permitted.</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Reserved decisions cannot be delegated by interface convenience.</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10.19 Credential studio</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Guest/access lead</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Templates, eligibility, credentials, generation, delivery, revocation and problems.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Generate, preview, issue, revoke, regenerate and resend.</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QR contains no PII; table changes trigger stale-card review.</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10.20 Event-day command</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Director and command leads</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Operational picture, look-ahead, arrivals, capacity, alerts, incidents, decisions and communications.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Open/close runtime, assign, acknowledge, decide and broadcast approved updates.</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EDR is live write authority; stale snapshot clearly shown.</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10.21 Check-in device</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Scanner, kiosk, concierge</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Scan/search result, minimum guest identity, entitlement, prior attendance and conflict action.</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Admit, deny/refer, add walk-in, queue offline and request supervisor.</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One primary action; no unnecessary VIP/private data.</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10.22 Reconciliation and close-out</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Event Director, data lead</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Snapshot versus ledger, conflicts, dead letters, no-shows, walk-ins and final status.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Resolve, supersede, close, publish final result and import outcomes.</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Director-only close; append-only history.</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10.23 Learning and knowledge change</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CEO, domain owners</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Verified outcomes, cases, proposed knowledge changes and cross-event trends.</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Approve lesson, create change proposal, reject or publish new version.</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Events cannot alter doctrine automatically.</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2"/>
        <w:keepNext/>
        <w:widowControl/>
      </w:pPr>
      <w:r>
        <w:t>10.24 Administration and system health</w:t>
      </w:r>
    </w:p>
    <w:tbl>
      <w:tblPr>
        <w:tblStyle w:val="TableGrid"/>
        <w:tblW w:type="dxa" w:w="9360"/>
        <w:jc w:val="left"/>
        <w:tblLayout w:type="fixed"/>
        <w:tblLook w:firstColumn="1" w:firstRow="1" w:lastColumn="0" w:lastRow="0" w:noHBand="0" w:noVBand="1" w:val="04A0"/>
        <w:tblInd w:w="120" w:type="dxa"/>
      </w:tblPr>
      <w:tblGrid>
        <w:gridCol w:w="1450"/>
        <w:gridCol w:w="3150"/>
        <w:gridCol w:w="2450"/>
        <w:gridCol w:w="231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7"/>
              </w:rPr>
              <w:t>Primary users</w:t>
            </w:r>
          </w:p>
        </w:tc>
        <w:tc>
          <w:tcPr>
            <w:tcW w:type="dxa" w:w="3150"/>
            <w:shd w:fill="111827"/>
            <w:vAlign w:val="top"/>
            <w:tcMar>
              <w:top w:w="90" w:type="dxa"/>
              <w:start w:w="120" w:type="dxa"/>
              <w:bottom w:w="90" w:type="dxa"/>
              <w:end w:w="120" w:type="dxa"/>
            </w:tcMar>
          </w:tcPr>
          <w:p>
            <w:r>
              <w:rPr>
                <w:rFonts w:ascii="Aptos" w:hAnsi="Aptos"/>
                <w:b/>
                <w:i w:val="0"/>
                <w:color w:val="FFFFFF"/>
                <w:sz w:val="17"/>
              </w:rPr>
              <w:t>Shows</w:t>
            </w:r>
          </w:p>
        </w:tc>
        <w:tc>
          <w:tcPr>
            <w:tcW w:type="dxa" w:w="2450"/>
            <w:shd w:fill="111827"/>
            <w:vAlign w:val="top"/>
            <w:tcMar>
              <w:top w:w="90" w:type="dxa"/>
              <w:start w:w="120" w:type="dxa"/>
              <w:bottom w:w="90" w:type="dxa"/>
              <w:end w:w="120" w:type="dxa"/>
            </w:tcMar>
          </w:tcPr>
          <w:p>
            <w:r>
              <w:rPr>
                <w:rFonts w:ascii="Aptos" w:hAnsi="Aptos"/>
                <w:b/>
                <w:i w:val="0"/>
                <w:color w:val="FFFFFF"/>
                <w:sz w:val="17"/>
              </w:rPr>
              <w:t>Principal actions</w:t>
            </w:r>
          </w:p>
        </w:tc>
        <w:tc>
          <w:tcPr>
            <w:tcW w:type="dxa" w:w="2310"/>
            <w:shd w:fill="111827"/>
            <w:vAlign w:val="top"/>
            <w:tcMar>
              <w:top w:w="90" w:type="dxa"/>
              <w:start w:w="120" w:type="dxa"/>
              <w:bottom w:w="90" w:type="dxa"/>
              <w:end w:w="120" w:type="dxa"/>
            </w:tcMar>
          </w:tcPr>
          <w:p>
            <w:r>
              <w:rPr>
                <w:rFonts w:ascii="Aptos" w:hAnsi="Aptos"/>
                <w:b/>
                <w:i w:val="0"/>
                <w:color w:val="FFFFFF"/>
                <w:sz w:val="17"/>
              </w:rPr>
              <w:t>Controls</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System administrator</w:t>
            </w:r>
          </w:p>
        </w:tc>
        <w:tc>
          <w:tcPr>
            <w:tcW w:type="dxa" w:w="31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Users, roles, integrations, devices, jobs, failures, secrets metadata, retention and audit.</w:t>
            </w:r>
          </w:p>
        </w:tc>
        <w:tc>
          <w:tcPr>
            <w:tcW w:type="dxa" w:w="245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Provision, revoke, retry, investigate and export evidence.</w:t>
            </w:r>
          </w:p>
        </w:tc>
        <w:tc>
          <w:tcPr>
            <w:tcW w:type="dxa" w:w="231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No secret values displayed; support access is time-bound and audited.</w:t>
            </w:r>
          </w:p>
        </w:tc>
      </w:tr>
    </w:tbl>
    <w:p>
      <w:pPr>
        <w:widowControl/>
        <w:spacing w:after="0"/>
      </w:pPr>
    </w:p>
    <w:p>
      <w:pPr>
        <w:keepLines w:val="0"/>
        <w:widowControl/>
      </w:pPr>
      <w:r>
        <w:rPr>
          <w:rFonts w:ascii="Aptos" w:hAnsi="Aptos"/>
          <w:b w:val="0"/>
          <w:i/>
          <w:color w:val="667085"/>
          <w:sz w:val="18"/>
        </w:rPr>
        <w:t>Acceptance states: empty, loading, unknown, stale, blocked, permission-limited, error and successful completion must be designed where applicable.</w:t>
      </w:r>
    </w:p>
    <w:p>
      <w:pPr>
        <w:pStyle w:val="Heading1"/>
        <w:keepNext/>
        <w:widowControl/>
      </w:pPr>
      <w:r>
        <w:t>11. Roles, permissions and approvals</w:t>
      </w:r>
    </w:p>
    <w:p>
      <w:pPr>
        <w:pStyle w:val="Heading2"/>
        <w:keepNext/>
        <w:widowControl/>
      </w:pPr>
      <w:r>
        <w:t>11.1 Permission model</w:t>
      </w:r>
    </w:p>
    <w:p>
      <w:pPr>
        <w:keepLines w:val="0"/>
        <w:widowControl/>
      </w:pPr>
      <w:r>
        <w:rPr>
          <w:rFonts w:ascii="Aptos" w:hAnsi="Aptos"/>
          <w:b w:val="0"/>
          <w:i w:val="0"/>
          <w:color w:val="1F2937"/>
          <w:sz w:val="21"/>
        </w:rPr>
        <w:t>Authorisation is policy-based: actor + organisation + client + event + assignment + resource sensitivity + action + phase + approval rule. UI hiding is not enforcement; every API and worker rechecks policy.</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111827"/>
            <w:vAlign w:val="top"/>
            <w:tcMar>
              <w:top w:w="90" w:type="dxa"/>
              <w:start w:w="120" w:type="dxa"/>
              <w:bottom w:w="90" w:type="dxa"/>
              <w:end w:w="120" w:type="dxa"/>
            </w:tcMar>
          </w:tcPr>
          <w:p>
            <w:r>
              <w:rPr>
                <w:rFonts w:ascii="Aptos" w:hAnsi="Aptos"/>
                <w:b/>
                <w:i w:val="0"/>
                <w:color w:val="FFFFFF"/>
                <w:sz w:val="18"/>
              </w:rPr>
              <w:t>Role</w:t>
            </w:r>
          </w:p>
        </w:tc>
        <w:tc>
          <w:tcPr>
            <w:tcW w:type="dxa" w:w="6860"/>
            <w:shd w:fill="111827"/>
            <w:vAlign w:val="top"/>
            <w:tcMar>
              <w:top w:w="90" w:type="dxa"/>
              <w:start w:w="120" w:type="dxa"/>
              <w:bottom w:w="90" w:type="dxa"/>
              <w:end w:w="120" w:type="dxa"/>
            </w:tcMar>
          </w:tcPr>
          <w:p>
            <w:r>
              <w:rPr>
                <w:rFonts w:ascii="Aptos" w:hAnsi="Aptos"/>
                <w:b/>
                <w:i w:val="0"/>
                <w:color w:val="FFFFFF"/>
                <w:sz w:val="18"/>
              </w:rPr>
              <w:t>Authority boundary</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CEO</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Organisation standards, reserved decisions, cross-event intelligence and exceptional approvals</w:t>
            </w:r>
          </w:p>
        </w:tc>
      </w:tr>
      <w:tr>
        <w:tc>
          <w:tcPr>
            <w:tcW w:type="dxa" w:w="2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 Director</w:t>
            </w:r>
          </w:p>
        </w:tc>
        <w:tc>
          <w:tcPr>
            <w:tcW w:type="dxa" w:w="6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 baseline, assignments, readiness, runtime publication, command and close-out</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Client Lead</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Client relationship, briefs and client approvals</w:t>
            </w:r>
          </w:p>
        </w:tc>
      </w:tr>
      <w:tr>
        <w:tc>
          <w:tcPr>
            <w:tcW w:type="dxa" w:w="2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Department Lead</w:t>
            </w:r>
          </w:p>
        </w:tc>
        <w:tc>
          <w:tcPr>
            <w:tcW w:type="dxa" w:w="6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Owned domain plans, evidence, risks, staff and recommendations</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Planner</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Create and maintain event records within assignment</w:t>
            </w:r>
          </w:p>
        </w:tc>
      </w:tr>
      <w:tr>
        <w:tc>
          <w:tcPr>
            <w:tcW w:type="dxa" w:w="2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Guest Data Lead</w:t>
            </w:r>
          </w:p>
        </w:tc>
        <w:tc>
          <w:tcPr>
            <w:tcW w:type="dxa" w:w="6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Intake, identity review, RSVP and protected guest corrections</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Communications Lead</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Templates, audiences, campaigns, replies and recovery</w:t>
            </w:r>
          </w:p>
        </w:tc>
      </w:tr>
      <w:tr>
        <w:tc>
          <w:tcPr>
            <w:tcW w:type="dxa" w:w="2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Protocol/Cultural/VIP Lead</w:t>
            </w:r>
          </w:p>
        </w:tc>
        <w:tc>
          <w:tcPr>
            <w:tcW w:type="dxa" w:w="6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Controlled knowledge application and specialist verification</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Vendor Lead</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Supplier engagement, diligence, scope and performance</w:t>
            </w:r>
          </w:p>
        </w:tc>
      </w:tr>
      <w:tr>
        <w:tc>
          <w:tcPr>
            <w:tcW w:type="dxa" w:w="2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Staffing Lead</w:t>
            </w:r>
          </w:p>
        </w:tc>
        <w:tc>
          <w:tcPr>
            <w:tcW w:type="dxa" w:w="6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Assignments, training, briefings and wellbeing</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Credential Lead</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Credential policy, issuance and revocation</w:t>
            </w:r>
          </w:p>
        </w:tc>
      </w:tr>
      <w:tr>
        <w:tc>
          <w:tcPr>
            <w:tcW w:type="dxa" w:w="2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Check-in Operator</w:t>
            </w:r>
          </w:p>
        </w:tc>
        <w:tc>
          <w:tcPr>
            <w:tcW w:type="dxa" w:w="6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Minimum-data scan/search and attendance action</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Concierge</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 assistance, communication and approved context</w:t>
            </w:r>
          </w:p>
        </w:tc>
      </w:tr>
      <w:tr>
        <w:tc>
          <w:tcPr>
            <w:tcW w:type="dxa" w:w="2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Specialist Reviewer</w:t>
            </w:r>
          </w:p>
        </w:tc>
        <w:tc>
          <w:tcPr>
            <w:tcW w:type="dxa" w:w="6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Narrow verification or approval in named domain</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Client Representative</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Controlled brief, decision and approval access</w:t>
            </w:r>
          </w:p>
        </w:tc>
      </w:tr>
      <w:tr>
        <w:tc>
          <w:tcPr>
            <w:tcW w:type="dxa" w:w="2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Vendor User</w:t>
            </w:r>
          </w:p>
        </w:tc>
        <w:tc>
          <w:tcPr>
            <w:tcW w:type="dxa" w:w="6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Own brief, submissions, acknowledgements and incidents</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System Administrator</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Identity, configuration and support; no automatic business authority</w:t>
            </w:r>
          </w:p>
        </w:tc>
      </w:tr>
      <w:tr>
        <w:tc>
          <w:tcPr>
            <w:tcW w:type="dxa" w:w="2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AI Service</w:t>
            </w:r>
          </w:p>
        </w:tc>
        <w:tc>
          <w:tcPr>
            <w:tcW w:type="dxa" w:w="6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Read only authorised context and create drafts/recommendations; never approve</w:t>
            </w:r>
          </w:p>
        </w:tc>
      </w:tr>
    </w:tbl>
    <w:p>
      <w:pPr>
        <w:widowControl/>
        <w:spacing w:after="0"/>
      </w:pPr>
    </w:p>
    <w:p>
      <w:pPr>
        <w:pStyle w:val="Heading2"/>
        <w:keepNext/>
        <w:widowControl/>
      </w:pPr>
      <w:r>
        <w:t>11.2 Reserved approval examples</w:t>
      </w:r>
    </w:p>
    <w:tbl>
      <w:tblPr>
        <w:tblStyle w:val="TableGrid"/>
        <w:tblW w:type="dxa" w:w="9360"/>
        <w:jc w:val="left"/>
        <w:tblLayout w:type="fixed"/>
        <w:tblLook w:firstColumn="1" w:firstRow="1" w:lastColumn="0" w:lastRow="0" w:noHBand="0" w:noVBand="1" w:val="04A0"/>
        <w:tblInd w:w="120" w:type="dxa"/>
      </w:tblPr>
      <w:tblGrid>
        <w:gridCol w:w="5200"/>
        <w:gridCol w:w="4160"/>
      </w:tblGrid>
      <w:tr>
        <w:trPr>
          <w:tblHeader w:val="true"/>
        </w:trPr>
        <w:tc>
          <w:tcPr>
            <w:tcW w:type="dxa" w:w="5200"/>
            <w:shd w:fill="111827"/>
            <w:vAlign w:val="top"/>
            <w:tcMar>
              <w:top w:w="90" w:type="dxa"/>
              <w:start w:w="120" w:type="dxa"/>
              <w:bottom w:w="90" w:type="dxa"/>
              <w:end w:w="120" w:type="dxa"/>
            </w:tcMar>
          </w:tcPr>
          <w:p>
            <w:r>
              <w:rPr>
                <w:rFonts w:ascii="Aptos" w:hAnsi="Aptos"/>
                <w:b/>
                <w:i w:val="0"/>
                <w:color w:val="FFFFFF"/>
                <w:sz w:val="18"/>
              </w:rPr>
              <w:t>Decision</w:t>
            </w:r>
          </w:p>
        </w:tc>
        <w:tc>
          <w:tcPr>
            <w:tcW w:type="dxa" w:w="4160"/>
            <w:shd w:fill="111827"/>
            <w:vAlign w:val="top"/>
            <w:tcMar>
              <w:top w:w="90" w:type="dxa"/>
              <w:start w:w="120" w:type="dxa"/>
              <w:bottom w:w="90" w:type="dxa"/>
              <w:end w:w="120" w:type="dxa"/>
            </w:tcMar>
          </w:tcPr>
          <w:p>
            <w:r>
              <w:rPr>
                <w:rFonts w:ascii="Aptos" w:hAnsi="Aptos"/>
                <w:b/>
                <w:i w:val="0"/>
                <w:color w:val="FFFFFF"/>
                <w:sz w:val="18"/>
              </w:rPr>
              <w:t>Minimum authority</w:t>
            </w:r>
          </w:p>
        </w:tc>
      </w:tr>
      <w:tr>
        <w:tc>
          <w:tcPr>
            <w:tcW w:type="dxa" w:w="5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Publish or withdraw organisational knowledge</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CEO or named knowledge authority</w:t>
            </w:r>
          </w:p>
        </w:tc>
      </w:tr>
      <w:tr>
        <w:tc>
          <w:tcPr>
            <w:tcW w:type="dxa" w:w="5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Approve event baseline and authority map</w:t>
            </w:r>
          </w:p>
        </w:tc>
        <w:tc>
          <w:tcPr>
            <w:tcW w:type="dxa" w:w="4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 Director; CEO where reserved</w:t>
            </w:r>
          </w:p>
        </w:tc>
      </w:tr>
      <w:tr>
        <w:tc>
          <w:tcPr>
            <w:tcW w:type="dxa" w:w="5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Accept critical readiness exception</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 Director plus relevant specialist; CEO where reputational/high-impact</w:t>
            </w:r>
          </w:p>
        </w:tc>
      </w:tr>
      <w:tr>
        <w:tc>
          <w:tcPr>
            <w:tcW w:type="dxa" w:w="5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Publish seating plan affecting protocol/VIP</w:t>
            </w:r>
          </w:p>
        </w:tc>
        <w:tc>
          <w:tcPr>
            <w:tcW w:type="dxa" w:w="4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Seating owner plus protocol/VIP authority</w:t>
            </w:r>
          </w:p>
        </w:tc>
      </w:tr>
      <w:tr>
        <w:tc>
          <w:tcPr>
            <w:tcW w:type="dxa" w:w="5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Send crisis or reputational communication</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Named crisis authority</w:t>
            </w:r>
          </w:p>
        </w:tc>
      </w:tr>
      <w:tr>
        <w:tc>
          <w:tcPr>
            <w:tcW w:type="dxa" w:w="5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Publish EDR snapshot and open runtime</w:t>
            </w:r>
          </w:p>
        </w:tc>
        <w:tc>
          <w:tcPr>
            <w:tcW w:type="dxa" w:w="4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 Director</w:t>
            </w:r>
          </w:p>
        </w:tc>
      </w:tr>
      <w:tr>
        <w:tc>
          <w:tcPr>
            <w:tcW w:type="dxa" w:w="5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Close runtime and finalise reconciliation</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 Director</w:t>
            </w:r>
          </w:p>
        </w:tc>
      </w:tr>
      <w:tr>
        <w:tc>
          <w:tcPr>
            <w:tcW w:type="dxa" w:w="5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Enable FaceGate for an event</w:t>
            </w:r>
          </w:p>
        </w:tc>
        <w:tc>
          <w:tcPr>
            <w:tcW w:type="dxa" w:w="4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CEO/business owner plus privacy/security/legal gates</w:t>
            </w:r>
          </w:p>
        </w:tc>
      </w:tr>
      <w:tr>
        <w:tc>
          <w:tcPr>
            <w:tcW w:type="dxa" w:w="5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Promote event learning into doctrine</w:t>
            </w:r>
          </w:p>
        </w:tc>
        <w:tc>
          <w:tcPr>
            <w:tcW w:type="dxa" w:w="4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Knowledge authority; never automatic</w:t>
            </w:r>
          </w:p>
        </w:tc>
      </w:tr>
    </w:tbl>
    <w:p>
      <w:pPr>
        <w:widowControl/>
        <w:spacing w:after="0"/>
      </w:pPr>
    </w:p>
    <w:p>
      <w:pPr>
        <w:pStyle w:val="Heading2"/>
        <w:keepNext/>
        <w:widowControl/>
      </w:pPr>
      <w:r>
        <w:t>11.3 Sensitive field access</w:t>
      </w:r>
    </w:p>
    <w:tbl>
      <w:tblPr>
        <w:tblStyle w:val="TableGrid"/>
        <w:tblW w:type="dxa" w:w="9360"/>
        <w:jc w:val="left"/>
        <w:tblLayout w:type="fixed"/>
        <w:tblLook w:firstColumn="1" w:firstRow="1" w:lastColumn="0" w:lastRow="0" w:noHBand="0" w:noVBand="1" w:val="04A0"/>
        <w:tblInd w:w="120" w:type="dxa"/>
      </w:tblPr>
      <w:tblGrid>
        <w:gridCol w:w="2300"/>
        <w:gridCol w:w="3000"/>
        <w:gridCol w:w="4060"/>
      </w:tblGrid>
      <w:tr>
        <w:trPr>
          <w:tblHeader w:val="true"/>
        </w:trPr>
        <w:tc>
          <w:tcPr>
            <w:tcW w:type="dxa" w:w="2300"/>
            <w:shd w:fill="111827"/>
            <w:vAlign w:val="top"/>
            <w:tcMar>
              <w:top w:w="90" w:type="dxa"/>
              <w:start w:w="120" w:type="dxa"/>
              <w:bottom w:w="90" w:type="dxa"/>
              <w:end w:w="120" w:type="dxa"/>
            </w:tcMar>
          </w:tcPr>
          <w:p>
            <w:r>
              <w:rPr>
                <w:rFonts w:ascii="Aptos" w:hAnsi="Aptos"/>
                <w:b/>
                <w:i w:val="0"/>
                <w:color w:val="FFFFFF"/>
                <w:sz w:val="18"/>
              </w:rPr>
              <w:t>Data</w:t>
            </w:r>
          </w:p>
        </w:tc>
        <w:tc>
          <w:tcPr>
            <w:tcW w:type="dxa" w:w="3000"/>
            <w:shd w:fill="111827"/>
            <w:vAlign w:val="top"/>
            <w:tcMar>
              <w:top w:w="90" w:type="dxa"/>
              <w:start w:w="120" w:type="dxa"/>
              <w:bottom w:w="90" w:type="dxa"/>
              <w:end w:w="120" w:type="dxa"/>
            </w:tcMar>
          </w:tcPr>
          <w:p>
            <w:r>
              <w:rPr>
                <w:rFonts w:ascii="Aptos" w:hAnsi="Aptos"/>
                <w:b/>
                <w:i w:val="0"/>
                <w:color w:val="FFFFFF"/>
                <w:sz w:val="18"/>
              </w:rPr>
              <w:t>Default visibility</w:t>
            </w:r>
          </w:p>
        </w:tc>
        <w:tc>
          <w:tcPr>
            <w:tcW w:type="dxa" w:w="4060"/>
            <w:shd w:fill="111827"/>
            <w:vAlign w:val="top"/>
            <w:tcMar>
              <w:top w:w="90" w:type="dxa"/>
              <w:start w:w="120" w:type="dxa"/>
              <w:bottom w:w="90" w:type="dxa"/>
              <w:end w:w="120" w:type="dxa"/>
            </w:tcMar>
          </w:tcPr>
          <w:p>
            <w:r>
              <w:rPr>
                <w:rFonts w:ascii="Aptos" w:hAnsi="Aptos"/>
                <w:b/>
                <w:i w:val="0"/>
                <w:color w:val="FFFFFF"/>
                <w:sz w:val="18"/>
              </w:rPr>
              <w:t>Additional control</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Contact details</w:t>
            </w:r>
          </w:p>
        </w:tc>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 operations by assignment</w:t>
            </w:r>
          </w:p>
        </w:tc>
        <w:tc>
          <w:tcPr>
            <w:tcW w:type="dxa" w:w="4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Purpose and channel policy</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Dietary/accessibility</w:t>
            </w:r>
          </w:p>
        </w:tc>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Only delivery roles requiring it</w:t>
            </w:r>
          </w:p>
        </w:tc>
        <w:tc>
          <w:tcPr>
            <w:tcW w:type="dxa" w:w="4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Minimised display and audit</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VIP/security</w:t>
            </w:r>
          </w:p>
        </w:tc>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Named VIP/security team</w:t>
            </w:r>
          </w:p>
        </w:tc>
        <w:tc>
          <w:tcPr>
            <w:tcW w:type="dxa" w:w="4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Controlled file and need-to-know</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Protocol conflict</w:t>
            </w:r>
          </w:p>
        </w:tc>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Named protocol and executive authority</w:t>
            </w:r>
          </w:p>
        </w:tc>
        <w:tc>
          <w:tcPr>
            <w:tcW w:type="dxa" w:w="4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Specialist verification</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Biometric data</w:t>
            </w:r>
          </w:p>
        </w:tc>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FaceGate service only</w:t>
            </w:r>
          </w:p>
        </w:tc>
        <w:tc>
          <w:tcPr>
            <w:tcW w:type="dxa" w:w="4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No display/export in core</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Cross-event memory</w:t>
            </w:r>
          </w:p>
        </w:tc>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Authorised relationship roles</w:t>
            </w:r>
          </w:p>
        </w:tc>
        <w:tc>
          <w:tcPr>
            <w:tcW w:type="dxa" w:w="4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Explicit approval, purpose and retention</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Incident/medical details</w:t>
            </w:r>
          </w:p>
        </w:tc>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Named response authority</w:t>
            </w:r>
          </w:p>
        </w:tc>
        <w:tc>
          <w:tcPr>
            <w:tcW w:type="dxa" w:w="4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Restricted evidence and retention</w:t>
            </w:r>
          </w:p>
        </w:tc>
      </w:tr>
    </w:tbl>
    <w:p>
      <w:pPr>
        <w:widowControl/>
        <w:spacing w:after="0"/>
      </w:pPr>
    </w:p>
    <w:p>
      <w:pPr>
        <w:pStyle w:val="Heading1"/>
        <w:keepNext/>
        <w:widowControl/>
      </w:pPr>
      <w:r>
        <w:t>12. Downstream capability contracts</w:t>
      </w:r>
    </w:p>
    <w:tbl>
      <w:tblPr>
        <w:tblStyle w:val="TableGrid"/>
        <w:tblW w:type="dxa" w:w="9360"/>
        <w:jc w:val="left"/>
        <w:tblLayout w:type="fixed"/>
        <w:tblLook w:firstColumn="1" w:firstRow="1" w:lastColumn="0" w:lastRow="0" w:noHBand="0" w:noVBand="1" w:val="04A0"/>
        <w:tblInd w:w="120" w:type="dxa"/>
      </w:tblPr>
      <w:tblGrid>
        <w:gridCol w:w="1450"/>
        <w:gridCol w:w="1450"/>
        <w:gridCol w:w="2050"/>
        <w:gridCol w:w="2050"/>
        <w:gridCol w:w="2360"/>
      </w:tblGrid>
      <w:tr>
        <w:trPr>
          <w:tblHeader w:val="true"/>
        </w:trPr>
        <w:tc>
          <w:tcPr>
            <w:tcW w:type="dxa" w:w="1450"/>
            <w:shd w:fill="111827"/>
            <w:vAlign w:val="top"/>
            <w:tcMar>
              <w:top w:w="90" w:type="dxa"/>
              <w:start w:w="120" w:type="dxa"/>
              <w:bottom w:w="90" w:type="dxa"/>
              <w:end w:w="120" w:type="dxa"/>
            </w:tcMar>
          </w:tcPr>
          <w:p>
            <w:r>
              <w:rPr>
                <w:rFonts w:ascii="Aptos" w:hAnsi="Aptos"/>
                <w:b/>
                <w:i w:val="0"/>
                <w:color w:val="FFFFFF"/>
                <w:sz w:val="16"/>
              </w:rPr>
              <w:t>Capability</w:t>
            </w:r>
          </w:p>
        </w:tc>
        <w:tc>
          <w:tcPr>
            <w:tcW w:type="dxa" w:w="1450"/>
            <w:shd w:fill="111827"/>
            <w:vAlign w:val="top"/>
            <w:tcMar>
              <w:top w:w="90" w:type="dxa"/>
              <w:start w:w="120" w:type="dxa"/>
              <w:bottom w:w="90" w:type="dxa"/>
              <w:end w:w="120" w:type="dxa"/>
            </w:tcMar>
          </w:tcPr>
          <w:p>
            <w:r>
              <w:rPr>
                <w:rFonts w:ascii="Aptos" w:hAnsi="Aptos"/>
                <w:b/>
                <w:i w:val="0"/>
                <w:color w:val="FFFFFF"/>
                <w:sz w:val="16"/>
              </w:rPr>
              <w:t>Location</w:t>
            </w:r>
          </w:p>
        </w:tc>
        <w:tc>
          <w:tcPr>
            <w:tcW w:type="dxa" w:w="2050"/>
            <w:shd w:fill="111827"/>
            <w:vAlign w:val="top"/>
            <w:tcMar>
              <w:top w:w="90" w:type="dxa"/>
              <w:start w:w="120" w:type="dxa"/>
              <w:bottom w:w="90" w:type="dxa"/>
              <w:end w:w="120" w:type="dxa"/>
            </w:tcMar>
          </w:tcPr>
          <w:p>
            <w:r>
              <w:rPr>
                <w:rFonts w:ascii="Aptos" w:hAnsi="Aptos"/>
                <w:b/>
                <w:i w:val="0"/>
                <w:color w:val="FFFFFF"/>
                <w:sz w:val="16"/>
              </w:rPr>
              <w:t>Consumes</w:t>
            </w:r>
          </w:p>
        </w:tc>
        <w:tc>
          <w:tcPr>
            <w:tcW w:type="dxa" w:w="2050"/>
            <w:shd w:fill="111827"/>
            <w:vAlign w:val="top"/>
            <w:tcMar>
              <w:top w:w="90" w:type="dxa"/>
              <w:start w:w="120" w:type="dxa"/>
              <w:bottom w:w="90" w:type="dxa"/>
              <w:end w:w="120" w:type="dxa"/>
            </w:tcMar>
          </w:tcPr>
          <w:p>
            <w:r>
              <w:rPr>
                <w:rFonts w:ascii="Aptos" w:hAnsi="Aptos"/>
                <w:b/>
                <w:i w:val="0"/>
                <w:color w:val="FFFFFF"/>
                <w:sz w:val="16"/>
              </w:rPr>
              <w:t>Contributes</w:t>
            </w:r>
          </w:p>
        </w:tc>
        <w:tc>
          <w:tcPr>
            <w:tcW w:type="dxa" w:w="2360"/>
            <w:shd w:fill="111827"/>
            <w:vAlign w:val="top"/>
            <w:tcMar>
              <w:top w:w="90" w:type="dxa"/>
              <w:start w:w="120" w:type="dxa"/>
              <w:bottom w:w="90" w:type="dxa"/>
              <w:end w:w="120" w:type="dxa"/>
            </w:tcMar>
          </w:tcPr>
          <w:p>
            <w:r>
              <w:rPr>
                <w:rFonts w:ascii="Aptos" w:hAnsi="Aptos"/>
                <w:b/>
                <w:i w:val="0"/>
                <w:color w:val="FFFFFF"/>
                <w:sz w:val="16"/>
              </w:rPr>
              <w:t>Non-negotiable</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12.1 Guest intake</w:t>
            </w:r>
          </w:p>
        </w:tc>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Core + quarantine module</w:t>
            </w:r>
          </w:p>
        </w:tc>
        <w:tc>
          <w:tcPr>
            <w:tcW w:type="dxa" w:w="20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Event, source files, mappings, permissions</w:t>
            </w:r>
          </w:p>
        </w:tc>
        <w:tc>
          <w:tcPr>
            <w:tcW w:type="dxa" w:w="20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EventGuest, household, contact, requirements, provenance</w:t>
            </w:r>
          </w:p>
        </w:tc>
        <w:tc>
          <w:tcPr>
            <w:tcW w:type="dxa" w:w="23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Raw immutable; promotion revalidates; possible duplicates require review</w:t>
            </w:r>
          </w:p>
        </w:tc>
      </w:tr>
      <w:tr>
        <w:tc>
          <w:tcPr>
            <w:tcW w:type="dxa" w:w="14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12.2 RSVP</w:t>
            </w:r>
          </w:p>
        </w:tc>
        <w:tc>
          <w:tcPr>
            <w:tcW w:type="dxa" w:w="14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Core + guest signed surface</w:t>
            </w:r>
          </w:p>
        </w:tc>
        <w:tc>
          <w:tcPr>
            <w:tcW w:type="dxa" w:w="20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EventGuest, invitation, question version, entitlement</w:t>
            </w:r>
          </w:p>
        </w:tc>
        <w:tc>
          <w:tcPr>
            <w:tcW w:type="dxa" w:w="20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Responses, attendance intent, needs, headcount exceptions</w:t>
            </w:r>
          </w:p>
        </w:tc>
        <w:tc>
          <w:tcPr>
            <w:tcW w:type="dxa" w:w="23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No guest account; version history; correction path</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12.3 Communications</w:t>
            </w:r>
          </w:p>
        </w:tc>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Core domain + workers</w:t>
            </w:r>
          </w:p>
        </w:tc>
        <w:tc>
          <w:tcPr>
            <w:tcW w:type="dxa" w:w="20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Audience, consent, contact, template, channel policy</w:t>
            </w:r>
          </w:p>
        </w:tc>
        <w:tc>
          <w:tcPr>
            <w:tcW w:type="dxa" w:w="20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Message attempts, delivery events, replies, tasks</w:t>
            </w:r>
          </w:p>
        </w:tc>
        <w:tc>
          <w:tcPr>
            <w:tcW w:type="dxa" w:w="23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Idempotent; opt-out before enqueue; inbound never invisible</w:t>
            </w:r>
          </w:p>
        </w:tc>
      </w:tr>
      <w:tr>
        <w:tc>
          <w:tcPr>
            <w:tcW w:type="dxa" w:w="14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12.4 Layout</w:t>
            </w:r>
          </w:p>
        </w:tc>
        <w:tc>
          <w:tcPr>
            <w:tcW w:type="dxa" w:w="14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Core frontend/domain</w:t>
            </w:r>
          </w:p>
        </w:tc>
        <w:tc>
          <w:tcPr>
            <w:tcW w:type="dxa" w:w="20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Venue, capacities, fixtures and safe zones</w:t>
            </w:r>
          </w:p>
        </w:tc>
        <w:tc>
          <w:tcPr>
            <w:tcW w:type="dxa" w:w="20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Versioned layout and publish record</w:t>
            </w:r>
          </w:p>
        </w:tc>
        <w:tc>
          <w:tcPr>
            <w:tcW w:type="dxa" w:w="23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Spatial design only; explicit capacity validation</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12.5 Seating allocator</w:t>
            </w:r>
          </w:p>
        </w:tc>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Separate stateless service</w:t>
            </w:r>
          </w:p>
        </w:tc>
        <w:tc>
          <w:tcPr>
            <w:tcW w:type="dxa" w:w="20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Minimal pseudonymous guest/household/constraint payload</w:t>
            </w:r>
          </w:p>
        </w:tc>
        <w:tc>
          <w:tcPr>
            <w:tcW w:type="dxa" w:w="20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Allocation, infeasibility and explanation</w:t>
            </w:r>
          </w:p>
        </w:tc>
        <w:tc>
          <w:tcPr>
            <w:tcW w:type="dxa" w:w="23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Deterministic; no PII retention; human approval</w:t>
            </w:r>
          </w:p>
        </w:tc>
      </w:tr>
      <w:tr>
        <w:tc>
          <w:tcPr>
            <w:tcW w:type="dxa" w:w="14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12.6 Credentials and QR</w:t>
            </w:r>
          </w:p>
        </w:tc>
        <w:tc>
          <w:tcPr>
            <w:tcW w:type="dxa" w:w="14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Core credential domain</w:t>
            </w:r>
          </w:p>
        </w:tc>
        <w:tc>
          <w:tcPr>
            <w:tcW w:type="dxa" w:w="20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Eligibility, event, seating publication, template</w:t>
            </w:r>
          </w:p>
        </w:tc>
        <w:tc>
          <w:tcPr>
            <w:tcW w:type="dxa" w:w="20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Opaque credential, issue, delivery, use and revocation</w:t>
            </w:r>
          </w:p>
        </w:tc>
        <w:tc>
          <w:tcPr>
            <w:tcW w:type="dxa" w:w="23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Signed or secure lookup; no PII; expiry/replay handling</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12.7 Event-day runtime</w:t>
            </w:r>
          </w:p>
        </w:tc>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Separate EDR service</w:t>
            </w:r>
          </w:p>
        </w:tc>
        <w:tc>
          <w:tcPr>
            <w:tcW w:type="dxa" w:w="20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Approved immutable snapshot and device access</w:t>
            </w:r>
          </w:p>
        </w:tc>
        <w:tc>
          <w:tcPr>
            <w:tcW w:type="dxa" w:w="20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Runtime ledger, capacity, incidents and reconciliation</w:t>
            </w:r>
          </w:p>
        </w:tc>
        <w:tc>
          <w:tcPr>
            <w:tcW w:type="dxa" w:w="23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Sole live authority; offline-first; director close</w:t>
            </w:r>
          </w:p>
        </w:tc>
      </w:tr>
      <w:tr>
        <w:tc>
          <w:tcPr>
            <w:tcW w:type="dxa" w:w="14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12.8 FaceGate</w:t>
            </w:r>
          </w:p>
        </w:tc>
        <w:tc>
          <w:tcPr>
            <w:tcW w:type="dxa" w:w="14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Isolated optional service</w:t>
            </w:r>
          </w:p>
        </w:tc>
        <w:tc>
          <w:tcPr>
            <w:tcW w:type="dxa" w:w="20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Mapped event guest token and biometric consent</w:t>
            </w:r>
          </w:p>
        </w:tc>
        <w:tc>
          <w:tcPr>
            <w:tcW w:type="dxa" w:w="20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Biometric assertion to EDR; deletion evidence</w:t>
            </w:r>
          </w:p>
        </w:tc>
        <w:tc>
          <w:tcPr>
            <w:tcW w:type="dxa" w:w="23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Feature-gated; no core biometric storage; human fallback</w:t>
            </w:r>
          </w:p>
        </w:tc>
      </w:tr>
      <w:tr>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12.9 Standards/readiness</w:t>
            </w:r>
          </w:p>
        </w:tc>
        <w:tc>
          <w:tcPr>
            <w:tcW w:type="dxa" w:w="14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Shared assurance domain</w:t>
            </w:r>
          </w:p>
        </w:tc>
        <w:tc>
          <w:tcPr>
            <w:tcW w:type="dxa" w:w="20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Applicable standards, owners and evidence contracts</w:t>
            </w:r>
          </w:p>
        </w:tc>
        <w:tc>
          <w:tcPr>
            <w:tcW w:type="dxa" w:w="205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Findings, status, exceptions and declaration</w:t>
            </w:r>
          </w:p>
        </w:tc>
        <w:tc>
          <w:tcPr>
            <w:tcW w:type="dxa" w:w="23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No opaque score; Green requires evidence</w:t>
            </w:r>
          </w:p>
        </w:tc>
      </w:tr>
      <w:tr>
        <w:tc>
          <w:tcPr>
            <w:tcW w:type="dxa" w:w="14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12.10 Cross-event learning</w:t>
            </w:r>
          </w:p>
        </w:tc>
        <w:tc>
          <w:tcPr>
            <w:tcW w:type="dxa" w:w="14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Shared knowledge domain</w:t>
            </w:r>
          </w:p>
        </w:tc>
        <w:tc>
          <w:tcPr>
            <w:tcW w:type="dxa" w:w="20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Verified outcomes and authorised reusable facts</w:t>
            </w:r>
          </w:p>
        </w:tc>
        <w:tc>
          <w:tcPr>
            <w:tcW w:type="dxa" w:w="205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Change proposals, cases and aggregate trends</w:t>
            </w:r>
          </w:p>
        </w:tc>
        <w:tc>
          <w:tcPr>
            <w:tcW w:type="dxa" w:w="23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No automatic doctrine change; privacy threshold</w:t>
            </w:r>
          </w:p>
        </w:tc>
      </w:tr>
    </w:tbl>
    <w:p>
      <w:pPr>
        <w:widowControl/>
        <w:spacing w:after="0"/>
      </w:pPr>
    </w:p>
    <w:p>
      <w:pPr>
        <w:pStyle w:val="Heading2"/>
        <w:keepNext/>
        <w:widowControl/>
      </w:pPr>
      <w:r>
        <w:t>12.11 Credential lifecycle</w:t>
      </w:r>
    </w:p>
    <w:p>
      <w:pPr>
        <w:pStyle w:val="BlueprintNumber"/>
        <w:spacing w:after="80"/>
        <w:widowControl/>
        <w:numPr>
          <w:ilvl w:val="0"/>
          <w:numId w:val="25"/>
        </w:numPr>
      </w:pPr>
      <w:r>
        <w:rPr>
          <w:rFonts w:ascii="Aptos" w:hAnsi="Aptos"/>
          <w:b w:val="0"/>
          <w:i w:val="0"/>
          <w:color w:val="1F2937"/>
          <w:sz w:val="21"/>
        </w:rPr>
        <w:t>Define access policy and card template.</w:t>
      </w:r>
    </w:p>
    <w:p>
      <w:pPr>
        <w:pStyle w:val="BlueprintNumber"/>
        <w:spacing w:after="80"/>
        <w:widowControl/>
        <w:numPr>
          <w:ilvl w:val="0"/>
          <w:numId w:val="25"/>
        </w:numPr>
      </w:pPr>
      <w:r>
        <w:rPr>
          <w:rFonts w:ascii="Aptos" w:hAnsi="Aptos"/>
          <w:b w:val="0"/>
          <w:i w:val="0"/>
          <w:color w:val="1F2937"/>
          <w:sz w:val="21"/>
        </w:rPr>
        <w:t>Create high-entropy opaque credential linked server-side to event and EventGuest.</w:t>
      </w:r>
    </w:p>
    <w:p>
      <w:pPr>
        <w:pStyle w:val="BlueprintNumber"/>
        <w:spacing w:after="80"/>
        <w:widowControl/>
        <w:numPr>
          <w:ilvl w:val="0"/>
          <w:numId w:val="25"/>
        </w:numPr>
      </w:pPr>
      <w:r>
        <w:rPr>
          <w:rFonts w:ascii="Aptos" w:hAnsi="Aptos"/>
          <w:b w:val="0"/>
          <w:i w:val="0"/>
          <w:color w:val="1F2937"/>
          <w:sz w:val="21"/>
        </w:rPr>
        <w:t>Sign the token or resolve it through a protected lookup; never encode PII.</w:t>
      </w:r>
    </w:p>
    <w:p>
      <w:pPr>
        <w:pStyle w:val="BlueprintNumber"/>
        <w:spacing w:after="80"/>
        <w:widowControl/>
        <w:numPr>
          <w:ilvl w:val="0"/>
          <w:numId w:val="25"/>
        </w:numPr>
      </w:pPr>
      <w:r>
        <w:rPr>
          <w:rFonts w:ascii="Aptos" w:hAnsi="Aptos"/>
          <w:b w:val="0"/>
          <w:i w:val="0"/>
          <w:color w:val="1F2937"/>
          <w:sz w:val="21"/>
        </w:rPr>
        <w:t>Generate card and record template/version.</w:t>
      </w:r>
    </w:p>
    <w:p>
      <w:pPr>
        <w:pStyle w:val="BlueprintNumber"/>
        <w:spacing w:after="80"/>
        <w:widowControl/>
        <w:numPr>
          <w:ilvl w:val="0"/>
          <w:numId w:val="25"/>
        </w:numPr>
      </w:pPr>
      <w:r>
        <w:rPr>
          <w:rFonts w:ascii="Aptos" w:hAnsi="Aptos"/>
          <w:b w:val="0"/>
          <w:i w:val="0"/>
          <w:color w:val="1F2937"/>
          <w:sz w:val="21"/>
        </w:rPr>
        <w:t>Deliver through authorised channel and record delivery separately.</w:t>
      </w:r>
    </w:p>
    <w:p>
      <w:pPr>
        <w:pStyle w:val="BlueprintNumber"/>
        <w:spacing w:after="80"/>
        <w:widowControl/>
        <w:numPr>
          <w:ilvl w:val="0"/>
          <w:numId w:val="25"/>
        </w:numPr>
      </w:pPr>
      <w:r>
        <w:rPr>
          <w:rFonts w:ascii="Aptos" w:hAnsi="Aptos"/>
          <w:b w:val="0"/>
          <w:i w:val="0"/>
          <w:color w:val="1F2937"/>
          <w:sz w:val="21"/>
        </w:rPr>
        <w:t>At scan, verify event, state, expiry, revocation, replay and entitlement.</w:t>
      </w:r>
    </w:p>
    <w:p>
      <w:pPr>
        <w:pStyle w:val="BlueprintNumber"/>
        <w:spacing w:after="80"/>
        <w:widowControl/>
        <w:numPr>
          <w:ilvl w:val="0"/>
          <w:numId w:val="25"/>
        </w:numPr>
      </w:pPr>
      <w:r>
        <w:rPr>
          <w:rFonts w:ascii="Aptos" w:hAnsi="Aptos"/>
          <w:b w:val="0"/>
          <w:i w:val="0"/>
          <w:color w:val="1F2937"/>
          <w:sz w:val="21"/>
        </w:rPr>
        <w:t>Record use as an append-only event and route conflicts.</w:t>
      </w:r>
    </w:p>
    <w:p>
      <w:pPr>
        <w:pStyle w:val="BlueprintNumber"/>
        <w:spacing w:after="80"/>
        <w:widowControl/>
        <w:numPr>
          <w:ilvl w:val="0"/>
          <w:numId w:val="25"/>
        </w:numPr>
      </w:pPr>
      <w:r>
        <w:rPr>
          <w:rFonts w:ascii="Aptos" w:hAnsi="Aptos"/>
          <w:b w:val="0"/>
          <w:i w:val="0"/>
          <w:color w:val="1F2937"/>
          <w:sz w:val="21"/>
        </w:rPr>
        <w:t>Revoke or regenerate with supersession; old token becomes unusable.</w:t>
      </w:r>
    </w:p>
    <w:p>
      <w:pPr>
        <w:pStyle w:val="BlueprintNumber"/>
        <w:spacing w:after="80"/>
        <w:widowControl/>
        <w:numPr>
          <w:ilvl w:val="0"/>
          <w:numId w:val="25"/>
        </w:numPr>
      </w:pPr>
      <w:r>
        <w:rPr>
          <w:rFonts w:ascii="Aptos" w:hAnsi="Aptos"/>
          <w:b w:val="0"/>
          <w:i w:val="0"/>
          <w:color w:val="1F2937"/>
          <w:sz w:val="21"/>
        </w:rPr>
        <w:t>Delete or anonymise according to retention without erasing audit evidence.</w:t>
      </w:r>
    </w:p>
    <w:p>
      <w:pPr>
        <w:pStyle w:val="Heading2"/>
        <w:keepNext/>
        <w:widowControl/>
      </w:pPr>
      <w:r>
        <w:t>12.12 FaceGate release conditions</w:t>
      </w:r>
    </w:p>
    <w:p>
      <w:pPr>
        <w:pStyle w:val="BlueprintBullet"/>
        <w:widowControl/>
        <w:numPr>
          <w:ilvl w:val="0"/>
          <w:numId w:val="26"/>
        </w:numPr>
      </w:pPr>
      <w:r>
        <w:rPr>
          <w:rFonts w:ascii="Aptos" w:hAnsi="Aptos"/>
          <w:b w:val="0"/>
          <w:i w:val="0"/>
          <w:color w:val="1F2937"/>
          <w:sz w:val="21"/>
        </w:rPr>
        <w:t>Specialist legal/privacy review completed.</w:t>
      </w:r>
    </w:p>
    <w:p>
      <w:pPr>
        <w:pStyle w:val="BlueprintBullet"/>
        <w:widowControl/>
        <w:numPr>
          <w:ilvl w:val="0"/>
          <w:numId w:val="26"/>
        </w:numPr>
      </w:pPr>
      <w:r>
        <w:rPr>
          <w:rFonts w:ascii="Aptos" w:hAnsi="Aptos"/>
          <w:b w:val="0"/>
          <w:i w:val="0"/>
          <w:color w:val="1F2937"/>
          <w:sz w:val="21"/>
        </w:rPr>
        <w:t>Consent language, evidence, withdrawal and accessibility alternatives approved.</w:t>
      </w:r>
    </w:p>
    <w:p>
      <w:pPr>
        <w:pStyle w:val="BlueprintBullet"/>
        <w:widowControl/>
        <w:numPr>
          <w:ilvl w:val="0"/>
          <w:numId w:val="26"/>
        </w:numPr>
      </w:pPr>
      <w:r>
        <w:rPr>
          <w:rFonts w:ascii="Aptos" w:hAnsi="Aptos"/>
          <w:b w:val="0"/>
          <w:i w:val="0"/>
          <w:color w:val="1F2937"/>
          <w:sz w:val="21"/>
        </w:rPr>
        <w:t>Stable EventGuest mapping contract proven.</w:t>
      </w:r>
    </w:p>
    <w:p>
      <w:pPr>
        <w:pStyle w:val="BlueprintBullet"/>
        <w:widowControl/>
        <w:numPr>
          <w:ilvl w:val="0"/>
          <w:numId w:val="26"/>
        </w:numPr>
      </w:pPr>
      <w:r>
        <w:rPr>
          <w:rFonts w:ascii="Aptos" w:hAnsi="Aptos"/>
          <w:b w:val="0"/>
          <w:i w:val="0"/>
          <w:color w:val="1F2937"/>
          <w:sz w:val="21"/>
        </w:rPr>
        <w:t>Provider storage, encryption and access reviewed.</w:t>
      </w:r>
    </w:p>
    <w:p>
      <w:pPr>
        <w:pStyle w:val="BlueprintBullet"/>
        <w:widowControl/>
        <w:numPr>
          <w:ilvl w:val="0"/>
          <w:numId w:val="26"/>
        </w:numPr>
      </w:pPr>
      <w:r>
        <w:rPr>
          <w:rFonts w:ascii="Aptos" w:hAnsi="Aptos"/>
          <w:b w:val="0"/>
          <w:i w:val="0"/>
          <w:color w:val="1F2937"/>
          <w:sz w:val="21"/>
        </w:rPr>
        <w:t>Threshold and human-verification workflow evaluated.</w:t>
      </w:r>
    </w:p>
    <w:p>
      <w:pPr>
        <w:pStyle w:val="BlueprintBullet"/>
        <w:widowControl/>
        <w:numPr>
          <w:ilvl w:val="0"/>
          <w:numId w:val="26"/>
        </w:numPr>
      </w:pPr>
      <w:r>
        <w:rPr>
          <w:rFonts w:ascii="Aptos" w:hAnsi="Aptos"/>
          <w:b w:val="0"/>
          <w:i w:val="0"/>
          <w:color w:val="1F2937"/>
          <w:sz w:val="21"/>
        </w:rPr>
        <w:t>False match, failed match and bias scenarios tested.</w:t>
      </w:r>
    </w:p>
    <w:p>
      <w:pPr>
        <w:pStyle w:val="BlueprintBullet"/>
        <w:widowControl/>
        <w:numPr>
          <w:ilvl w:val="0"/>
          <w:numId w:val="26"/>
        </w:numPr>
      </w:pPr>
      <w:r>
        <w:rPr>
          <w:rFonts w:ascii="Aptos" w:hAnsi="Aptos"/>
          <w:b w:val="0"/>
          <w:i w:val="0"/>
          <w:color w:val="1F2937"/>
          <w:sz w:val="21"/>
        </w:rPr>
        <w:t>Retention deadline set automatically and deletion verified at provider.</w:t>
      </w:r>
    </w:p>
    <w:p>
      <w:pPr>
        <w:pStyle w:val="BlueprintBullet"/>
        <w:widowControl/>
        <w:numPr>
          <w:ilvl w:val="0"/>
          <w:numId w:val="26"/>
        </w:numPr>
      </w:pPr>
      <w:r>
        <w:rPr>
          <w:rFonts w:ascii="Aptos" w:hAnsi="Aptos"/>
          <w:b w:val="0"/>
          <w:i w:val="0"/>
          <w:color w:val="1F2937"/>
          <w:sz w:val="21"/>
        </w:rPr>
        <w:t>EDR assertion idempotency and reconciliation proven.</w:t>
      </w:r>
    </w:p>
    <w:p>
      <w:pPr>
        <w:pStyle w:val="BlueprintBullet"/>
        <w:widowControl/>
        <w:numPr>
          <w:ilvl w:val="0"/>
          <w:numId w:val="26"/>
        </w:numPr>
      </w:pPr>
      <w:r>
        <w:rPr>
          <w:rFonts w:ascii="Aptos" w:hAnsi="Aptos"/>
          <w:b w:val="0"/>
          <w:i w:val="0"/>
          <w:color w:val="1F2937"/>
          <w:sz w:val="21"/>
        </w:rPr>
        <w:t>Supervised shadow mode completed before any access decision use.</w:t>
      </w:r>
    </w:p>
    <w:p>
      <w:pPr>
        <w:pStyle w:val="Heading1"/>
        <w:keepNext/>
        <w:widowControl/>
      </w:pPr>
      <w:r>
        <w:t>13. Integration contracts</w:t>
      </w:r>
    </w:p>
    <w:p>
      <w:pPr>
        <w:pStyle w:val="Heading2"/>
        <w:keepNext/>
        <w:widowControl/>
      </w:pPr>
      <w:r>
        <w:t>13.1 Standard API envelope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8"/>
              </w:rPr>
              <w:t>Area</w:t>
            </w:r>
          </w:p>
        </w:tc>
        <w:tc>
          <w:tcPr>
            <w:tcW w:type="dxa" w:w="7560"/>
            <w:shd w:fill="111827"/>
            <w:vAlign w:val="top"/>
            <w:tcMar>
              <w:top w:w="90" w:type="dxa"/>
              <w:start w:w="120" w:type="dxa"/>
              <w:bottom w:w="90" w:type="dxa"/>
              <w:end w:w="120" w:type="dxa"/>
            </w:tcMar>
          </w:tcPr>
          <w:p>
            <w:r>
              <w:rPr>
                <w:rFonts w:ascii="Aptos" w:hAnsi="Aptos"/>
                <w:b/>
                <w:i w:val="0"/>
                <w:color w:val="FFFFFF"/>
                <w:sz w:val="18"/>
              </w:rPr>
              <w:t>Requirement</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Identity</w:t>
            </w:r>
          </w:p>
        </w:tc>
        <w:tc>
          <w:tcPr>
            <w:tcW w:type="dxa" w:w="7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Versioned endpoint; service identity; event scope</w:t>
            </w:r>
          </w:p>
        </w:tc>
      </w:tr>
      <w:tr>
        <w:tc>
          <w:tcPr>
            <w:tcW w:type="dxa" w:w="1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Validation</w:t>
            </w:r>
          </w:p>
        </w:tc>
        <w:tc>
          <w:tcPr>
            <w:tcW w:type="dxa" w:w="75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Zod or equivalent at every boundary</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Idempotency</w:t>
            </w:r>
          </w:p>
        </w:tc>
        <w:tc>
          <w:tcPr>
            <w:tcW w:type="dxa" w:w="7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Required for commands, sends, check-ins, webhooks and retries</w:t>
            </w:r>
          </w:p>
        </w:tc>
      </w:tr>
      <w:tr>
        <w:tc>
          <w:tcPr>
            <w:tcW w:type="dxa" w:w="1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Correlation</w:t>
            </w:r>
          </w:p>
        </w:tc>
        <w:tc>
          <w:tcPr>
            <w:tcW w:type="dxa" w:w="75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Request, event and workflow correlation IDs</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Errors</w:t>
            </w:r>
          </w:p>
        </w:tc>
        <w:tc>
          <w:tcPr>
            <w:tcW w:type="dxa" w:w="7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Stable code, safe message, retryability and owner</w:t>
            </w:r>
          </w:p>
        </w:tc>
      </w:tr>
      <w:tr>
        <w:tc>
          <w:tcPr>
            <w:tcW w:type="dxa" w:w="1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Timeouts</w:t>
            </w:r>
          </w:p>
        </w:tc>
        <w:tc>
          <w:tcPr>
            <w:tcW w:type="dxa" w:w="75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Explicit per dependency; no indefinite wait</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Retries</w:t>
            </w:r>
          </w:p>
        </w:tc>
        <w:tc>
          <w:tcPr>
            <w:tcW w:type="dxa" w:w="7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Bounded exponential backoff with jitter</w:t>
            </w:r>
          </w:p>
        </w:tc>
      </w:tr>
      <w:tr>
        <w:tc>
          <w:tcPr>
            <w:tcW w:type="dxa" w:w="1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Dead letters</w:t>
            </w:r>
          </w:p>
        </w:tc>
        <w:tc>
          <w:tcPr>
            <w:tcW w:type="dxa" w:w="75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Visible queue with replay and audit</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Versioning</w:t>
            </w:r>
          </w:p>
        </w:tc>
        <w:tc>
          <w:tcPr>
            <w:tcW w:type="dxa" w:w="7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Backward-compatible contract or coordinated version cutover</w:t>
            </w:r>
          </w:p>
        </w:tc>
      </w:tr>
      <w:tr>
        <w:tc>
          <w:tcPr>
            <w:tcW w:type="dxa" w:w="1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Audit</w:t>
            </w:r>
          </w:p>
        </w:tc>
        <w:tc>
          <w:tcPr>
            <w:tcW w:type="dxa" w:w="75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Actor/service, purpose, input hash, result and timestamp</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Minimisation</w:t>
            </w:r>
          </w:p>
        </w:tc>
        <w:tc>
          <w:tcPr>
            <w:tcW w:type="dxa" w:w="7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Only fields required by receiving service</w:t>
            </w:r>
          </w:p>
        </w:tc>
      </w:tr>
    </w:tbl>
    <w:p>
      <w:pPr>
        <w:widowControl/>
        <w:spacing w:after="0"/>
      </w:pPr>
    </w:p>
    <w:p>
      <w:pPr>
        <w:pStyle w:val="Heading2"/>
        <w:keepNext/>
        <w:widowControl/>
      </w:pPr>
      <w:r>
        <w:t>13.2 Core integration flows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11827"/>
            <w:vAlign w:val="top"/>
            <w:tcMar>
              <w:top w:w="90" w:type="dxa"/>
              <w:start w:w="120" w:type="dxa"/>
              <w:bottom w:w="90" w:type="dxa"/>
              <w:end w:w="120" w:type="dxa"/>
            </w:tcMar>
          </w:tcPr>
          <w:p>
            <w:r>
              <w:rPr>
                <w:rFonts w:ascii="Aptos" w:hAnsi="Aptos"/>
                <w:b/>
                <w:i w:val="0"/>
                <w:color w:val="FFFFFF"/>
                <w:sz w:val="18"/>
              </w:rPr>
              <w:t>Flow</w:t>
            </w:r>
          </w:p>
        </w:tc>
        <w:tc>
          <w:tcPr>
            <w:tcW w:type="dxa" w:w="7160"/>
            <w:shd w:fill="111827"/>
            <w:vAlign w:val="top"/>
            <w:tcMar>
              <w:top w:w="90" w:type="dxa"/>
              <w:start w:w="120" w:type="dxa"/>
              <w:bottom w:w="90" w:type="dxa"/>
              <w:end w:w="120" w:type="dxa"/>
            </w:tcMar>
          </w:tcPr>
          <w:p>
            <w:r>
              <w:rPr>
                <w:rFonts w:ascii="Aptos" w:hAnsi="Aptos"/>
                <w:b/>
                <w:i w:val="0"/>
                <w:color w:val="FFFFFF"/>
                <w:sz w:val="18"/>
              </w:rPr>
              <w:t>Contract</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Vela → Core</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Promote reviewed candidate; core independently validates event, identity and permissions</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Core → Solver</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Pseudonymous guests, households, hard/soft constraints, capacities and deterministic parameters</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Core → Workers</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Immutable message job with audience snapshot, template version and idempotency key</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Provider → Communications</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Authenticated webhook mapped to message attempt; duplicates safe</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Core → EDR</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Publish signed, versioned snapshot after readiness gate</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Device → EDR</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Offline-capable append with client event ID and device session</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FaceGate → EDR</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Event-scoped assertion using stable EventGuest mapping; never direct Helm write</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EDR → Core</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Closed reconciliation package with checksums, conflicts and provenance</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Domains → Audit projection</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Append audit event; domain ledger remains authoritative</w:t>
            </w:r>
          </w:p>
        </w:tc>
      </w:tr>
    </w:tbl>
    <w:p>
      <w:pPr>
        <w:widowControl/>
        <w:spacing w:after="0"/>
      </w:pPr>
    </w:p>
    <w:p>
      <w:pPr>
        <w:pStyle w:val="Heading2"/>
        <w:keepNext/>
        <w:widowControl/>
      </w:pPr>
      <w:r>
        <w:t>13.3 Snapshot contract</w:t>
      </w:r>
    </w:p>
    <w:p>
      <w:pPr>
        <w:pStyle w:val="BlueprintBullet"/>
        <w:widowControl/>
        <w:numPr>
          <w:ilvl w:val="0"/>
          <w:numId w:val="27"/>
        </w:numPr>
      </w:pPr>
      <w:r>
        <w:rPr>
          <w:rFonts w:ascii="Aptos" w:hAnsi="Aptos"/>
          <w:b w:val="0"/>
          <w:i w:val="0"/>
          <w:color w:val="1F2937"/>
          <w:sz w:val="21"/>
        </w:rPr>
        <w:t>Snapshot ID, event ID, version, generation time, publisher and source checksums.</w:t>
      </w:r>
    </w:p>
    <w:p>
      <w:pPr>
        <w:pStyle w:val="BlueprintBullet"/>
        <w:widowControl/>
        <w:numPr>
          <w:ilvl w:val="0"/>
          <w:numId w:val="27"/>
        </w:numPr>
      </w:pPr>
      <w:r>
        <w:rPr>
          <w:rFonts w:ascii="Aptos" w:hAnsi="Aptos"/>
          <w:b w:val="0"/>
          <w:i w:val="0"/>
          <w:color w:val="1F2937"/>
          <w:sz w:val="21"/>
        </w:rPr>
        <w:t>Only fields required for live operation.</w:t>
      </w:r>
    </w:p>
    <w:p>
      <w:pPr>
        <w:pStyle w:val="BlueprintBullet"/>
        <w:widowControl/>
        <w:numPr>
          <w:ilvl w:val="0"/>
          <w:numId w:val="27"/>
        </w:numPr>
      </w:pPr>
      <w:r>
        <w:rPr>
          <w:rFonts w:ascii="Aptos" w:hAnsi="Aptos"/>
          <w:b w:val="0"/>
          <w:i w:val="0"/>
          <w:color w:val="1F2937"/>
          <w:sz w:val="21"/>
        </w:rPr>
        <w:t>Per-record stable EventGuest identifiers.</w:t>
      </w:r>
    </w:p>
    <w:p>
      <w:pPr>
        <w:pStyle w:val="BlueprintBullet"/>
        <w:widowControl/>
        <w:numPr>
          <w:ilvl w:val="0"/>
          <w:numId w:val="27"/>
        </w:numPr>
      </w:pPr>
      <w:r>
        <w:rPr>
          <w:rFonts w:ascii="Aptos" w:hAnsi="Aptos"/>
          <w:b w:val="0"/>
          <w:i w:val="0"/>
          <w:color w:val="1F2937"/>
          <w:sz w:val="21"/>
        </w:rPr>
        <w:t>Seating, access, accessibility assistance, protocol/VIP operational flags and credential references with strict minimisation.</w:t>
      </w:r>
    </w:p>
    <w:p>
      <w:pPr>
        <w:pStyle w:val="BlueprintBullet"/>
        <w:widowControl/>
        <w:numPr>
          <w:ilvl w:val="0"/>
          <w:numId w:val="27"/>
        </w:numPr>
      </w:pPr>
      <w:r>
        <w:rPr>
          <w:rFonts w:ascii="Aptos" w:hAnsi="Aptos"/>
          <w:b w:val="0"/>
          <w:i w:val="0"/>
          <w:color w:val="1F2937"/>
          <w:sz w:val="21"/>
        </w:rPr>
        <w:t>Quality-gate results and known exceptions.</w:t>
      </w:r>
    </w:p>
    <w:p>
      <w:pPr>
        <w:pStyle w:val="BlueprintBullet"/>
        <w:widowControl/>
        <w:numPr>
          <w:ilvl w:val="0"/>
          <w:numId w:val="27"/>
        </w:numPr>
      </w:pPr>
      <w:r>
        <w:rPr>
          <w:rFonts w:ascii="Aptos" w:hAnsi="Aptos"/>
          <w:b w:val="0"/>
          <w:i w:val="0"/>
          <w:color w:val="1F2937"/>
          <w:sz w:val="21"/>
        </w:rPr>
        <w:t>Signature and integrity verification.</w:t>
      </w:r>
    </w:p>
    <w:p>
      <w:pPr>
        <w:pStyle w:val="BlueprintBullet"/>
        <w:widowControl/>
        <w:numPr>
          <w:ilvl w:val="0"/>
          <w:numId w:val="27"/>
        </w:numPr>
      </w:pPr>
      <w:r>
        <w:rPr>
          <w:rFonts w:ascii="Aptos" w:hAnsi="Aptos"/>
          <w:b w:val="0"/>
          <w:i w:val="0"/>
          <w:color w:val="1F2937"/>
          <w:sz w:val="21"/>
        </w:rPr>
        <w:t>Correction through a superseding snapshot; live emergency changes use an explicit override ledger.</w:t>
      </w:r>
    </w:p>
    <w:p>
      <w:pPr>
        <w:pStyle w:val="Heading1"/>
        <w:keepNext/>
        <w:widowControl/>
      </w:pPr>
      <w:r>
        <w:t>14. Security, privacy and retention</w:t>
      </w:r>
    </w:p>
    <w:p>
      <w:pPr>
        <w:pStyle w:val="Heading2"/>
        <w:keepNext/>
        <w:widowControl/>
      </w:pPr>
      <w:r>
        <w:t>14.1 Security model</w:t>
      </w:r>
    </w:p>
    <w:p>
      <w:pPr>
        <w:pStyle w:val="BlueprintBullet"/>
        <w:widowControl/>
        <w:numPr>
          <w:ilvl w:val="0"/>
          <w:numId w:val="28"/>
        </w:numPr>
      </w:pPr>
      <w:r>
        <w:rPr>
          <w:rFonts w:ascii="Aptos" w:hAnsi="Aptos"/>
          <w:b w:val="0"/>
          <w:i w:val="0"/>
          <w:color w:val="1F2937"/>
          <w:sz w:val="21"/>
        </w:rPr>
        <w:t>Estate SSO for staff; signed single-purpose links for guests.</w:t>
      </w:r>
    </w:p>
    <w:p>
      <w:pPr>
        <w:pStyle w:val="BlueprintBullet"/>
        <w:widowControl/>
        <w:numPr>
          <w:ilvl w:val="0"/>
          <w:numId w:val="28"/>
        </w:numPr>
      </w:pPr>
      <w:r>
        <w:rPr>
          <w:rFonts w:ascii="Aptos" w:hAnsi="Aptos"/>
          <w:b w:val="0"/>
          <w:i w:val="0"/>
          <w:color w:val="1F2937"/>
          <w:sz w:val="21"/>
        </w:rPr>
        <w:t>Short-lived staff sessions with rotation and revocation.</w:t>
      </w:r>
    </w:p>
    <w:p>
      <w:pPr>
        <w:pStyle w:val="BlueprintBullet"/>
        <w:widowControl/>
        <w:numPr>
          <w:ilvl w:val="0"/>
          <w:numId w:val="28"/>
        </w:numPr>
      </w:pPr>
      <w:r>
        <w:rPr>
          <w:rFonts w:ascii="Aptos" w:hAnsi="Aptos"/>
          <w:b w:val="0"/>
          <w:i w:val="0"/>
          <w:color w:val="1F2937"/>
          <w:sz w:val="21"/>
        </w:rPr>
        <w:t>Service identities use scoped credentials, never workspace- or organisation-wide tokens where narrower scope exists.</w:t>
      </w:r>
    </w:p>
    <w:p>
      <w:pPr>
        <w:pStyle w:val="BlueprintBullet"/>
        <w:widowControl/>
        <w:numPr>
          <w:ilvl w:val="0"/>
          <w:numId w:val="28"/>
        </w:numPr>
      </w:pPr>
      <w:r>
        <w:rPr>
          <w:rFonts w:ascii="Aptos" w:hAnsi="Aptos"/>
          <w:b w:val="0"/>
          <w:i w:val="0"/>
          <w:color w:val="1F2937"/>
          <w:sz w:val="21"/>
        </w:rPr>
        <w:t>Policy enforcement at API, worker and data-access layers.</w:t>
      </w:r>
    </w:p>
    <w:p>
      <w:pPr>
        <w:pStyle w:val="BlueprintBullet"/>
        <w:widowControl/>
        <w:numPr>
          <w:ilvl w:val="0"/>
          <w:numId w:val="28"/>
        </w:numPr>
      </w:pPr>
      <w:r>
        <w:rPr>
          <w:rFonts w:ascii="Aptos" w:hAnsi="Aptos"/>
          <w:b w:val="0"/>
          <w:i w:val="0"/>
          <w:color w:val="1F2937"/>
          <w:sz w:val="21"/>
        </w:rPr>
        <w:t>Field-level masking and purpose checks for sensitive guest data.</w:t>
      </w:r>
    </w:p>
    <w:p>
      <w:pPr>
        <w:pStyle w:val="BlueprintBullet"/>
        <w:widowControl/>
        <w:numPr>
          <w:ilvl w:val="0"/>
          <w:numId w:val="28"/>
        </w:numPr>
      </w:pPr>
      <w:r>
        <w:rPr>
          <w:rFonts w:ascii="Aptos" w:hAnsi="Aptos"/>
          <w:b w:val="0"/>
          <w:i w:val="0"/>
          <w:color w:val="1F2937"/>
          <w:sz w:val="21"/>
        </w:rPr>
        <w:t>Encryption in transit and at rest; additional protection for high-sensitivity fields and biometrics.</w:t>
      </w:r>
    </w:p>
    <w:p>
      <w:pPr>
        <w:pStyle w:val="BlueprintBullet"/>
        <w:widowControl/>
        <w:numPr>
          <w:ilvl w:val="0"/>
          <w:numId w:val="28"/>
        </w:numPr>
      </w:pPr>
      <w:r>
        <w:rPr>
          <w:rFonts w:ascii="Aptos" w:hAnsi="Aptos"/>
          <w:b w:val="0"/>
          <w:i w:val="0"/>
          <w:color w:val="1F2937"/>
          <w:sz w:val="21"/>
        </w:rPr>
        <w:t>Secrets managed centrally with rotation evidence and consumer inventory.</w:t>
      </w:r>
    </w:p>
    <w:p>
      <w:pPr>
        <w:pStyle w:val="BlueprintBullet"/>
        <w:widowControl/>
        <w:numPr>
          <w:ilvl w:val="0"/>
          <w:numId w:val="28"/>
        </w:numPr>
      </w:pPr>
      <w:r>
        <w:rPr>
          <w:rFonts w:ascii="Aptos" w:hAnsi="Aptos"/>
          <w:b w:val="0"/>
          <w:i w:val="0"/>
          <w:color w:val="1F2937"/>
          <w:sz w:val="21"/>
        </w:rPr>
        <w:t>Threat model and security acceptance for QR, EDR, communications and FaceGate.</w:t>
      </w:r>
    </w:p>
    <w:p>
      <w:pPr>
        <w:pStyle w:val="Heading2"/>
        <w:keepNext/>
        <w:widowControl/>
      </w:pPr>
      <w:r>
        <w:t>14.2 Data classification</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val="true"/>
        </w:trPr>
        <w:tc>
          <w:tcPr>
            <w:tcW w:type="dxa" w:w="1700"/>
            <w:shd w:fill="111827"/>
            <w:vAlign w:val="top"/>
            <w:tcMar>
              <w:top w:w="90" w:type="dxa"/>
              <w:start w:w="120" w:type="dxa"/>
              <w:bottom w:w="90" w:type="dxa"/>
              <w:end w:w="120" w:type="dxa"/>
            </w:tcMar>
          </w:tcPr>
          <w:p>
            <w:r>
              <w:rPr>
                <w:rFonts w:ascii="Aptos" w:hAnsi="Aptos"/>
                <w:b/>
                <w:i w:val="0"/>
                <w:color w:val="FFFFFF"/>
                <w:sz w:val="18"/>
              </w:rPr>
              <w:t>Class</w:t>
            </w:r>
          </w:p>
        </w:tc>
        <w:tc>
          <w:tcPr>
            <w:tcW w:type="dxa" w:w="3000"/>
            <w:shd w:fill="111827"/>
            <w:vAlign w:val="top"/>
            <w:tcMar>
              <w:top w:w="90" w:type="dxa"/>
              <w:start w:w="120" w:type="dxa"/>
              <w:bottom w:w="90" w:type="dxa"/>
              <w:end w:w="120" w:type="dxa"/>
            </w:tcMar>
          </w:tcPr>
          <w:p>
            <w:r>
              <w:rPr>
                <w:rFonts w:ascii="Aptos" w:hAnsi="Aptos"/>
                <w:b/>
                <w:i w:val="0"/>
                <w:color w:val="FFFFFF"/>
                <w:sz w:val="18"/>
              </w:rPr>
              <w:t>Examples</w:t>
            </w:r>
          </w:p>
        </w:tc>
        <w:tc>
          <w:tcPr>
            <w:tcW w:type="dxa" w:w="4660"/>
            <w:shd w:fill="111827"/>
            <w:vAlign w:val="top"/>
            <w:tcMar>
              <w:top w:w="90" w:type="dxa"/>
              <w:start w:w="120" w:type="dxa"/>
              <w:bottom w:w="90" w:type="dxa"/>
              <w:end w:w="120" w:type="dxa"/>
            </w:tcMar>
          </w:tcPr>
          <w:p>
            <w:r>
              <w:rPr>
                <w:rFonts w:ascii="Aptos" w:hAnsi="Aptos"/>
                <w:b/>
                <w:i w:val="0"/>
                <w:color w:val="FFFFFF"/>
                <w:sz w:val="18"/>
              </w:rPr>
              <w:t>Minimum control</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Public</w:t>
            </w:r>
          </w:p>
        </w:tc>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Published event information</w:t>
            </w:r>
          </w:p>
        </w:tc>
        <w:tc>
          <w:tcPr>
            <w:tcW w:type="dxa" w:w="46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Integrity and publication authority</w:t>
            </w:r>
          </w:p>
        </w:tc>
      </w:tr>
      <w:tr>
        <w:tc>
          <w:tcPr>
            <w:tcW w:type="dxa" w:w="17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Internal</w:t>
            </w:r>
          </w:p>
        </w:tc>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Plans, generic standards</w:t>
            </w:r>
          </w:p>
        </w:tc>
        <w:tc>
          <w:tcPr>
            <w:tcW w:type="dxa" w:w="46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Authenticated event assignment</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Confidential</w:t>
            </w:r>
          </w:p>
        </w:tc>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 contact, vendor commercial data</w:t>
            </w:r>
          </w:p>
        </w:tc>
        <w:tc>
          <w:tcPr>
            <w:tcW w:type="dxa" w:w="46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Purpose, least privilege, audit</w:t>
            </w:r>
          </w:p>
        </w:tc>
      </w:tr>
      <w:tr>
        <w:tc>
          <w:tcPr>
            <w:tcW w:type="dxa" w:w="17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Restricted</w:t>
            </w:r>
          </w:p>
        </w:tc>
        <w:tc>
          <w:tcPr>
            <w:tcW w:type="dxa" w:w="3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VIP/security, medical/accessibility detail, incidents</w:t>
            </w:r>
          </w:p>
        </w:tc>
        <w:tc>
          <w:tcPr>
            <w:tcW w:type="dxa" w:w="46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Named role, masking, enhanced audit and retention</w:t>
            </w:r>
          </w:p>
        </w:tc>
      </w:tr>
      <w:tr>
        <w:tc>
          <w:tcPr>
            <w:tcW w:type="dxa" w:w="17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Biometric</w:t>
            </w:r>
          </w:p>
        </w:tc>
        <w:tc>
          <w:tcPr>
            <w:tcW w:type="dxa" w:w="3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Face templates and match data</w:t>
            </w:r>
          </w:p>
        </w:tc>
        <w:tc>
          <w:tcPr>
            <w:tcW w:type="dxa" w:w="46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Isolated service, explicit consent, provider deletion and specialist review</w:t>
            </w:r>
          </w:p>
        </w:tc>
      </w:tr>
    </w:tbl>
    <w:p>
      <w:pPr>
        <w:widowControl/>
        <w:spacing w:after="0"/>
      </w:pPr>
    </w:p>
    <w:p>
      <w:pPr>
        <w:pStyle w:val="Heading2"/>
        <w:keepNext/>
        <w:widowControl/>
      </w:pPr>
      <w:r>
        <w:t>14.3 Retention lifecycle</w:t>
      </w:r>
    </w:p>
    <w:p>
      <w:pPr>
        <w:pStyle w:val="BlueprintNumber"/>
        <w:spacing w:after="80"/>
        <w:widowControl/>
        <w:numPr>
          <w:ilvl w:val="0"/>
          <w:numId w:val="29"/>
        </w:numPr>
      </w:pPr>
      <w:r>
        <w:rPr>
          <w:rFonts w:ascii="Aptos" w:hAnsi="Aptos"/>
          <w:b w:val="0"/>
          <w:i w:val="0"/>
          <w:color w:val="1F2937"/>
          <w:sz w:val="21"/>
        </w:rPr>
        <w:t>Assign a retention class when the record is created.</w:t>
      </w:r>
    </w:p>
    <w:p>
      <w:pPr>
        <w:pStyle w:val="BlueprintNumber"/>
        <w:spacing w:after="80"/>
        <w:widowControl/>
        <w:numPr>
          <w:ilvl w:val="0"/>
          <w:numId w:val="29"/>
        </w:numPr>
      </w:pPr>
      <w:r>
        <w:rPr>
          <w:rFonts w:ascii="Aptos" w:hAnsi="Aptos"/>
          <w:b w:val="0"/>
          <w:i w:val="0"/>
          <w:color w:val="1F2937"/>
          <w:sz w:val="21"/>
        </w:rPr>
        <w:t>At event close, start or confirm the retention clock.</w:t>
      </w:r>
    </w:p>
    <w:p>
      <w:pPr>
        <w:pStyle w:val="BlueprintNumber"/>
        <w:spacing w:after="80"/>
        <w:widowControl/>
        <w:numPr>
          <w:ilvl w:val="0"/>
          <w:numId w:val="29"/>
        </w:numPr>
      </w:pPr>
      <w:r>
        <w:rPr>
          <w:rFonts w:ascii="Aptos" w:hAnsi="Aptos"/>
          <w:b w:val="0"/>
          <w:i w:val="0"/>
          <w:color w:val="1F2937"/>
          <w:sz w:val="21"/>
        </w:rPr>
        <w:t>Before expiry, preserve only records required for legal, contractual or approved learning purposes.</w:t>
      </w:r>
    </w:p>
    <w:p>
      <w:pPr>
        <w:pStyle w:val="BlueprintNumber"/>
        <w:spacing w:after="80"/>
        <w:widowControl/>
        <w:numPr>
          <w:ilvl w:val="0"/>
          <w:numId w:val="29"/>
        </w:numPr>
      </w:pPr>
      <w:r>
        <w:rPr>
          <w:rFonts w:ascii="Aptos" w:hAnsi="Aptos"/>
          <w:b w:val="0"/>
          <w:i w:val="0"/>
          <w:color w:val="1F2937"/>
          <w:sz w:val="21"/>
        </w:rPr>
        <w:t>Delete or anonymise ordinary guest data through a logged job.</w:t>
      </w:r>
    </w:p>
    <w:p>
      <w:pPr>
        <w:pStyle w:val="BlueprintNumber"/>
        <w:spacing w:after="80"/>
        <w:widowControl/>
        <w:numPr>
          <w:ilvl w:val="0"/>
          <w:numId w:val="29"/>
        </w:numPr>
      </w:pPr>
      <w:r>
        <w:rPr>
          <w:rFonts w:ascii="Aptos" w:hAnsi="Aptos"/>
          <w:b w:val="0"/>
          <w:i w:val="0"/>
          <w:color w:val="1F2937"/>
          <w:sz w:val="21"/>
        </w:rPr>
        <w:t>Delete biometric references and provider collection through a separate verified job.</w:t>
      </w:r>
    </w:p>
    <w:p>
      <w:pPr>
        <w:pStyle w:val="BlueprintNumber"/>
        <w:spacing w:after="80"/>
        <w:widowControl/>
        <w:numPr>
          <w:ilvl w:val="0"/>
          <w:numId w:val="29"/>
        </w:numPr>
      </w:pPr>
      <w:r>
        <w:rPr>
          <w:rFonts w:ascii="Aptos" w:hAnsi="Aptos"/>
          <w:b w:val="0"/>
          <w:i w:val="0"/>
          <w:color w:val="1F2937"/>
          <w:sz w:val="21"/>
        </w:rPr>
        <w:t>Retain minimal audit evidence without retaining the deleted sensitive payload.</w:t>
      </w:r>
    </w:p>
    <w:p>
      <w:pPr>
        <w:pStyle w:val="BlueprintNumber"/>
        <w:spacing w:after="80"/>
        <w:widowControl/>
        <w:numPr>
          <w:ilvl w:val="0"/>
          <w:numId w:val="29"/>
        </w:numPr>
      </w:pPr>
      <w:r>
        <w:rPr>
          <w:rFonts w:ascii="Aptos" w:hAnsi="Aptos"/>
          <w:b w:val="0"/>
          <w:i w:val="0"/>
          <w:color w:val="1F2937"/>
          <w:sz w:val="21"/>
        </w:rPr>
        <w:t>Support access, correction, restriction and deletion requests through a controlled case.</w:t>
      </w:r>
    </w:p>
    <w:p>
      <w:pPr>
        <w:pStyle w:val="Heading2"/>
        <w:keepNext/>
        <w:widowControl/>
      </w:pPr>
      <w:r>
        <w:t>14.4 Privacy defaults</w:t>
      </w:r>
    </w:p>
    <w:p>
      <w:pPr>
        <w:pStyle w:val="BlueprintBullet"/>
        <w:widowControl/>
        <w:numPr>
          <w:ilvl w:val="0"/>
          <w:numId w:val="30"/>
        </w:numPr>
      </w:pPr>
      <w:r>
        <w:rPr>
          <w:rFonts w:ascii="Aptos" w:hAnsi="Aptos"/>
          <w:b w:val="0"/>
          <w:i w:val="0"/>
          <w:color w:val="1F2937"/>
          <w:sz w:val="21"/>
        </w:rPr>
        <w:t>No automatic cross-client identity linking.</w:t>
      </w:r>
    </w:p>
    <w:p>
      <w:pPr>
        <w:pStyle w:val="BlueprintBullet"/>
        <w:widowControl/>
        <w:numPr>
          <w:ilvl w:val="0"/>
          <w:numId w:val="30"/>
        </w:numPr>
      </w:pPr>
      <w:r>
        <w:rPr>
          <w:rFonts w:ascii="Aptos" w:hAnsi="Aptos"/>
          <w:b w:val="0"/>
          <w:i w:val="0"/>
          <w:color w:val="1F2937"/>
          <w:sz w:val="21"/>
        </w:rPr>
        <w:t>No guest PII inside QR codes, logs, analytics events or solver payloads.</w:t>
      </w:r>
    </w:p>
    <w:p>
      <w:pPr>
        <w:pStyle w:val="BlueprintBullet"/>
        <w:widowControl/>
        <w:numPr>
          <w:ilvl w:val="0"/>
          <w:numId w:val="30"/>
        </w:numPr>
      </w:pPr>
      <w:r>
        <w:rPr>
          <w:rFonts w:ascii="Aptos" w:hAnsi="Aptos"/>
          <w:b w:val="0"/>
          <w:i w:val="0"/>
          <w:color w:val="1F2937"/>
          <w:sz w:val="21"/>
        </w:rPr>
        <w:t>No broad guest exports without purpose, expiry and audit.</w:t>
      </w:r>
    </w:p>
    <w:p>
      <w:pPr>
        <w:pStyle w:val="BlueprintBullet"/>
        <w:widowControl/>
        <w:numPr>
          <w:ilvl w:val="0"/>
          <w:numId w:val="30"/>
        </w:numPr>
      </w:pPr>
      <w:r>
        <w:rPr>
          <w:rFonts w:ascii="Aptos" w:hAnsi="Aptos"/>
          <w:b w:val="0"/>
          <w:i w:val="0"/>
          <w:color w:val="1F2937"/>
          <w:sz w:val="21"/>
        </w:rPr>
        <w:t>No production biometrics by default.</w:t>
      </w:r>
    </w:p>
    <w:p>
      <w:pPr>
        <w:pStyle w:val="BlueprintBullet"/>
        <w:widowControl/>
        <w:numPr>
          <w:ilvl w:val="0"/>
          <w:numId w:val="30"/>
        </w:numPr>
      </w:pPr>
      <w:r>
        <w:rPr>
          <w:rFonts w:ascii="Aptos" w:hAnsi="Aptos"/>
          <w:b w:val="0"/>
          <w:i w:val="0"/>
          <w:color w:val="1F2937"/>
          <w:sz w:val="21"/>
        </w:rPr>
        <w:t>No staff access merely because a record is in the same event.</w:t>
      </w:r>
    </w:p>
    <w:p>
      <w:pPr>
        <w:pStyle w:val="BlueprintBullet"/>
        <w:widowControl/>
        <w:numPr>
          <w:ilvl w:val="0"/>
          <w:numId w:val="30"/>
        </w:numPr>
      </w:pPr>
      <w:r>
        <w:rPr>
          <w:rFonts w:ascii="Aptos" w:hAnsi="Aptos"/>
          <w:b w:val="0"/>
          <w:i w:val="0"/>
          <w:color w:val="1F2937"/>
          <w:sz w:val="21"/>
        </w:rPr>
        <w:t>No indefinite retention after an event.</w:t>
      </w:r>
    </w:p>
    <w:p>
      <w:pPr>
        <w:pStyle w:val="Heading1"/>
        <w:keepNext/>
        <w:widowControl/>
      </w:pPr>
      <w:r>
        <w:t>15. Technical stack and repository structure</w:t>
      </w:r>
    </w:p>
    <w:p>
      <w:pPr>
        <w:pStyle w:val="Heading2"/>
        <w:keepNext/>
        <w:widowControl/>
      </w:pPr>
      <w:r>
        <w:t>15.1 Adopted stack</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111827"/>
            <w:vAlign w:val="top"/>
            <w:tcMar>
              <w:top w:w="90" w:type="dxa"/>
              <w:start w:w="120" w:type="dxa"/>
              <w:bottom w:w="90" w:type="dxa"/>
              <w:end w:w="120" w:type="dxa"/>
            </w:tcMar>
          </w:tcPr>
          <w:p>
            <w:r>
              <w:rPr>
                <w:rFonts w:ascii="Aptos" w:hAnsi="Aptos"/>
                <w:b/>
                <w:i w:val="0"/>
                <w:color w:val="FFFFFF"/>
                <w:sz w:val="18"/>
              </w:rPr>
              <w:t>Layer</w:t>
            </w:r>
          </w:p>
        </w:tc>
        <w:tc>
          <w:tcPr>
            <w:tcW w:type="dxa" w:w="7360"/>
            <w:shd w:fill="111827"/>
            <w:vAlign w:val="top"/>
            <w:tcMar>
              <w:top w:w="90" w:type="dxa"/>
              <w:start w:w="120" w:type="dxa"/>
              <w:bottom w:w="90" w:type="dxa"/>
              <w:end w:w="120" w:type="dxa"/>
            </w:tcMar>
          </w:tcPr>
          <w:p>
            <w:r>
              <w:rPr>
                <w:rFonts w:ascii="Aptos" w:hAnsi="Aptos"/>
                <w:b/>
                <w:i w:val="0"/>
                <w:color w:val="FFFFFF"/>
                <w:sz w:val="18"/>
              </w:rPr>
              <w:t>Position</w:t>
            </w:r>
          </w:p>
        </w:tc>
      </w:tr>
      <w:tr>
        <w:tc>
          <w:tcPr>
            <w:tcW w:type="dxa" w:w="2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Web</w:t>
            </w:r>
          </w:p>
        </w:tc>
        <w:tc>
          <w:tcPr>
            <w:tcW w:type="dxa" w:w="73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Next.js 15 App Router, React 19, TypeScript</w:t>
            </w:r>
          </w:p>
        </w:tc>
      </w:tr>
      <w:tr>
        <w:tc>
          <w:tcPr>
            <w:tcW w:type="dxa" w:w="2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Styling</w:t>
            </w:r>
          </w:p>
        </w:tc>
        <w:tc>
          <w:tcPr>
            <w:tcW w:type="dxa" w:w="73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Tailwind CSS 4 with shared Maison Doclar tokens and accessible primitives</w:t>
            </w:r>
          </w:p>
        </w:tc>
      </w:tr>
      <w:tr>
        <w:tc>
          <w:tcPr>
            <w:tcW w:type="dxa" w:w="2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Client state</w:t>
            </w:r>
          </w:p>
        </w:tc>
        <w:tc>
          <w:tcPr>
            <w:tcW w:type="dxa" w:w="73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Zustand only for local interaction state; server state remains server-owned</w:t>
            </w:r>
          </w:p>
        </w:tc>
      </w:tr>
      <w:tr>
        <w:tc>
          <w:tcPr>
            <w:tcW w:type="dxa" w:w="2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Validation</w:t>
            </w:r>
          </w:p>
        </w:tc>
        <w:tc>
          <w:tcPr>
            <w:tcW w:type="dxa" w:w="73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Zod at all API and job boundaries</w:t>
            </w:r>
          </w:p>
        </w:tc>
      </w:tr>
      <w:tr>
        <w:tc>
          <w:tcPr>
            <w:tcW w:type="dxa" w:w="2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Database</w:t>
            </w:r>
          </w:p>
        </w:tc>
        <w:tc>
          <w:tcPr>
            <w:tcW w:type="dxa" w:w="73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Neon PostgreSQL with Prisma; bounded schemas and disciplined migrations</w:t>
            </w:r>
          </w:p>
        </w:tc>
      </w:tr>
      <w:tr>
        <w:tc>
          <w:tcPr>
            <w:tcW w:type="dxa" w:w="2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Hosting</w:t>
            </w:r>
          </w:p>
        </w:tc>
        <w:tc>
          <w:tcPr>
            <w:tcW w:type="dxa" w:w="73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Railway Dockerfile deployments</w:t>
            </w:r>
          </w:p>
        </w:tc>
      </w:tr>
      <w:tr>
        <w:tc>
          <w:tcPr>
            <w:tcW w:type="dxa" w:w="2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Storage</w:t>
            </w:r>
          </w:p>
        </w:tc>
        <w:tc>
          <w:tcPr>
            <w:tcW w:type="dxa" w:w="73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One selected object-storage provider for new assets; legacy dual-provider use requires explicit transition</w:t>
            </w:r>
          </w:p>
        </w:tc>
      </w:tr>
      <w:tr>
        <w:tc>
          <w:tcPr>
            <w:tcW w:type="dxa" w:w="2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Email/SMS/WhatsApp</w:t>
            </w:r>
          </w:p>
        </w:tc>
        <w:tc>
          <w:tcPr>
            <w:tcW w:type="dxa" w:w="73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Resend and Twilio through communications adapters</w:t>
            </w:r>
          </w:p>
        </w:tc>
      </w:tr>
      <w:tr>
        <w:tc>
          <w:tcPr>
            <w:tcW w:type="dxa" w:w="2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Seating</w:t>
            </w:r>
          </w:p>
        </w:tc>
        <w:tc>
          <w:tcPr>
            <w:tcW w:type="dxa" w:w="73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Python/FastAPI/OR-Tools CP-SAT standalone service</w:t>
            </w:r>
          </w:p>
        </w:tc>
      </w:tr>
      <w:tr>
        <w:tc>
          <w:tcPr>
            <w:tcW w:type="dxa" w:w="2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Testing</w:t>
            </w:r>
          </w:p>
        </w:tc>
        <w:tc>
          <w:tcPr>
            <w:tcW w:type="dxa" w:w="73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Vitest, Playwright, contract tests, load/offline harness and STD-WC scorecard</w:t>
            </w:r>
          </w:p>
        </w:tc>
      </w:tr>
      <w:tr>
        <w:tc>
          <w:tcPr>
            <w:tcW w:type="dxa" w:w="2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Observability</w:t>
            </w:r>
          </w:p>
        </w:tc>
        <w:tc>
          <w:tcPr>
            <w:tcW w:type="dxa" w:w="73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Structured logs, traces, metrics, job dashboards and audit projection</w:t>
            </w:r>
          </w:p>
        </w:tc>
      </w:tr>
    </w:tbl>
    <w:p>
      <w:pPr>
        <w:widowControl/>
        <w:spacing w:after="0"/>
      </w:pPr>
    </w:p>
    <w:p>
      <w:pPr>
        <w:pStyle w:val="Heading2"/>
        <w:keepNext/>
        <w:widowControl/>
      </w:pPr>
      <w:r>
        <w:t>15.2 Proposed repository shape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111827"/>
            <w:vAlign w:val="top"/>
            <w:tcMar>
              <w:top w:w="90" w:type="dxa"/>
              <w:start w:w="120" w:type="dxa"/>
              <w:bottom w:w="90" w:type="dxa"/>
              <w:end w:w="120" w:type="dxa"/>
            </w:tcMar>
          </w:tcPr>
          <w:p>
            <w:r>
              <w:rPr>
                <w:rFonts w:ascii="Aptos" w:hAnsi="Aptos"/>
                <w:b/>
                <w:i w:val="0"/>
                <w:color w:val="FFFFFF"/>
                <w:sz w:val="18"/>
              </w:rPr>
              <w:t>Path</w:t>
            </w:r>
          </w:p>
        </w:tc>
        <w:tc>
          <w:tcPr>
            <w:tcW w:type="dxa" w:w="6760"/>
            <w:shd w:fill="111827"/>
            <w:vAlign w:val="top"/>
            <w:tcMar>
              <w:top w:w="90" w:type="dxa"/>
              <w:start w:w="120" w:type="dxa"/>
              <w:bottom w:w="90" w:type="dxa"/>
              <w:end w:w="120" w:type="dxa"/>
            </w:tcMar>
          </w:tcPr>
          <w:p>
            <w:r>
              <w:rPr>
                <w:rFonts w:ascii="Aptos" w:hAnsi="Aptos"/>
                <w:b/>
                <w:i w:val="0"/>
                <w:color w:val="FFFFFF"/>
                <w:sz w:val="18"/>
              </w:rPr>
              <w:t>Responsibility</w:t>
            </w:r>
          </w:p>
        </w:tc>
      </w:tr>
      <w:tr>
        <w:tc>
          <w:tcPr>
            <w:tcW w:type="dxa" w:w="2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apps/web</w:t>
            </w:r>
          </w:p>
        </w:tc>
        <w:tc>
          <w:tcPr>
            <w:tcW w:type="dxa" w:w="6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Staff and guest web experiences; server actions/API façade</w:t>
            </w:r>
          </w:p>
        </w:tc>
      </w:tr>
      <w:tr>
        <w:tc>
          <w:tcPr>
            <w:tcW w:type="dxa" w:w="2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services/edr</w:t>
            </w:r>
          </w:p>
        </w:tc>
        <w:tc>
          <w:tcPr>
            <w:tcW w:type="dxa" w:w="6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Event-day runtime and device APIs</w:t>
            </w:r>
          </w:p>
        </w:tc>
      </w:tr>
      <w:tr>
        <w:tc>
          <w:tcPr>
            <w:tcW w:type="dxa" w:w="2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services/seating-solver</w:t>
            </w:r>
          </w:p>
        </w:tc>
        <w:tc>
          <w:tcPr>
            <w:tcW w:type="dxa" w:w="6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External repository or pinned service contract</w:t>
            </w:r>
          </w:p>
        </w:tc>
      </w:tr>
      <w:tr>
        <w:tc>
          <w:tcPr>
            <w:tcW w:type="dxa" w:w="2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services/facegate</w:t>
            </w:r>
          </w:p>
        </w:tc>
        <w:tc>
          <w:tcPr>
            <w:tcW w:type="dxa" w:w="6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Isolated biometric service, disabled by default</w:t>
            </w:r>
          </w:p>
        </w:tc>
      </w:tr>
      <w:tr>
        <w:tc>
          <w:tcPr>
            <w:tcW w:type="dxa" w:w="2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workers/communications</w:t>
            </w:r>
          </w:p>
        </w:tc>
        <w:tc>
          <w:tcPr>
            <w:tcW w:type="dxa" w:w="6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Outbound/inbound/retry jobs</w:t>
            </w:r>
          </w:p>
        </w:tc>
      </w:tr>
      <w:tr>
        <w:tc>
          <w:tcPr>
            <w:tcW w:type="dxa" w:w="2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packages/domain-contracts</w:t>
            </w:r>
          </w:p>
        </w:tc>
        <w:tc>
          <w:tcPr>
            <w:tcW w:type="dxa" w:w="6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Zod schemas, enums and API contracts</w:t>
            </w:r>
          </w:p>
        </w:tc>
      </w:tr>
      <w:tr>
        <w:tc>
          <w:tcPr>
            <w:tcW w:type="dxa" w:w="2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packages/policy</w:t>
            </w:r>
          </w:p>
        </w:tc>
        <w:tc>
          <w:tcPr>
            <w:tcW w:type="dxa" w:w="6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Authorisation and sensitivity policy</w:t>
            </w:r>
          </w:p>
        </w:tc>
      </w:tr>
      <w:tr>
        <w:tc>
          <w:tcPr>
            <w:tcW w:type="dxa" w:w="2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packages/design-system</w:t>
            </w:r>
          </w:p>
        </w:tc>
        <w:tc>
          <w:tcPr>
            <w:tcW w:type="dxa" w:w="6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Tokens, accessible components and responsive patterns</w:t>
            </w:r>
          </w:p>
        </w:tc>
      </w:tr>
      <w:tr>
        <w:tc>
          <w:tcPr>
            <w:tcW w:type="dxa" w:w="2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packages/knowledge</w:t>
            </w:r>
          </w:p>
        </w:tc>
        <w:tc>
          <w:tcPr>
            <w:tcW w:type="dxa" w:w="6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Knowledge/applicability contracts</w:t>
            </w:r>
          </w:p>
        </w:tc>
      </w:tr>
      <w:tr>
        <w:tc>
          <w:tcPr>
            <w:tcW w:type="dxa" w:w="2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packages/observability</w:t>
            </w:r>
          </w:p>
        </w:tc>
        <w:tc>
          <w:tcPr>
            <w:tcW w:type="dxa" w:w="6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Logging, correlation and health helpers</w:t>
            </w:r>
          </w:p>
        </w:tc>
      </w:tr>
      <w:tr>
        <w:tc>
          <w:tcPr>
            <w:tcW w:type="dxa" w:w="2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tools/reference-event</w:t>
            </w:r>
          </w:p>
        </w:tc>
        <w:tc>
          <w:tcPr>
            <w:tcW w:type="dxa" w:w="6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Synthetic event generator and validation harness</w:t>
            </w:r>
          </w:p>
        </w:tc>
      </w:tr>
      <w:tr>
        <w:tc>
          <w:tcPr>
            <w:tcW w:type="dxa" w:w="2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constitution</w:t>
            </w:r>
          </w:p>
        </w:tc>
        <w:tc>
          <w:tcPr>
            <w:tcW w:type="dxa" w:w="6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Ratified architecture, decisions, standards and change register</w:t>
            </w:r>
          </w:p>
        </w:tc>
      </w:tr>
    </w:tbl>
    <w:p>
      <w:pPr>
        <w:widowControl/>
        <w:spacing w:after="0"/>
      </w:pPr>
    </w:p>
    <w:p>
      <w:pPr>
        <w:pStyle w:val="Heading2"/>
        <w:keepNext/>
        <w:widowControl/>
      </w:pPr>
      <w:r>
        <w:t>15.3 Schema policy</w:t>
      </w:r>
    </w:p>
    <w:p>
      <w:pPr>
        <w:pStyle w:val="BlueprintBullet"/>
        <w:widowControl/>
        <w:numPr>
          <w:ilvl w:val="0"/>
          <w:numId w:val="31"/>
        </w:numPr>
      </w:pPr>
      <w:r>
        <w:rPr>
          <w:rFonts w:ascii="Aptos" w:hAnsi="Aptos"/>
          <w:b w:val="0"/>
          <w:i w:val="0"/>
          <w:color w:val="1F2937"/>
          <w:sz w:val="21"/>
        </w:rPr>
        <w:t>Use one schema per real bounded domain, not per intelligence module.</w:t>
      </w:r>
    </w:p>
    <w:p>
      <w:pPr>
        <w:pStyle w:val="BlueprintBullet"/>
        <w:widowControl/>
        <w:numPr>
          <w:ilvl w:val="0"/>
          <w:numId w:val="31"/>
        </w:numPr>
      </w:pPr>
      <w:r>
        <w:rPr>
          <w:rFonts w:ascii="Aptos" w:hAnsi="Aptos"/>
          <w:b w:val="0"/>
          <w:i w:val="0"/>
          <w:color w:val="1F2937"/>
          <w:sz w:val="21"/>
        </w:rPr>
        <w:t>Migrations are small, backward-compatible and tested against a production-like clone.</w:t>
      </w:r>
    </w:p>
    <w:p>
      <w:pPr>
        <w:pStyle w:val="BlueprintBullet"/>
        <w:widowControl/>
        <w:numPr>
          <w:ilvl w:val="0"/>
          <w:numId w:val="31"/>
        </w:numPr>
      </w:pPr>
      <w:r>
        <w:rPr>
          <w:rFonts w:ascii="Aptos" w:hAnsi="Aptos"/>
          <w:b w:val="0"/>
          <w:i w:val="0"/>
          <w:color w:val="1F2937"/>
          <w:sz w:val="21"/>
        </w:rPr>
        <w:t>Production migration is a controlled release gate with rollback/forward-fix evidence—not an incidental deploy side effect.</w:t>
      </w:r>
    </w:p>
    <w:p>
      <w:pPr>
        <w:pStyle w:val="BlueprintBullet"/>
        <w:widowControl/>
        <w:numPr>
          <w:ilvl w:val="0"/>
          <w:numId w:val="31"/>
        </w:numPr>
      </w:pPr>
      <w:r>
        <w:rPr>
          <w:rFonts w:ascii="Aptos" w:hAnsi="Aptos"/>
          <w:b w:val="0"/>
          <w:i w:val="0"/>
          <w:color w:val="1F2937"/>
          <w:sz w:val="21"/>
        </w:rPr>
        <w:t>No service gains an undocumented copy of a canonical entity.</w:t>
      </w:r>
    </w:p>
    <w:p>
      <w:pPr>
        <w:pStyle w:val="BlueprintBullet"/>
        <w:widowControl/>
        <w:numPr>
          <w:ilvl w:val="0"/>
          <w:numId w:val="31"/>
        </w:numPr>
      </w:pPr>
      <w:r>
        <w:rPr>
          <w:rFonts w:ascii="Aptos" w:hAnsi="Aptos"/>
          <w:b w:val="0"/>
          <w:i w:val="0"/>
          <w:color w:val="1F2937"/>
          <w:sz w:val="21"/>
        </w:rPr>
        <w:t>Read projections declare source, lag and rebuild method.</w:t>
      </w:r>
    </w:p>
    <w:p>
      <w:pPr>
        <w:pStyle w:val="Heading2"/>
        <w:keepNext/>
        <w:widowControl/>
      </w:pPr>
      <w:r>
        <w:t>15.4 Build economy</w:t>
      </w:r>
    </w:p>
    <w:p>
      <w:pPr>
        <w:keepLines w:val="0"/>
        <w:widowControl/>
      </w:pPr>
      <w:r>
        <w:rPr>
          <w:rFonts w:ascii="Aptos" w:hAnsi="Aptos"/>
          <w:b w:val="0"/>
          <w:i w:val="0"/>
          <w:color w:val="1F2937"/>
          <w:sz w:val="21"/>
        </w:rPr>
        <w:t>Shared workflow, evidence, decision, approval, audit, status, notification and design primitives are implemented once. Protocol, culture, VIP, ceremony, vendors and guest experience extend them only where their operating facts and decisions differ. Existing legacy models are mapped, consolidated or retired; they are not copied wholesale.</w:t>
      </w:r>
    </w:p>
    <w:p>
      <w:pPr>
        <w:widowControl/>
      </w:pPr>
      <w:r>
        <w:br w:type="page"/>
      </w:r>
    </w:p>
    <w:p>
      <w:pPr>
        <w:pStyle w:val="Heading1"/>
        <w:keepNext/>
        <w:widowControl/>
      </w:pPr>
      <w:r>
        <w:t>16. Reliability, observability and operations</w:t>
      </w:r>
    </w:p>
    <w:p>
      <w:pPr>
        <w:pStyle w:val="Heading2"/>
        <w:keepNext/>
        <w:widowControl/>
      </w:pPr>
      <w:r>
        <w:t>16.1 Service levels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111827"/>
            <w:vAlign w:val="top"/>
            <w:tcMar>
              <w:top w:w="90" w:type="dxa"/>
              <w:start w:w="120" w:type="dxa"/>
              <w:bottom w:w="90" w:type="dxa"/>
              <w:end w:w="120" w:type="dxa"/>
            </w:tcMar>
          </w:tcPr>
          <w:p>
            <w:r>
              <w:rPr>
                <w:rFonts w:ascii="Aptos" w:hAnsi="Aptos"/>
                <w:b/>
                <w:i w:val="0"/>
                <w:color w:val="FFFFFF"/>
                <w:sz w:val="18"/>
              </w:rPr>
              <w:t>Journey</w:t>
            </w:r>
          </w:p>
        </w:tc>
        <w:tc>
          <w:tcPr>
            <w:tcW w:type="dxa" w:w="6760"/>
            <w:shd w:fill="111827"/>
            <w:vAlign w:val="top"/>
            <w:tcMar>
              <w:top w:w="90" w:type="dxa"/>
              <w:start w:w="120" w:type="dxa"/>
              <w:bottom w:w="90" w:type="dxa"/>
              <w:end w:w="120" w:type="dxa"/>
            </w:tcMar>
          </w:tcPr>
          <w:p>
            <w:r>
              <w:rPr>
                <w:rFonts w:ascii="Aptos" w:hAnsi="Aptos"/>
                <w:b/>
                <w:i w:val="0"/>
                <w:color w:val="FFFFFF"/>
                <w:sz w:val="18"/>
              </w:rPr>
              <w:t>Target</w:t>
            </w:r>
          </w:p>
        </w:tc>
      </w:tr>
      <w:tr>
        <w:tc>
          <w:tcPr>
            <w:tcW w:type="dxa" w:w="2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Event-day scan result</w:t>
            </w:r>
          </w:p>
        </w:tc>
        <w:tc>
          <w:tcPr>
            <w:tcW w:type="dxa" w:w="6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P95 under 1 second online; immediate local response offline</w:t>
            </w:r>
          </w:p>
        </w:tc>
      </w:tr>
      <w:tr>
        <w:tc>
          <w:tcPr>
            <w:tcW w:type="dxa" w:w="2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Guest search on device</w:t>
            </w:r>
          </w:p>
        </w:tc>
        <w:tc>
          <w:tcPr>
            <w:tcW w:type="dxa" w:w="6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P95 under 500 ms for local snapshot</w:t>
            </w:r>
          </w:p>
        </w:tc>
      </w:tr>
      <w:tr>
        <w:tc>
          <w:tcPr>
            <w:tcW w:type="dxa" w:w="2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Critical command alert</w:t>
            </w:r>
          </w:p>
        </w:tc>
        <w:tc>
          <w:tcPr>
            <w:tcW w:type="dxa" w:w="6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Visible to target role within 5 seconds of accepted signal</w:t>
            </w:r>
          </w:p>
        </w:tc>
      </w:tr>
      <w:tr>
        <w:tc>
          <w:tcPr>
            <w:tcW w:type="dxa" w:w="2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RSVP page</w:t>
            </w:r>
          </w:p>
        </w:tc>
        <w:tc>
          <w:tcPr>
            <w:tcW w:type="dxa" w:w="6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Usable on low bandwidth; core interaction under 2.5 seconds on representative mobile</w:t>
            </w:r>
          </w:p>
        </w:tc>
      </w:tr>
      <w:tr>
        <w:tc>
          <w:tcPr>
            <w:tcW w:type="dxa" w:w="2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Messaging jobs</w:t>
            </w:r>
          </w:p>
        </w:tc>
        <w:tc>
          <w:tcPr>
            <w:tcW w:type="dxa" w:w="6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Exactly-once business effect through idempotency; provider duplicates tolerated</w:t>
            </w:r>
          </w:p>
        </w:tc>
      </w:tr>
      <w:tr>
        <w:tc>
          <w:tcPr>
            <w:tcW w:type="dxa" w:w="26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Snapshot publish</w:t>
            </w:r>
          </w:p>
        </w:tc>
        <w:tc>
          <w:tcPr>
            <w:tcW w:type="dxa" w:w="67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Atomic, verified and reversible through superseding version</w:t>
            </w:r>
          </w:p>
        </w:tc>
      </w:tr>
      <w:tr>
        <w:tc>
          <w:tcPr>
            <w:tcW w:type="dxa" w:w="26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Reconciliation</w:t>
            </w:r>
          </w:p>
        </w:tc>
        <w:tc>
          <w:tcPr>
            <w:tcW w:type="dxa" w:w="67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Complete ledger and conflicts available before event close-out approval</w:t>
            </w:r>
          </w:p>
        </w:tc>
      </w:tr>
    </w:tbl>
    <w:p>
      <w:pPr>
        <w:widowControl/>
        <w:spacing w:after="0"/>
      </w:pPr>
    </w:p>
    <w:p>
      <w:pPr>
        <w:pStyle w:val="Heading2"/>
        <w:keepNext/>
        <w:widowControl/>
      </w:pPr>
      <w:r>
        <w:t>16.2 Operational controls</w:t>
      </w:r>
    </w:p>
    <w:p>
      <w:pPr>
        <w:pStyle w:val="BlueprintBullet"/>
        <w:widowControl/>
        <w:numPr>
          <w:ilvl w:val="0"/>
          <w:numId w:val="32"/>
        </w:numPr>
      </w:pPr>
      <w:r>
        <w:rPr>
          <w:rFonts w:ascii="Aptos" w:hAnsi="Aptos"/>
          <w:b w:val="0"/>
          <w:i w:val="0"/>
          <w:color w:val="1F2937"/>
          <w:sz w:val="21"/>
        </w:rPr>
        <w:t>Every service exposes liveness, readiness and dependency health separately.</w:t>
      </w:r>
    </w:p>
    <w:p>
      <w:pPr>
        <w:pStyle w:val="BlueprintBullet"/>
        <w:widowControl/>
        <w:numPr>
          <w:ilvl w:val="0"/>
          <w:numId w:val="32"/>
        </w:numPr>
      </w:pPr>
      <w:r>
        <w:rPr>
          <w:rFonts w:ascii="Aptos" w:hAnsi="Aptos"/>
          <w:b w:val="0"/>
          <w:i w:val="0"/>
          <w:color w:val="1F2937"/>
          <w:sz w:val="21"/>
        </w:rPr>
        <w:t>Cron cadence defaults to the widest interval meeting the requirement and has a named cost owner.</w:t>
      </w:r>
    </w:p>
    <w:p>
      <w:pPr>
        <w:pStyle w:val="BlueprintBullet"/>
        <w:widowControl/>
        <w:numPr>
          <w:ilvl w:val="0"/>
          <w:numId w:val="32"/>
        </w:numPr>
      </w:pPr>
      <w:r>
        <w:rPr>
          <w:rFonts w:ascii="Aptos" w:hAnsi="Aptos"/>
          <w:b w:val="0"/>
          <w:i w:val="0"/>
          <w:color w:val="1F2937"/>
          <w:sz w:val="21"/>
        </w:rPr>
        <w:t>Workers use leases/idempotency so deploy drains cannot double-execute business effects.</w:t>
      </w:r>
    </w:p>
    <w:p>
      <w:pPr>
        <w:pStyle w:val="BlueprintBullet"/>
        <w:widowControl/>
        <w:numPr>
          <w:ilvl w:val="0"/>
          <w:numId w:val="32"/>
        </w:numPr>
      </w:pPr>
      <w:r>
        <w:rPr>
          <w:rFonts w:ascii="Aptos" w:hAnsi="Aptos"/>
          <w:b w:val="0"/>
          <w:i w:val="0"/>
          <w:color w:val="1F2937"/>
          <w:sz w:val="21"/>
        </w:rPr>
        <w:t>Credential rotations use an inventory and coordinated verification across every consumer.</w:t>
      </w:r>
    </w:p>
    <w:p>
      <w:pPr>
        <w:pStyle w:val="BlueprintBullet"/>
        <w:widowControl/>
        <w:numPr>
          <w:ilvl w:val="0"/>
          <w:numId w:val="32"/>
        </w:numPr>
      </w:pPr>
      <w:r>
        <w:rPr>
          <w:rFonts w:ascii="Aptos" w:hAnsi="Aptos"/>
          <w:b w:val="0"/>
          <w:i w:val="0"/>
          <w:color w:val="1F2937"/>
          <w:sz w:val="21"/>
        </w:rPr>
        <w:t>Backups and restore drills include database, object storage and published EDR snapshots.</w:t>
      </w:r>
    </w:p>
    <w:p>
      <w:pPr>
        <w:pStyle w:val="BlueprintBullet"/>
        <w:widowControl/>
        <w:numPr>
          <w:ilvl w:val="0"/>
          <w:numId w:val="32"/>
        </w:numPr>
      </w:pPr>
      <w:r>
        <w:rPr>
          <w:rFonts w:ascii="Aptos" w:hAnsi="Aptos"/>
          <w:b w:val="0"/>
          <w:i w:val="0"/>
          <w:color w:val="1F2937"/>
          <w:sz w:val="21"/>
        </w:rPr>
        <w:t>Alerts route to an accountable operational owner, not an unattended channel.</w:t>
      </w:r>
    </w:p>
    <w:p>
      <w:pPr>
        <w:pStyle w:val="BlueprintBullet"/>
        <w:widowControl/>
        <w:numPr>
          <w:ilvl w:val="0"/>
          <w:numId w:val="32"/>
        </w:numPr>
      </w:pPr>
      <w:r>
        <w:rPr>
          <w:rFonts w:ascii="Aptos" w:hAnsi="Aptos"/>
          <w:b w:val="0"/>
          <w:i w:val="0"/>
          <w:color w:val="1F2937"/>
          <w:sz w:val="21"/>
        </w:rPr>
        <w:t>Audit and business ledgers are searchable without exposing secret or biometric material.</w:t>
      </w:r>
    </w:p>
    <w:p>
      <w:pPr>
        <w:pStyle w:val="Heading2"/>
        <w:keepNext/>
        <w:widowControl/>
      </w:pPr>
      <w:r>
        <w:t>16.3 Failure modes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11827"/>
            <w:vAlign w:val="top"/>
            <w:tcMar>
              <w:top w:w="90" w:type="dxa"/>
              <w:start w:w="120" w:type="dxa"/>
              <w:bottom w:w="90" w:type="dxa"/>
              <w:end w:w="120" w:type="dxa"/>
            </w:tcMar>
          </w:tcPr>
          <w:p>
            <w:r>
              <w:rPr>
                <w:rFonts w:ascii="Aptos" w:hAnsi="Aptos"/>
                <w:b/>
                <w:i w:val="0"/>
                <w:color w:val="FFFFFF"/>
                <w:sz w:val="18"/>
              </w:rPr>
              <w:t>Failure</w:t>
            </w:r>
          </w:p>
        </w:tc>
        <w:tc>
          <w:tcPr>
            <w:tcW w:type="dxa" w:w="7060"/>
            <w:shd w:fill="111827"/>
            <w:vAlign w:val="top"/>
            <w:tcMar>
              <w:top w:w="90" w:type="dxa"/>
              <w:start w:w="120" w:type="dxa"/>
              <w:bottom w:w="90" w:type="dxa"/>
              <w:end w:w="120" w:type="dxa"/>
            </w:tcMar>
          </w:tcPr>
          <w:p>
            <w:r>
              <w:rPr>
                <w:rFonts w:ascii="Aptos" w:hAnsi="Aptos"/>
                <w:b/>
                <w:i w:val="0"/>
                <w:color w:val="FFFFFF"/>
                <w:sz w:val="18"/>
              </w:rPr>
              <w:t>Required behaviour</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Core unavailable during event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EDR continues from verified snapshot</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Network unavailable</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Devices admit/search from local data and queue append-only events</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Two offline devices admit same guest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Both events retained; conflict surfaced on sync</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Communications provider fails</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Retry/fallback according to consent and policy; dead letter visible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Solver unavailable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Existing approved plan remains; manual workflow available</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FaceGate unavailable</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QR/manual route remains; no denial solely from biometric failure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Stale event snapshot</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Command sees version warning; controlled correction creates new version</w:t>
            </w:r>
          </w:p>
        </w:tc>
      </w:tr>
      <w:tr>
        <w:tc>
          <w:tcPr>
            <w:tcW w:type="dxa" w:w="2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Migration fails</w:t>
            </w:r>
          </w:p>
        </w:tc>
        <w:tc>
          <w:tcPr>
            <w:tcW w:type="dxa" w:w="7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Release stops; unaffected version remains operable</w:t>
            </w:r>
          </w:p>
        </w:tc>
      </w:tr>
      <w:tr>
        <w:tc>
          <w:tcPr>
            <w:tcW w:type="dxa" w:w="2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AI unavailable or unsafe</w:t>
            </w:r>
          </w:p>
        </w:tc>
        <w:tc>
          <w:tcPr>
            <w:tcW w:type="dxa" w:w="7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Deterministic rules and human workflow continue</w:t>
            </w:r>
          </w:p>
        </w:tc>
      </w:tr>
    </w:tbl>
    <w:p>
      <w:pPr>
        <w:widowControl/>
        <w:spacing w:after="0"/>
      </w:pPr>
    </w:p>
    <w:p>
      <w:pPr>
        <w:pStyle w:val="Heading1"/>
        <w:keepNext/>
        <w:widowControl/>
      </w:pPr>
      <w:r>
        <w:t>17. Acceptance strategy and reference event</w:t>
      </w:r>
    </w:p>
    <w:p>
      <w:pPr>
        <w:pStyle w:val="Heading2"/>
        <w:keepNext/>
        <w:widowControl/>
      </w:pPr>
      <w:r>
        <w:t>17.1 Evidence hierarchy</w:t>
      </w:r>
    </w:p>
    <w:p>
      <w:pPr>
        <w:pStyle w:val="BlueprintNumber"/>
        <w:spacing w:after="80"/>
        <w:widowControl/>
        <w:numPr>
          <w:ilvl w:val="0"/>
          <w:numId w:val="33"/>
        </w:numPr>
      </w:pPr>
      <w:r>
        <w:rPr>
          <w:rFonts w:ascii="Aptos" w:hAnsi="Aptos"/>
          <w:b w:val="0"/>
          <w:i w:val="0"/>
          <w:color w:val="1F2937"/>
          <w:sz w:val="21"/>
        </w:rPr>
        <w:t>Static analysis and unit tests.</w:t>
      </w:r>
    </w:p>
    <w:p>
      <w:pPr>
        <w:pStyle w:val="BlueprintNumber"/>
        <w:spacing w:after="80"/>
        <w:widowControl/>
        <w:numPr>
          <w:ilvl w:val="0"/>
          <w:numId w:val="33"/>
        </w:numPr>
      </w:pPr>
      <w:r>
        <w:rPr>
          <w:rFonts w:ascii="Aptos" w:hAnsi="Aptos"/>
          <w:b w:val="0"/>
          <w:i w:val="0"/>
          <w:color w:val="1F2937"/>
          <w:sz w:val="21"/>
        </w:rPr>
        <w:t>Component and integration tests.</w:t>
      </w:r>
    </w:p>
    <w:p>
      <w:pPr>
        <w:pStyle w:val="BlueprintNumber"/>
        <w:spacing w:after="80"/>
        <w:widowControl/>
        <w:numPr>
          <w:ilvl w:val="0"/>
          <w:numId w:val="33"/>
        </w:numPr>
      </w:pPr>
      <w:r>
        <w:rPr>
          <w:rFonts w:ascii="Aptos" w:hAnsi="Aptos"/>
          <w:b w:val="0"/>
          <w:i w:val="0"/>
          <w:color w:val="1F2937"/>
          <w:sz w:val="21"/>
        </w:rPr>
        <w:t>Contract and permission tests.</w:t>
      </w:r>
    </w:p>
    <w:p>
      <w:pPr>
        <w:pStyle w:val="BlueprintNumber"/>
        <w:spacing w:after="80"/>
        <w:widowControl/>
        <w:numPr>
          <w:ilvl w:val="0"/>
          <w:numId w:val="33"/>
        </w:numPr>
      </w:pPr>
      <w:r>
        <w:rPr>
          <w:rFonts w:ascii="Aptos" w:hAnsi="Aptos"/>
          <w:b w:val="0"/>
          <w:i w:val="0"/>
          <w:color w:val="1F2937"/>
          <w:sz w:val="21"/>
        </w:rPr>
        <w:t>End-to-end browser and device journeys.</w:t>
      </w:r>
    </w:p>
    <w:p>
      <w:pPr>
        <w:pStyle w:val="BlueprintNumber"/>
        <w:spacing w:after="80"/>
        <w:widowControl/>
        <w:numPr>
          <w:ilvl w:val="0"/>
          <w:numId w:val="33"/>
        </w:numPr>
      </w:pPr>
      <w:r>
        <w:rPr>
          <w:rFonts w:ascii="Aptos" w:hAnsi="Aptos"/>
          <w:b w:val="0"/>
          <w:i w:val="0"/>
          <w:color w:val="1F2937"/>
          <w:sz w:val="21"/>
        </w:rPr>
        <w:t>Load, offline, failure and recovery simulation.</w:t>
      </w:r>
    </w:p>
    <w:p>
      <w:pPr>
        <w:pStyle w:val="BlueprintNumber"/>
        <w:spacing w:after="80"/>
        <w:widowControl/>
        <w:numPr>
          <w:ilvl w:val="0"/>
          <w:numId w:val="33"/>
        </w:numPr>
      </w:pPr>
      <w:r>
        <w:rPr>
          <w:rFonts w:ascii="Aptos" w:hAnsi="Aptos"/>
          <w:b w:val="0"/>
          <w:i w:val="0"/>
          <w:color w:val="1F2937"/>
          <w:sz w:val="21"/>
        </w:rPr>
        <w:t>Shadow-mode evaluation against historical/synthetic data.</w:t>
      </w:r>
    </w:p>
    <w:p>
      <w:pPr>
        <w:pStyle w:val="BlueprintNumber"/>
        <w:spacing w:after="80"/>
        <w:widowControl/>
        <w:numPr>
          <w:ilvl w:val="0"/>
          <w:numId w:val="33"/>
        </w:numPr>
      </w:pPr>
      <w:r>
        <w:rPr>
          <w:rFonts w:ascii="Aptos" w:hAnsi="Aptos"/>
          <w:b w:val="0"/>
          <w:i w:val="0"/>
          <w:color w:val="1F2937"/>
          <w:sz w:val="21"/>
        </w:rPr>
        <w:t>Observed usability testing with representative roles.</w:t>
      </w:r>
    </w:p>
    <w:p>
      <w:pPr>
        <w:pStyle w:val="BlueprintNumber"/>
        <w:spacing w:after="80"/>
        <w:widowControl/>
        <w:numPr>
          <w:ilvl w:val="0"/>
          <w:numId w:val="33"/>
        </w:numPr>
      </w:pPr>
      <w:r>
        <w:rPr>
          <w:rFonts w:ascii="Aptos" w:hAnsi="Aptos"/>
          <w:b w:val="0"/>
          <w:i w:val="0"/>
          <w:color w:val="1F2937"/>
          <w:sz w:val="21"/>
        </w:rPr>
        <w:t>Supervised pilot or shadow run at a real event.</w:t>
      </w:r>
    </w:p>
    <w:p>
      <w:pPr>
        <w:pStyle w:val="BlueprintNumber"/>
        <w:spacing w:after="80"/>
        <w:widowControl/>
        <w:numPr>
          <w:ilvl w:val="0"/>
          <w:numId w:val="33"/>
        </w:numPr>
      </w:pPr>
      <w:r>
        <w:rPr>
          <w:rFonts w:ascii="Aptos" w:hAnsi="Aptos"/>
          <w:b w:val="0"/>
          <w:i w:val="0"/>
          <w:color w:val="1F2937"/>
          <w:sz w:val="21"/>
        </w:rPr>
        <w:t>Post-pilot reconciliation and CEO production decision.</w:t>
      </w:r>
    </w:p>
    <w:p>
      <w:pPr>
        <w:pStyle w:val="Heading2"/>
        <w:keepNext/>
        <w:widowControl/>
      </w:pPr>
      <w:r>
        <w:t>17.2 Synthetic Lagos reference event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11827"/>
            <w:vAlign w:val="top"/>
            <w:tcMar>
              <w:top w:w="90" w:type="dxa"/>
              <w:start w:w="120" w:type="dxa"/>
              <w:bottom w:w="90" w:type="dxa"/>
              <w:end w:w="120" w:type="dxa"/>
            </w:tcMar>
          </w:tcPr>
          <w:p>
            <w:r>
              <w:rPr>
                <w:rFonts w:ascii="Aptos" w:hAnsi="Aptos"/>
                <w:b/>
                <w:i w:val="0"/>
                <w:color w:val="FFFFFF"/>
                <w:sz w:val="18"/>
              </w:rPr>
              <w:t>Dimension</w:t>
            </w:r>
          </w:p>
        </w:tc>
        <w:tc>
          <w:tcPr>
            <w:tcW w:type="dxa" w:w="7260"/>
            <w:shd w:fill="111827"/>
            <w:vAlign w:val="top"/>
            <w:tcMar>
              <w:top w:w="90" w:type="dxa"/>
              <w:start w:w="120" w:type="dxa"/>
              <w:bottom w:w="90" w:type="dxa"/>
              <w:end w:w="120" w:type="dxa"/>
            </w:tcMar>
          </w:tcPr>
          <w:p>
            <w:r>
              <w:rPr>
                <w:rFonts w:ascii="Aptos" w:hAnsi="Aptos"/>
                <w:b/>
                <w:i w:val="0"/>
                <w:color w:val="FFFFFF"/>
                <w:sz w:val="18"/>
              </w:rPr>
              <w:t>Minimum scenario</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Scale</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600 event guests; 180 households; named and unnamed plus-ones</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Complexity</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VIPs, protocol authorities, cultural/religious needs, mobility and dietary requirements</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Venue</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Multiple zones and entrances; difficult lighting; intermittent connectivity</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Seating</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More than 500 guests; hard conflicts; reserved blocks; infeasible case</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Communications</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Email/WhatsApp/SMS; invalid contacts; provider delay; inbound replies</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Devices</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At least 9 devices and 15 sessions; loss, revocation, offline and reconnect</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Arrival</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Burst load, duplicates, walk-ins, large households and re-entry</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Operations</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Power, traffic, vendor and programme disruptions</w:t>
            </w:r>
          </w:p>
        </w:tc>
      </w:tr>
      <w:tr>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Assurance</w:t>
            </w:r>
          </w:p>
        </w:tc>
        <w:tc>
          <w:tcPr>
            <w:tcW w:type="dxa" w:w="72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Expired evidence, contradictory facts, late exception and specialist approval</w:t>
            </w:r>
          </w:p>
        </w:tc>
      </w:tr>
      <w:tr>
        <w:tc>
          <w:tcPr>
            <w:tcW w:type="dxa" w:w="21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Privacy</w:t>
            </w:r>
          </w:p>
        </w:tc>
        <w:tc>
          <w:tcPr>
            <w:tcW w:type="dxa" w:w="72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Cross-event match proposal, deletion request and restricted VIP fields</w:t>
            </w:r>
          </w:p>
        </w:tc>
      </w:tr>
    </w:tbl>
    <w:p>
      <w:pPr>
        <w:widowControl/>
        <w:spacing w:after="0"/>
      </w:pPr>
    </w:p>
    <w:p>
      <w:pPr>
        <w:pStyle w:val="Heading2"/>
        <w:keepNext/>
        <w:widowControl/>
      </w:pPr>
      <w:r>
        <w:t>17.3 Alakija-derived mandatory scenarios</w:t>
      </w:r>
    </w:p>
    <w:p>
      <w:pPr>
        <w:pStyle w:val="BlueprintBullet"/>
        <w:widowControl/>
        <w:numPr>
          <w:ilvl w:val="0"/>
          <w:numId w:val="34"/>
        </w:numPr>
      </w:pPr>
      <w:r>
        <w:rPr>
          <w:rFonts w:ascii="Aptos" w:hAnsi="Aptos"/>
          <w:b w:val="0"/>
          <w:i w:val="0"/>
          <w:color w:val="1F2937"/>
          <w:sz w:val="21"/>
        </w:rPr>
        <w:t>Bad guest data is quarantined and cannot corrupt the live list.</w:t>
      </w:r>
    </w:p>
    <w:p>
      <w:pPr>
        <w:pStyle w:val="BlueprintBullet"/>
        <w:widowControl/>
        <w:numPr>
          <w:ilvl w:val="0"/>
          <w:numId w:val="34"/>
        </w:numPr>
      </w:pPr>
      <w:r>
        <w:rPr>
          <w:rFonts w:ascii="Aptos" w:hAnsi="Aptos"/>
          <w:b w:val="0"/>
          <w:i w:val="0"/>
          <w:color w:val="1F2937"/>
          <w:sz w:val="21"/>
        </w:rPr>
        <w:t>Outbound failure and inbound reply are visible and owned.</w:t>
      </w:r>
    </w:p>
    <w:p>
      <w:pPr>
        <w:pStyle w:val="BlueprintBullet"/>
        <w:widowControl/>
        <w:numPr>
          <w:ilvl w:val="0"/>
          <w:numId w:val="34"/>
        </w:numPr>
      </w:pPr>
      <w:r>
        <w:rPr>
          <w:rFonts w:ascii="Aptos" w:hAnsi="Aptos"/>
          <w:b w:val="0"/>
          <w:i w:val="0"/>
          <w:color w:val="1F2937"/>
          <w:sz w:val="21"/>
        </w:rPr>
        <w:t>Access cards scan under representative brightness, glare, cracked screens and printed media.</w:t>
      </w:r>
    </w:p>
    <w:p>
      <w:pPr>
        <w:pStyle w:val="BlueprintBullet"/>
        <w:widowControl/>
        <w:numPr>
          <w:ilvl w:val="0"/>
          <w:numId w:val="34"/>
        </w:numPr>
      </w:pPr>
      <w:r>
        <w:rPr>
          <w:rFonts w:ascii="Aptos" w:hAnsi="Aptos"/>
          <w:b w:val="0"/>
          <w:i w:val="0"/>
          <w:color w:val="1F2937"/>
          <w:sz w:val="21"/>
        </w:rPr>
        <w:t>Device auth, local state and queued actions survive interruption.</w:t>
      </w:r>
    </w:p>
    <w:p>
      <w:pPr>
        <w:pStyle w:val="BlueprintBullet"/>
        <w:widowControl/>
        <w:numPr>
          <w:ilvl w:val="0"/>
          <w:numId w:val="34"/>
        </w:numPr>
      </w:pPr>
      <w:r>
        <w:rPr>
          <w:rFonts w:ascii="Aptos" w:hAnsi="Aptos"/>
          <w:b w:val="0"/>
          <w:i w:val="0"/>
          <w:color w:val="1F2937"/>
          <w:sz w:val="21"/>
        </w:rPr>
        <w:t>Large-household and plus-one check-in is usable under queue pressure.</w:t>
      </w:r>
    </w:p>
    <w:p>
      <w:pPr>
        <w:pStyle w:val="BlueprintBullet"/>
        <w:widowControl/>
        <w:numPr>
          <w:ilvl w:val="0"/>
          <w:numId w:val="34"/>
        </w:numPr>
      </w:pPr>
      <w:r>
        <w:rPr>
          <w:rFonts w:ascii="Aptos" w:hAnsi="Aptos"/>
          <w:b w:val="0"/>
          <w:i w:val="0"/>
          <w:color w:val="1F2937"/>
          <w:sz w:val="21"/>
        </w:rPr>
        <w:t>The solver handles 500+ guests, explains infeasibility and supports safe human editing.</w:t>
      </w:r>
    </w:p>
    <w:p>
      <w:pPr>
        <w:pStyle w:val="Heading2"/>
        <w:keepNext/>
        <w:widowControl/>
      </w:pPr>
      <w:r>
        <w:t>17.4 Cross-cutting acceptance gates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11827"/>
            <w:vAlign w:val="top"/>
            <w:tcMar>
              <w:top w:w="90" w:type="dxa"/>
              <w:start w:w="120" w:type="dxa"/>
              <w:bottom w:w="90" w:type="dxa"/>
              <w:end w:w="120" w:type="dxa"/>
            </w:tcMar>
          </w:tcPr>
          <w:p>
            <w:r>
              <w:rPr>
                <w:rFonts w:ascii="Aptos" w:hAnsi="Aptos"/>
                <w:b/>
                <w:i w:val="0"/>
                <w:color w:val="FFFFFF"/>
                <w:sz w:val="18"/>
              </w:rPr>
              <w:t>Gate</w:t>
            </w:r>
          </w:p>
        </w:tc>
        <w:tc>
          <w:tcPr>
            <w:tcW w:type="dxa" w:w="7160"/>
            <w:shd w:fill="111827"/>
            <w:vAlign w:val="top"/>
            <w:tcMar>
              <w:top w:w="90" w:type="dxa"/>
              <w:start w:w="120" w:type="dxa"/>
              <w:bottom w:w="90" w:type="dxa"/>
              <w:end w:w="120" w:type="dxa"/>
            </w:tcMar>
          </w:tcPr>
          <w:p>
            <w:r>
              <w:rPr>
                <w:rFonts w:ascii="Aptos" w:hAnsi="Aptos"/>
                <w:b/>
                <w:i w:val="0"/>
                <w:color w:val="FFFFFF"/>
                <w:sz w:val="18"/>
              </w:rPr>
              <w:t>Pass condition</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Event isolation</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No user, query, export, worker or cache crosses an unauthorised event/client boundary</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Permission</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Every consequential action is denied without policy and audited when allowed</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Explainability</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Every recommendation shows inputs, knowledge version, confidence and authority</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Accessibility</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WCAG 2.2 AA automated and manual checks; critical mobile tasks observed</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Offline</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No accepted local event is lost; conflicts reconcile visibly</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Performance</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Reference-event budgets pass under realistic concurrency</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Privacy</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Retention, deletion, export and restricted-field tests pass</w:t>
            </w:r>
          </w:p>
        </w:tc>
      </w:tr>
      <w:tr>
        <w:tc>
          <w:tcPr>
            <w:tcW w:type="dxa" w:w="22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Recovery</w:t>
            </w:r>
          </w:p>
        </w:tc>
        <w:tc>
          <w:tcPr>
            <w:tcW w:type="dxa" w:w="71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Provider, worker, database and deploy failure drills pass</w:t>
            </w:r>
          </w:p>
        </w:tc>
      </w:tr>
      <w:tr>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Field readiness</w:t>
            </w:r>
          </w:p>
        </w:tc>
        <w:tc>
          <w:tcPr>
            <w:tcW w:type="dxa" w:w="71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Supervised pilot completed with reconciled results and approved findings</w:t>
            </w:r>
          </w:p>
        </w:tc>
      </w:tr>
    </w:tbl>
    <w:p>
      <w:pPr>
        <w:widowControl/>
        <w:spacing w:after="0"/>
      </w:pPr>
    </w:p>
    <w:p>
      <w:pPr>
        <w:pStyle w:val="Heading1"/>
        <w:keepNext/>
        <w:widowControl/>
      </w:pPr>
      <w:r>
        <w:t>18. Twelve-slice build sequence</w:t>
      </w:r>
    </w:p>
    <w:p>
      <w:pPr>
        <w:pStyle w:val="Heading2"/>
        <w:keepNext/>
        <w:widowControl/>
      </w:pPr>
      <w:r>
        <w:t>Slice 1 — Platform foundation</w:t>
      </w:r>
    </w:p>
    <w:tbl>
      <w:tblPr>
        <w:tblStyle w:val="TableGrid"/>
        <w:tblW w:type="dxa" w:w="9360"/>
        <w:jc w:val="left"/>
        <w:tblLayout w:type="fixed"/>
        <w:tblLook w:firstColumn="1" w:firstRow="1" w:lastColumn="0" w:lastRow="0" w:noHBand="0" w:noVBand="1" w:val="04A0"/>
        <w:tblInd w:w="120" w:type="dxa"/>
      </w:tblPr>
      <w:tblGrid>
        <w:gridCol w:w="1800"/>
        <w:gridCol w:w="2200"/>
        <w:gridCol w:w="2200"/>
        <w:gridCol w:w="2100"/>
        <w:gridCol w:w="1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6"/>
              </w:rPr>
              <w:t>Scope</w:t>
            </w:r>
          </w:p>
        </w:tc>
        <w:tc>
          <w:tcPr>
            <w:tcW w:type="dxa" w:w="2200"/>
            <w:shd w:fill="111827"/>
            <w:vAlign w:val="top"/>
            <w:tcMar>
              <w:top w:w="90" w:type="dxa"/>
              <w:start w:w="120" w:type="dxa"/>
              <w:bottom w:w="90" w:type="dxa"/>
              <w:end w:w="120" w:type="dxa"/>
            </w:tcMar>
          </w:tcPr>
          <w:p>
            <w:r>
              <w:rPr>
                <w:rFonts w:ascii="Aptos" w:hAnsi="Aptos"/>
                <w:b/>
                <w:i w:val="0"/>
                <w:color w:val="FFFFFF"/>
                <w:sz w:val="16"/>
              </w:rPr>
              <w:t>Frontend deliverable</w:t>
            </w:r>
          </w:p>
        </w:tc>
        <w:tc>
          <w:tcPr>
            <w:tcW w:type="dxa" w:w="2200"/>
            <w:shd w:fill="111827"/>
            <w:vAlign w:val="top"/>
            <w:tcMar>
              <w:top w:w="90" w:type="dxa"/>
              <w:start w:w="120" w:type="dxa"/>
              <w:bottom w:w="90" w:type="dxa"/>
              <w:end w:w="120" w:type="dxa"/>
            </w:tcMar>
          </w:tcPr>
          <w:p>
            <w:r>
              <w:rPr>
                <w:rFonts w:ascii="Aptos" w:hAnsi="Aptos"/>
                <w:b/>
                <w:i w:val="0"/>
                <w:color w:val="FFFFFF"/>
                <w:sz w:val="16"/>
              </w:rPr>
              <w:t>Backend/data deliverable</w:t>
            </w:r>
          </w:p>
        </w:tc>
        <w:tc>
          <w:tcPr>
            <w:tcW w:type="dxa" w:w="2100"/>
            <w:shd w:fill="111827"/>
            <w:vAlign w:val="top"/>
            <w:tcMar>
              <w:top w:w="90" w:type="dxa"/>
              <w:start w:w="120" w:type="dxa"/>
              <w:bottom w:w="90" w:type="dxa"/>
              <w:end w:w="120" w:type="dxa"/>
            </w:tcMar>
          </w:tcPr>
          <w:p>
            <w:r>
              <w:rPr>
                <w:rFonts w:ascii="Aptos" w:hAnsi="Aptos"/>
                <w:b/>
                <w:i w:val="0"/>
                <w:color w:val="FFFFFF"/>
                <w:sz w:val="16"/>
              </w:rPr>
              <w:t>Acceptance evidence</w:t>
            </w:r>
          </w:p>
        </w:tc>
        <w:tc>
          <w:tcPr>
            <w:tcW w:type="dxa" w:w="1060"/>
            <w:shd w:fill="111827"/>
            <w:vAlign w:val="top"/>
            <w:tcMar>
              <w:top w:w="90" w:type="dxa"/>
              <w:start w:w="120" w:type="dxa"/>
              <w:bottom w:w="90" w:type="dxa"/>
              <w:end w:w="120" w:type="dxa"/>
            </w:tcMar>
          </w:tcPr>
          <w:p>
            <w:r>
              <w:rPr>
                <w:rFonts w:ascii="Aptos" w:hAnsi="Aptos"/>
                <w:b/>
                <w:i w:val="0"/>
                <w:color w:val="FFFFFF"/>
                <w:sz w:val="16"/>
              </w:rPr>
              <w:t>Exit gate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Organisation/client/event hierarchy; auth; event assignments; policy enforcement; audit; design system; event shell.</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Global home, client/event creation, event switcher, My Work shell, admin access screens.</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Tenant/event isolation, policy, audit, shared contracts and observability.</w:t>
            </w:r>
          </w:p>
        </w:tc>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Cross-client isolation; denied-action tests; responsive shell; keyboard/accessibility; deployment and rollback evidence.</w:t>
            </w:r>
          </w:p>
        </w:tc>
        <w:tc>
          <w:tcPr>
            <w:tcW w:type="dxa" w:w="10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Ratified entity ownership and role matrix.</w:t>
            </w:r>
          </w:p>
        </w:tc>
      </w:tr>
    </w:tbl>
    <w:p>
      <w:pPr>
        <w:widowControl/>
        <w:spacing w:after="0"/>
      </w:pPr>
    </w:p>
    <w:p>
      <w:pPr>
        <w:pStyle w:val="Heading3"/>
        <w:keepNext/>
        <w:widowControl/>
      </w:pPr>
      <w:r>
        <w:t>Slice completion rule</w:t>
      </w:r>
    </w:p>
    <w:p>
      <w:pPr>
        <w:keepLines w:val="0"/>
        <w:widowControl/>
      </w:pPr>
      <w:r>
        <w:rPr>
          <w:rFonts w:ascii="Aptos" w:hAnsi="Aptos"/>
          <w:b w:val="0"/>
          <w:i w:val="0"/>
          <w:color w:val="1F2937"/>
          <w:sz w:val="19"/>
        </w:rPr>
        <w:t>The slice is incomplete until code is committed, quality gates pass, the relevant deployment is verified, browser/device evidence is reviewed, documentation and traceability are updated, and an independent acceptance report confirms the stated criteria.</w:t>
      </w:r>
    </w:p>
    <w:p>
      <w:pPr>
        <w:pStyle w:val="Heading2"/>
        <w:keepNext/>
        <w:widowControl/>
      </w:pPr>
      <w:r>
        <w:t>Slice 2 — Event creation and guest intake</w:t>
      </w:r>
    </w:p>
    <w:tbl>
      <w:tblPr>
        <w:tblStyle w:val="TableGrid"/>
        <w:tblW w:type="dxa" w:w="9360"/>
        <w:jc w:val="left"/>
        <w:tblLayout w:type="fixed"/>
        <w:tblLook w:firstColumn="1" w:firstRow="1" w:lastColumn="0" w:lastRow="0" w:noHBand="0" w:noVBand="1" w:val="04A0"/>
        <w:tblInd w:w="120" w:type="dxa"/>
      </w:tblPr>
      <w:tblGrid>
        <w:gridCol w:w="1800"/>
        <w:gridCol w:w="2200"/>
        <w:gridCol w:w="2200"/>
        <w:gridCol w:w="2100"/>
        <w:gridCol w:w="1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6"/>
              </w:rPr>
              <w:t>Scope</w:t>
            </w:r>
          </w:p>
        </w:tc>
        <w:tc>
          <w:tcPr>
            <w:tcW w:type="dxa" w:w="2200"/>
            <w:shd w:fill="111827"/>
            <w:vAlign w:val="top"/>
            <w:tcMar>
              <w:top w:w="90" w:type="dxa"/>
              <w:start w:w="120" w:type="dxa"/>
              <w:bottom w:w="90" w:type="dxa"/>
              <w:end w:w="120" w:type="dxa"/>
            </w:tcMar>
          </w:tcPr>
          <w:p>
            <w:r>
              <w:rPr>
                <w:rFonts w:ascii="Aptos" w:hAnsi="Aptos"/>
                <w:b/>
                <w:i w:val="0"/>
                <w:color w:val="FFFFFF"/>
                <w:sz w:val="16"/>
              </w:rPr>
              <w:t>Frontend deliverable</w:t>
            </w:r>
          </w:p>
        </w:tc>
        <w:tc>
          <w:tcPr>
            <w:tcW w:type="dxa" w:w="2200"/>
            <w:shd w:fill="111827"/>
            <w:vAlign w:val="top"/>
            <w:tcMar>
              <w:top w:w="90" w:type="dxa"/>
              <w:start w:w="120" w:type="dxa"/>
              <w:bottom w:w="90" w:type="dxa"/>
              <w:end w:w="120" w:type="dxa"/>
            </w:tcMar>
          </w:tcPr>
          <w:p>
            <w:r>
              <w:rPr>
                <w:rFonts w:ascii="Aptos" w:hAnsi="Aptos"/>
                <w:b/>
                <w:i w:val="0"/>
                <w:color w:val="FFFFFF"/>
                <w:sz w:val="16"/>
              </w:rPr>
              <w:t>Backend/data deliverable</w:t>
            </w:r>
          </w:p>
        </w:tc>
        <w:tc>
          <w:tcPr>
            <w:tcW w:type="dxa" w:w="2100"/>
            <w:shd w:fill="111827"/>
            <w:vAlign w:val="top"/>
            <w:tcMar>
              <w:top w:w="90" w:type="dxa"/>
              <w:start w:w="120" w:type="dxa"/>
              <w:bottom w:w="90" w:type="dxa"/>
              <w:end w:w="120" w:type="dxa"/>
            </w:tcMar>
          </w:tcPr>
          <w:p>
            <w:r>
              <w:rPr>
                <w:rFonts w:ascii="Aptos" w:hAnsi="Aptos"/>
                <w:b/>
                <w:i w:val="0"/>
                <w:color w:val="FFFFFF"/>
                <w:sz w:val="16"/>
              </w:rPr>
              <w:t>Acceptance evidence</w:t>
            </w:r>
          </w:p>
        </w:tc>
        <w:tc>
          <w:tcPr>
            <w:tcW w:type="dxa" w:w="1060"/>
            <w:shd w:fill="111827"/>
            <w:vAlign w:val="top"/>
            <w:tcMar>
              <w:top w:w="90" w:type="dxa"/>
              <w:start w:w="120" w:type="dxa"/>
              <w:bottom w:w="90" w:type="dxa"/>
              <w:end w:w="120" w:type="dxa"/>
            </w:tcMar>
          </w:tcPr>
          <w:p>
            <w:r>
              <w:rPr>
                <w:rFonts w:ascii="Aptos" w:hAnsi="Aptos"/>
                <w:b/>
                <w:i w:val="0"/>
                <w:color w:val="FFFFFF"/>
                <w:sz w:val="16"/>
              </w:rPr>
              <w:t>Exit gate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Event brief/authority/context plus Vela-style raw→working→candidate→promotion.</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Event setup, import mapping, validation, duplicate review, candidate promotion and guest directory.</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Quarantine models, international contact normalisation, match proposals, promotion API and correction ledger.</w:t>
            </w:r>
          </w:p>
        </w:tc>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Bad import cannot affect counts; fuzzy suggestions never auto-merge; 600-row import and reversal pass.</w:t>
            </w:r>
          </w:p>
        </w:tc>
        <w:tc>
          <w:tcPr>
            <w:tcW w:type="dxa" w:w="10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Approved identity and retention rules.</w:t>
            </w:r>
          </w:p>
        </w:tc>
      </w:tr>
    </w:tbl>
    <w:p>
      <w:pPr>
        <w:widowControl/>
        <w:spacing w:after="0"/>
      </w:pPr>
    </w:p>
    <w:p>
      <w:pPr>
        <w:pStyle w:val="Heading3"/>
        <w:keepNext/>
        <w:widowControl/>
      </w:pPr>
      <w:r>
        <w:t>Slice completion rule</w:t>
      </w:r>
    </w:p>
    <w:p>
      <w:pPr>
        <w:keepLines w:val="0"/>
        <w:widowControl/>
      </w:pPr>
      <w:r>
        <w:rPr>
          <w:rFonts w:ascii="Aptos" w:hAnsi="Aptos"/>
          <w:b w:val="0"/>
          <w:i w:val="0"/>
          <w:color w:val="1F2937"/>
          <w:sz w:val="19"/>
        </w:rPr>
        <w:t>The slice is incomplete until code is committed, quality gates pass, the relevant deployment is verified, browser/device evidence is reviewed, documentation and traceability are updated, and an independent acceptance report confirms the stated criteria.</w:t>
      </w:r>
    </w:p>
    <w:p>
      <w:pPr>
        <w:pStyle w:val="Heading2"/>
        <w:keepNext/>
        <w:widowControl/>
      </w:pPr>
      <w:r>
        <w:t>Slice 3 — RSVP and guest self-service</w:t>
      </w:r>
    </w:p>
    <w:tbl>
      <w:tblPr>
        <w:tblStyle w:val="TableGrid"/>
        <w:tblW w:type="dxa" w:w="9360"/>
        <w:jc w:val="left"/>
        <w:tblLayout w:type="fixed"/>
        <w:tblLook w:firstColumn="1" w:firstRow="1" w:lastColumn="0" w:lastRow="0" w:noHBand="0" w:noVBand="1" w:val="04A0"/>
        <w:tblInd w:w="120" w:type="dxa"/>
      </w:tblPr>
      <w:tblGrid>
        <w:gridCol w:w="1800"/>
        <w:gridCol w:w="2200"/>
        <w:gridCol w:w="2200"/>
        <w:gridCol w:w="2100"/>
        <w:gridCol w:w="1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6"/>
              </w:rPr>
              <w:t>Scope</w:t>
            </w:r>
          </w:p>
        </w:tc>
        <w:tc>
          <w:tcPr>
            <w:tcW w:type="dxa" w:w="2200"/>
            <w:shd w:fill="111827"/>
            <w:vAlign w:val="top"/>
            <w:tcMar>
              <w:top w:w="90" w:type="dxa"/>
              <w:start w:w="120" w:type="dxa"/>
              <w:bottom w:w="90" w:type="dxa"/>
              <w:end w:w="120" w:type="dxa"/>
            </w:tcMar>
          </w:tcPr>
          <w:p>
            <w:r>
              <w:rPr>
                <w:rFonts w:ascii="Aptos" w:hAnsi="Aptos"/>
                <w:b/>
                <w:i w:val="0"/>
                <w:color w:val="FFFFFF"/>
                <w:sz w:val="16"/>
              </w:rPr>
              <w:t>Frontend deliverable</w:t>
            </w:r>
          </w:p>
        </w:tc>
        <w:tc>
          <w:tcPr>
            <w:tcW w:type="dxa" w:w="2200"/>
            <w:shd w:fill="111827"/>
            <w:vAlign w:val="top"/>
            <w:tcMar>
              <w:top w:w="90" w:type="dxa"/>
              <w:start w:w="120" w:type="dxa"/>
              <w:bottom w:w="90" w:type="dxa"/>
              <w:end w:w="120" w:type="dxa"/>
            </w:tcMar>
          </w:tcPr>
          <w:p>
            <w:r>
              <w:rPr>
                <w:rFonts w:ascii="Aptos" w:hAnsi="Aptos"/>
                <w:b/>
                <w:i w:val="0"/>
                <w:color w:val="FFFFFF"/>
                <w:sz w:val="16"/>
              </w:rPr>
              <w:t>Backend/data deliverable</w:t>
            </w:r>
          </w:p>
        </w:tc>
        <w:tc>
          <w:tcPr>
            <w:tcW w:type="dxa" w:w="2100"/>
            <w:shd w:fill="111827"/>
            <w:vAlign w:val="top"/>
            <w:tcMar>
              <w:top w:w="90" w:type="dxa"/>
              <w:start w:w="120" w:type="dxa"/>
              <w:bottom w:w="90" w:type="dxa"/>
              <w:end w:w="120" w:type="dxa"/>
            </w:tcMar>
          </w:tcPr>
          <w:p>
            <w:r>
              <w:rPr>
                <w:rFonts w:ascii="Aptos" w:hAnsi="Aptos"/>
                <w:b/>
                <w:i w:val="0"/>
                <w:color w:val="FFFFFF"/>
                <w:sz w:val="16"/>
              </w:rPr>
              <w:t>Acceptance evidence</w:t>
            </w:r>
          </w:p>
        </w:tc>
        <w:tc>
          <w:tcPr>
            <w:tcW w:type="dxa" w:w="1060"/>
            <w:shd w:fill="111827"/>
            <w:vAlign w:val="top"/>
            <w:tcMar>
              <w:top w:w="90" w:type="dxa"/>
              <w:start w:w="120" w:type="dxa"/>
              <w:bottom w:w="90" w:type="dxa"/>
              <w:end w:w="120" w:type="dxa"/>
            </w:tcMar>
          </w:tcPr>
          <w:p>
            <w:r>
              <w:rPr>
                <w:rFonts w:ascii="Aptos" w:hAnsi="Aptos"/>
                <w:b/>
                <w:i w:val="0"/>
                <w:color w:val="FFFFFF"/>
                <w:sz w:val="16"/>
              </w:rPr>
              <w:t>Exit gate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Invitations, question versions, signed links, households, plus-ones and headcount exceptions.</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RSVP builder/admin, guest mobile RSVP, amendment and assistance flow.</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Invitation/token lifecycle, response history, entitlement and exception workflow.</w:t>
            </w:r>
          </w:p>
        </w:tc>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Expired/revoked links, low bandwidth, accessibility, unnamed plus-one, overshoot and correction pass.</w:t>
            </w:r>
          </w:p>
        </w:tc>
        <w:tc>
          <w:tcPr>
            <w:tcW w:type="dxa" w:w="10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Guest privacy notice and channel policy.</w:t>
            </w:r>
          </w:p>
        </w:tc>
      </w:tr>
    </w:tbl>
    <w:p>
      <w:pPr>
        <w:widowControl/>
        <w:spacing w:after="0"/>
      </w:pPr>
    </w:p>
    <w:p>
      <w:pPr>
        <w:pStyle w:val="Heading3"/>
        <w:keepNext/>
        <w:widowControl/>
      </w:pPr>
      <w:r>
        <w:t>Slice completion rule</w:t>
      </w:r>
    </w:p>
    <w:p>
      <w:pPr>
        <w:keepLines w:val="0"/>
        <w:widowControl/>
      </w:pPr>
      <w:r>
        <w:rPr>
          <w:rFonts w:ascii="Aptos" w:hAnsi="Aptos"/>
          <w:b w:val="0"/>
          <w:i w:val="0"/>
          <w:color w:val="1F2937"/>
          <w:sz w:val="19"/>
        </w:rPr>
        <w:t>The slice is incomplete until code is committed, quality gates pass, the relevant deployment is verified, browser/device evidence is reviewed, documentation and traceability are updated, and an independent acceptance report confirms the stated criteria.</w:t>
      </w:r>
    </w:p>
    <w:p>
      <w:pPr>
        <w:pStyle w:val="Heading2"/>
        <w:keepNext/>
        <w:widowControl/>
      </w:pPr>
      <w:r>
        <w:t>Slice 4 — Guest communications</w:t>
      </w:r>
    </w:p>
    <w:tbl>
      <w:tblPr>
        <w:tblStyle w:val="TableGrid"/>
        <w:tblW w:type="dxa" w:w="9360"/>
        <w:jc w:val="left"/>
        <w:tblLayout w:type="fixed"/>
        <w:tblLook w:firstColumn="1" w:firstRow="1" w:lastColumn="0" w:lastRow="0" w:noHBand="0" w:noVBand="1" w:val="04A0"/>
        <w:tblInd w:w="120" w:type="dxa"/>
      </w:tblPr>
      <w:tblGrid>
        <w:gridCol w:w="1800"/>
        <w:gridCol w:w="2200"/>
        <w:gridCol w:w="2200"/>
        <w:gridCol w:w="2100"/>
        <w:gridCol w:w="1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6"/>
              </w:rPr>
              <w:t>Scope</w:t>
            </w:r>
          </w:p>
        </w:tc>
        <w:tc>
          <w:tcPr>
            <w:tcW w:type="dxa" w:w="2200"/>
            <w:shd w:fill="111827"/>
            <w:vAlign w:val="top"/>
            <w:tcMar>
              <w:top w:w="90" w:type="dxa"/>
              <w:start w:w="120" w:type="dxa"/>
              <w:bottom w:w="90" w:type="dxa"/>
              <w:end w:w="120" w:type="dxa"/>
            </w:tcMar>
          </w:tcPr>
          <w:p>
            <w:r>
              <w:rPr>
                <w:rFonts w:ascii="Aptos" w:hAnsi="Aptos"/>
                <w:b/>
                <w:i w:val="0"/>
                <w:color w:val="FFFFFF"/>
                <w:sz w:val="16"/>
              </w:rPr>
              <w:t>Frontend deliverable</w:t>
            </w:r>
          </w:p>
        </w:tc>
        <w:tc>
          <w:tcPr>
            <w:tcW w:type="dxa" w:w="2200"/>
            <w:shd w:fill="111827"/>
            <w:vAlign w:val="top"/>
            <w:tcMar>
              <w:top w:w="90" w:type="dxa"/>
              <w:start w:w="120" w:type="dxa"/>
              <w:bottom w:w="90" w:type="dxa"/>
              <w:end w:w="120" w:type="dxa"/>
            </w:tcMar>
          </w:tcPr>
          <w:p>
            <w:r>
              <w:rPr>
                <w:rFonts w:ascii="Aptos" w:hAnsi="Aptos"/>
                <w:b/>
                <w:i w:val="0"/>
                <w:color w:val="FFFFFF"/>
                <w:sz w:val="16"/>
              </w:rPr>
              <w:t>Backend/data deliverable</w:t>
            </w:r>
          </w:p>
        </w:tc>
        <w:tc>
          <w:tcPr>
            <w:tcW w:type="dxa" w:w="2100"/>
            <w:shd w:fill="111827"/>
            <w:vAlign w:val="top"/>
            <w:tcMar>
              <w:top w:w="90" w:type="dxa"/>
              <w:start w:w="120" w:type="dxa"/>
              <w:bottom w:w="90" w:type="dxa"/>
              <w:end w:w="120" w:type="dxa"/>
            </w:tcMar>
          </w:tcPr>
          <w:p>
            <w:r>
              <w:rPr>
                <w:rFonts w:ascii="Aptos" w:hAnsi="Aptos"/>
                <w:b/>
                <w:i w:val="0"/>
                <w:color w:val="FFFFFF"/>
                <w:sz w:val="16"/>
              </w:rPr>
              <w:t>Acceptance evidence</w:t>
            </w:r>
          </w:p>
        </w:tc>
        <w:tc>
          <w:tcPr>
            <w:tcW w:type="dxa" w:w="1060"/>
            <w:shd w:fill="111827"/>
            <w:vAlign w:val="top"/>
            <w:tcMar>
              <w:top w:w="90" w:type="dxa"/>
              <w:start w:w="120" w:type="dxa"/>
              <w:bottom w:w="90" w:type="dxa"/>
              <w:end w:w="120" w:type="dxa"/>
            </w:tcMar>
          </w:tcPr>
          <w:p>
            <w:r>
              <w:rPr>
                <w:rFonts w:ascii="Aptos" w:hAnsi="Aptos"/>
                <w:b/>
                <w:i w:val="0"/>
                <w:color w:val="FFFFFF"/>
                <w:sz w:val="16"/>
              </w:rPr>
              <w:t>Exit gate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Campaigns, audience, templates, delivery, inbound replies, contact correction and follow-up.</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Communications centre, preview, conversation inbox, failures and task queue.</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Idempotent jobs, provider adapters/webhooks, fallback policy, dead letters and consent enforcement.</w:t>
            </w:r>
          </w:p>
        </w:tc>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No duplicate send; do-not-contact enforced; inbound visible; provider outage recovered.</w:t>
            </w:r>
          </w:p>
        </w:tc>
        <w:tc>
          <w:tcPr>
            <w:tcW w:type="dxa" w:w="10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Approved templates and escalation policy.</w:t>
            </w:r>
          </w:p>
        </w:tc>
      </w:tr>
    </w:tbl>
    <w:p>
      <w:pPr>
        <w:widowControl/>
        <w:spacing w:after="0"/>
      </w:pPr>
    </w:p>
    <w:p>
      <w:pPr>
        <w:pStyle w:val="Heading3"/>
        <w:keepNext/>
        <w:widowControl/>
      </w:pPr>
      <w:r>
        <w:t>Slice completion rule</w:t>
      </w:r>
    </w:p>
    <w:p>
      <w:pPr>
        <w:keepLines w:val="0"/>
        <w:widowControl/>
      </w:pPr>
      <w:r>
        <w:rPr>
          <w:rFonts w:ascii="Aptos" w:hAnsi="Aptos"/>
          <w:b w:val="0"/>
          <w:i w:val="0"/>
          <w:color w:val="1F2937"/>
          <w:sz w:val="19"/>
        </w:rPr>
        <w:t>The slice is incomplete until code is committed, quality gates pass, the relevant deployment is verified, browser/device evidence is reviewed, documentation and traceability are updated, and an independent acceptance report confirms the stated criteria.</w:t>
      </w:r>
    </w:p>
    <w:p>
      <w:pPr>
        <w:pStyle w:val="Heading2"/>
        <w:keepNext/>
        <w:widowControl/>
      </w:pPr>
      <w:r>
        <w:t>Slice 5 — Venue layout</w:t>
      </w:r>
    </w:p>
    <w:tbl>
      <w:tblPr>
        <w:tblStyle w:val="TableGrid"/>
        <w:tblW w:type="dxa" w:w="9360"/>
        <w:jc w:val="left"/>
        <w:tblLayout w:type="fixed"/>
        <w:tblLook w:firstColumn="1" w:firstRow="1" w:lastColumn="0" w:lastRow="0" w:noHBand="0" w:noVBand="1" w:val="04A0"/>
        <w:tblInd w:w="120" w:type="dxa"/>
      </w:tblPr>
      <w:tblGrid>
        <w:gridCol w:w="1800"/>
        <w:gridCol w:w="2200"/>
        <w:gridCol w:w="2200"/>
        <w:gridCol w:w="2100"/>
        <w:gridCol w:w="1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6"/>
              </w:rPr>
              <w:t>Scope</w:t>
            </w:r>
          </w:p>
        </w:tc>
        <w:tc>
          <w:tcPr>
            <w:tcW w:type="dxa" w:w="2200"/>
            <w:shd w:fill="111827"/>
            <w:vAlign w:val="top"/>
            <w:tcMar>
              <w:top w:w="90" w:type="dxa"/>
              <w:start w:w="120" w:type="dxa"/>
              <w:bottom w:w="90" w:type="dxa"/>
              <w:end w:w="120" w:type="dxa"/>
            </w:tcMar>
          </w:tcPr>
          <w:p>
            <w:r>
              <w:rPr>
                <w:rFonts w:ascii="Aptos" w:hAnsi="Aptos"/>
                <w:b/>
                <w:i w:val="0"/>
                <w:color w:val="FFFFFF"/>
                <w:sz w:val="16"/>
              </w:rPr>
              <w:t>Frontend deliverable</w:t>
            </w:r>
          </w:p>
        </w:tc>
        <w:tc>
          <w:tcPr>
            <w:tcW w:type="dxa" w:w="2200"/>
            <w:shd w:fill="111827"/>
            <w:vAlign w:val="top"/>
            <w:tcMar>
              <w:top w:w="90" w:type="dxa"/>
              <w:start w:w="120" w:type="dxa"/>
              <w:bottom w:w="90" w:type="dxa"/>
              <w:end w:w="120" w:type="dxa"/>
            </w:tcMar>
          </w:tcPr>
          <w:p>
            <w:r>
              <w:rPr>
                <w:rFonts w:ascii="Aptos" w:hAnsi="Aptos"/>
                <w:b/>
                <w:i w:val="0"/>
                <w:color w:val="FFFFFF"/>
                <w:sz w:val="16"/>
              </w:rPr>
              <w:t>Backend/data deliverable</w:t>
            </w:r>
          </w:p>
        </w:tc>
        <w:tc>
          <w:tcPr>
            <w:tcW w:type="dxa" w:w="2100"/>
            <w:shd w:fill="111827"/>
            <w:vAlign w:val="top"/>
            <w:tcMar>
              <w:top w:w="90" w:type="dxa"/>
              <w:start w:w="120" w:type="dxa"/>
              <w:bottom w:w="90" w:type="dxa"/>
              <w:end w:w="120" w:type="dxa"/>
            </w:tcMar>
          </w:tcPr>
          <w:p>
            <w:r>
              <w:rPr>
                <w:rFonts w:ascii="Aptos" w:hAnsi="Aptos"/>
                <w:b/>
                <w:i w:val="0"/>
                <w:color w:val="FFFFFF"/>
                <w:sz w:val="16"/>
              </w:rPr>
              <w:t>Acceptance evidence</w:t>
            </w:r>
          </w:p>
        </w:tc>
        <w:tc>
          <w:tcPr>
            <w:tcW w:type="dxa" w:w="1060"/>
            <w:shd w:fill="111827"/>
            <w:vAlign w:val="top"/>
            <w:tcMar>
              <w:top w:w="90" w:type="dxa"/>
              <w:start w:w="120" w:type="dxa"/>
              <w:bottom w:w="90" w:type="dxa"/>
              <w:end w:w="120" w:type="dxa"/>
            </w:tcMar>
          </w:tcPr>
          <w:p>
            <w:r>
              <w:rPr>
                <w:rFonts w:ascii="Aptos" w:hAnsi="Aptos"/>
                <w:b/>
                <w:i w:val="0"/>
                <w:color w:val="FFFFFF"/>
                <w:sz w:val="16"/>
              </w:rPr>
              <w:t>Exit gate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Venue, zones, tables, seats, fixtures, safe areas, snapshots and capacity assurance.</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Responsive Konva layout studio, version compare, validation and publication.</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Versioned layout domain, capacity rules, asset handling and publication.</w:t>
            </w:r>
          </w:p>
        </w:tc>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Undo/redo, snapshot restore, accessibility, large layout performance and capacity conflicts pass.</w:t>
            </w:r>
          </w:p>
        </w:tc>
        <w:tc>
          <w:tcPr>
            <w:tcW w:type="dxa" w:w="10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Venue facts and spatial conventions approved.</w:t>
            </w:r>
          </w:p>
        </w:tc>
      </w:tr>
    </w:tbl>
    <w:p>
      <w:pPr>
        <w:widowControl/>
        <w:spacing w:after="0"/>
      </w:pPr>
    </w:p>
    <w:p>
      <w:pPr>
        <w:pStyle w:val="Heading3"/>
        <w:keepNext/>
        <w:widowControl/>
      </w:pPr>
      <w:r>
        <w:t>Slice completion rule</w:t>
      </w:r>
    </w:p>
    <w:p>
      <w:pPr>
        <w:keepLines w:val="0"/>
        <w:widowControl/>
      </w:pPr>
      <w:r>
        <w:rPr>
          <w:rFonts w:ascii="Aptos" w:hAnsi="Aptos"/>
          <w:b w:val="0"/>
          <w:i w:val="0"/>
          <w:color w:val="1F2937"/>
          <w:sz w:val="19"/>
        </w:rPr>
        <w:t>The slice is incomplete until code is committed, quality gates pass, the relevant deployment is verified, browser/device evidence is reviewed, documentation and traceability are updated, and an independent acceptance report confirms the stated criteria.</w:t>
      </w:r>
    </w:p>
    <w:p>
      <w:pPr>
        <w:pStyle w:val="Heading2"/>
        <w:keepNext/>
        <w:widowControl/>
      </w:pPr>
      <w:r>
        <w:t>Slice 6 — Seating allocation</w:t>
      </w:r>
    </w:p>
    <w:tbl>
      <w:tblPr>
        <w:tblStyle w:val="TableGrid"/>
        <w:tblW w:type="dxa" w:w="9360"/>
        <w:jc w:val="left"/>
        <w:tblLayout w:type="fixed"/>
        <w:tblLook w:firstColumn="1" w:firstRow="1" w:lastColumn="0" w:lastRow="0" w:noHBand="0" w:noVBand="1" w:val="04A0"/>
        <w:tblInd w:w="120" w:type="dxa"/>
      </w:tblPr>
      <w:tblGrid>
        <w:gridCol w:w="1800"/>
        <w:gridCol w:w="2200"/>
        <w:gridCol w:w="2200"/>
        <w:gridCol w:w="2100"/>
        <w:gridCol w:w="1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6"/>
              </w:rPr>
              <w:t>Scope</w:t>
            </w:r>
          </w:p>
        </w:tc>
        <w:tc>
          <w:tcPr>
            <w:tcW w:type="dxa" w:w="2200"/>
            <w:shd w:fill="111827"/>
            <w:vAlign w:val="top"/>
            <w:tcMar>
              <w:top w:w="90" w:type="dxa"/>
              <w:start w:w="120" w:type="dxa"/>
              <w:bottom w:w="90" w:type="dxa"/>
              <w:end w:w="120" w:type="dxa"/>
            </w:tcMar>
          </w:tcPr>
          <w:p>
            <w:r>
              <w:rPr>
                <w:rFonts w:ascii="Aptos" w:hAnsi="Aptos"/>
                <w:b/>
                <w:i w:val="0"/>
                <w:color w:val="FFFFFF"/>
                <w:sz w:val="16"/>
              </w:rPr>
              <w:t>Frontend deliverable</w:t>
            </w:r>
          </w:p>
        </w:tc>
        <w:tc>
          <w:tcPr>
            <w:tcW w:type="dxa" w:w="2200"/>
            <w:shd w:fill="111827"/>
            <w:vAlign w:val="top"/>
            <w:tcMar>
              <w:top w:w="90" w:type="dxa"/>
              <w:start w:w="120" w:type="dxa"/>
              <w:bottom w:w="90" w:type="dxa"/>
              <w:end w:w="120" w:type="dxa"/>
            </w:tcMar>
          </w:tcPr>
          <w:p>
            <w:r>
              <w:rPr>
                <w:rFonts w:ascii="Aptos" w:hAnsi="Aptos"/>
                <w:b/>
                <w:i w:val="0"/>
                <w:color w:val="FFFFFF"/>
                <w:sz w:val="16"/>
              </w:rPr>
              <w:t>Backend/data deliverable</w:t>
            </w:r>
          </w:p>
        </w:tc>
        <w:tc>
          <w:tcPr>
            <w:tcW w:type="dxa" w:w="2100"/>
            <w:shd w:fill="111827"/>
            <w:vAlign w:val="top"/>
            <w:tcMar>
              <w:top w:w="90" w:type="dxa"/>
              <w:start w:w="120" w:type="dxa"/>
              <w:bottom w:w="90" w:type="dxa"/>
              <w:end w:w="120" w:type="dxa"/>
            </w:tcMar>
          </w:tcPr>
          <w:p>
            <w:r>
              <w:rPr>
                <w:rFonts w:ascii="Aptos" w:hAnsi="Aptos"/>
                <w:b/>
                <w:i w:val="0"/>
                <w:color w:val="FFFFFF"/>
                <w:sz w:val="16"/>
              </w:rPr>
              <w:t>Acceptance evidence</w:t>
            </w:r>
          </w:p>
        </w:tc>
        <w:tc>
          <w:tcPr>
            <w:tcW w:type="dxa" w:w="1060"/>
            <w:shd w:fill="111827"/>
            <w:vAlign w:val="top"/>
            <w:tcMar>
              <w:top w:w="90" w:type="dxa"/>
              <w:start w:w="120" w:type="dxa"/>
              <w:bottom w:w="90" w:type="dxa"/>
              <w:end w:w="120" w:type="dxa"/>
            </w:tcMar>
          </w:tcPr>
          <w:p>
            <w:r>
              <w:rPr>
                <w:rFonts w:ascii="Aptos" w:hAnsi="Aptos"/>
                <w:b/>
                <w:i w:val="0"/>
                <w:color w:val="FFFFFF"/>
                <w:sz w:val="16"/>
              </w:rPr>
              <w:t>Exit gate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Constraints, reservation blocks, solver, review, editing, protocol/VIP approval and publication.</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Constraint workbench, run comparison, explanation, infeasibility, manual edit and approval.</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Versioned solver contract, input hashing, stateless service, allocation/audit records.</w:t>
            </w:r>
          </w:p>
        </w:tc>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Determinism, hard constraints, 600 guests, impossible case, privacy-minimised payload and human approval pass.</w:t>
            </w:r>
          </w:p>
        </w:tc>
        <w:tc>
          <w:tcPr>
            <w:tcW w:type="dxa" w:w="10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Solver architecture and sealed holdout authorisation.</w:t>
            </w:r>
          </w:p>
        </w:tc>
      </w:tr>
    </w:tbl>
    <w:p>
      <w:pPr>
        <w:widowControl/>
        <w:spacing w:after="0"/>
      </w:pPr>
    </w:p>
    <w:p>
      <w:pPr>
        <w:pStyle w:val="Heading3"/>
        <w:keepNext/>
        <w:widowControl/>
      </w:pPr>
      <w:r>
        <w:t>Slice completion rule</w:t>
      </w:r>
    </w:p>
    <w:p>
      <w:pPr>
        <w:keepLines w:val="0"/>
        <w:widowControl/>
      </w:pPr>
      <w:r>
        <w:rPr>
          <w:rFonts w:ascii="Aptos" w:hAnsi="Aptos"/>
          <w:b w:val="0"/>
          <w:i w:val="0"/>
          <w:color w:val="1F2937"/>
          <w:sz w:val="19"/>
        </w:rPr>
        <w:t>The slice is incomplete until code is committed, quality gates pass, the relevant deployment is verified, browser/device evidence is reviewed, documentation and traceability are updated, and an independent acceptance report confirms the stated criteria.</w:t>
      </w:r>
    </w:p>
    <w:p>
      <w:pPr>
        <w:pStyle w:val="Heading2"/>
        <w:keepNext/>
        <w:widowControl/>
      </w:pPr>
      <w:r>
        <w:t>Slice 7 — Credentials and QR</w:t>
      </w:r>
    </w:p>
    <w:tbl>
      <w:tblPr>
        <w:tblStyle w:val="TableGrid"/>
        <w:tblW w:type="dxa" w:w="9360"/>
        <w:jc w:val="left"/>
        <w:tblLayout w:type="fixed"/>
        <w:tblLook w:firstColumn="1" w:firstRow="1" w:lastColumn="0" w:lastRow="0" w:noHBand="0" w:noVBand="1" w:val="04A0"/>
        <w:tblInd w:w="120" w:type="dxa"/>
      </w:tblPr>
      <w:tblGrid>
        <w:gridCol w:w="1800"/>
        <w:gridCol w:w="2200"/>
        <w:gridCol w:w="2200"/>
        <w:gridCol w:w="2100"/>
        <w:gridCol w:w="1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6"/>
              </w:rPr>
              <w:t>Scope</w:t>
            </w:r>
          </w:p>
        </w:tc>
        <w:tc>
          <w:tcPr>
            <w:tcW w:type="dxa" w:w="2200"/>
            <w:shd w:fill="111827"/>
            <w:vAlign w:val="top"/>
            <w:tcMar>
              <w:top w:w="90" w:type="dxa"/>
              <w:start w:w="120" w:type="dxa"/>
              <w:bottom w:w="90" w:type="dxa"/>
              <w:end w:w="120" w:type="dxa"/>
            </w:tcMar>
          </w:tcPr>
          <w:p>
            <w:r>
              <w:rPr>
                <w:rFonts w:ascii="Aptos" w:hAnsi="Aptos"/>
                <w:b/>
                <w:i w:val="0"/>
                <w:color w:val="FFFFFF"/>
                <w:sz w:val="16"/>
              </w:rPr>
              <w:t>Frontend deliverable</w:t>
            </w:r>
          </w:p>
        </w:tc>
        <w:tc>
          <w:tcPr>
            <w:tcW w:type="dxa" w:w="2200"/>
            <w:shd w:fill="111827"/>
            <w:vAlign w:val="top"/>
            <w:tcMar>
              <w:top w:w="90" w:type="dxa"/>
              <w:start w:w="120" w:type="dxa"/>
              <w:bottom w:w="90" w:type="dxa"/>
              <w:end w:w="120" w:type="dxa"/>
            </w:tcMar>
          </w:tcPr>
          <w:p>
            <w:r>
              <w:rPr>
                <w:rFonts w:ascii="Aptos" w:hAnsi="Aptos"/>
                <w:b/>
                <w:i w:val="0"/>
                <w:color w:val="FFFFFF"/>
                <w:sz w:val="16"/>
              </w:rPr>
              <w:t>Backend/data deliverable</w:t>
            </w:r>
          </w:p>
        </w:tc>
        <w:tc>
          <w:tcPr>
            <w:tcW w:type="dxa" w:w="2100"/>
            <w:shd w:fill="111827"/>
            <w:vAlign w:val="top"/>
            <w:tcMar>
              <w:top w:w="90" w:type="dxa"/>
              <w:start w:w="120" w:type="dxa"/>
              <w:bottom w:w="90" w:type="dxa"/>
              <w:end w:w="120" w:type="dxa"/>
            </w:tcMar>
          </w:tcPr>
          <w:p>
            <w:r>
              <w:rPr>
                <w:rFonts w:ascii="Aptos" w:hAnsi="Aptos"/>
                <w:b/>
                <w:i w:val="0"/>
                <w:color w:val="FFFFFF"/>
                <w:sz w:val="16"/>
              </w:rPr>
              <w:t>Acceptance evidence</w:t>
            </w:r>
          </w:p>
        </w:tc>
        <w:tc>
          <w:tcPr>
            <w:tcW w:type="dxa" w:w="1060"/>
            <w:shd w:fill="111827"/>
            <w:vAlign w:val="top"/>
            <w:tcMar>
              <w:top w:w="90" w:type="dxa"/>
              <w:start w:w="120" w:type="dxa"/>
              <w:bottom w:w="90" w:type="dxa"/>
              <w:end w:w="120" w:type="dxa"/>
            </w:tcMar>
          </w:tcPr>
          <w:p>
            <w:r>
              <w:rPr>
                <w:rFonts w:ascii="Aptos" w:hAnsi="Aptos"/>
                <w:b/>
                <w:i w:val="0"/>
                <w:color w:val="FFFFFF"/>
                <w:sz w:val="16"/>
              </w:rPr>
              <w:t>Exit gate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Templates, opaque credentials, cards, delivery, revocation, regeneration and seating-change handling.</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Credential studio, preview, issue status, revoke/regenerate and guest card.</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Signed/secure tokens, credential ledger, rendering, storage and scan-resolution contract.</w:t>
            </w:r>
          </w:p>
        </w:tc>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No PII; expiry/replay/revocation; lighting test; stale seating card; duplicate scan pass.</w:t>
            </w:r>
          </w:p>
        </w:tc>
        <w:tc>
          <w:tcPr>
            <w:tcW w:type="dxa" w:w="10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Security threat model approved.</w:t>
            </w:r>
          </w:p>
        </w:tc>
      </w:tr>
    </w:tbl>
    <w:p>
      <w:pPr>
        <w:widowControl/>
        <w:spacing w:after="0"/>
      </w:pPr>
    </w:p>
    <w:p>
      <w:pPr>
        <w:pStyle w:val="Heading3"/>
        <w:keepNext/>
        <w:widowControl/>
      </w:pPr>
      <w:r>
        <w:t>Slice completion rule</w:t>
      </w:r>
    </w:p>
    <w:p>
      <w:pPr>
        <w:keepLines w:val="0"/>
        <w:widowControl/>
      </w:pPr>
      <w:r>
        <w:rPr>
          <w:rFonts w:ascii="Aptos" w:hAnsi="Aptos"/>
          <w:b w:val="0"/>
          <w:i w:val="0"/>
          <w:color w:val="1F2937"/>
          <w:sz w:val="19"/>
        </w:rPr>
        <w:t>The slice is incomplete until code is committed, quality gates pass, the relevant deployment is verified, browser/device evidence is reviewed, documentation and traceability are updated, and an independent acceptance report confirms the stated criteria.</w:t>
      </w:r>
    </w:p>
    <w:p>
      <w:pPr>
        <w:pStyle w:val="Heading2"/>
        <w:keepNext/>
        <w:widowControl/>
      </w:pPr>
      <w:r>
        <w:t>Slice 8 — EDR and check-in</w:t>
      </w:r>
    </w:p>
    <w:tbl>
      <w:tblPr>
        <w:tblStyle w:val="TableGrid"/>
        <w:tblW w:type="dxa" w:w="9360"/>
        <w:jc w:val="left"/>
        <w:tblLayout w:type="fixed"/>
        <w:tblLook w:firstColumn="1" w:firstRow="1" w:lastColumn="0" w:lastRow="0" w:noHBand="0" w:noVBand="1" w:val="04A0"/>
        <w:tblInd w:w="120" w:type="dxa"/>
      </w:tblPr>
      <w:tblGrid>
        <w:gridCol w:w="1800"/>
        <w:gridCol w:w="2200"/>
        <w:gridCol w:w="2200"/>
        <w:gridCol w:w="2100"/>
        <w:gridCol w:w="1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6"/>
              </w:rPr>
              <w:t>Scope</w:t>
            </w:r>
          </w:p>
        </w:tc>
        <w:tc>
          <w:tcPr>
            <w:tcW w:type="dxa" w:w="2200"/>
            <w:shd w:fill="111827"/>
            <w:vAlign w:val="top"/>
            <w:tcMar>
              <w:top w:w="90" w:type="dxa"/>
              <w:start w:w="120" w:type="dxa"/>
              <w:bottom w:w="90" w:type="dxa"/>
              <w:end w:w="120" w:type="dxa"/>
            </w:tcMar>
          </w:tcPr>
          <w:p>
            <w:r>
              <w:rPr>
                <w:rFonts w:ascii="Aptos" w:hAnsi="Aptos"/>
                <w:b/>
                <w:i w:val="0"/>
                <w:color w:val="FFFFFF"/>
                <w:sz w:val="16"/>
              </w:rPr>
              <w:t>Frontend deliverable</w:t>
            </w:r>
          </w:p>
        </w:tc>
        <w:tc>
          <w:tcPr>
            <w:tcW w:type="dxa" w:w="2200"/>
            <w:shd w:fill="111827"/>
            <w:vAlign w:val="top"/>
            <w:tcMar>
              <w:top w:w="90" w:type="dxa"/>
              <w:start w:w="120" w:type="dxa"/>
              <w:bottom w:w="90" w:type="dxa"/>
              <w:end w:w="120" w:type="dxa"/>
            </w:tcMar>
          </w:tcPr>
          <w:p>
            <w:r>
              <w:rPr>
                <w:rFonts w:ascii="Aptos" w:hAnsi="Aptos"/>
                <w:b/>
                <w:i w:val="0"/>
                <w:color w:val="FFFFFF"/>
                <w:sz w:val="16"/>
              </w:rPr>
              <w:t>Backend/data deliverable</w:t>
            </w:r>
          </w:p>
        </w:tc>
        <w:tc>
          <w:tcPr>
            <w:tcW w:type="dxa" w:w="2100"/>
            <w:shd w:fill="111827"/>
            <w:vAlign w:val="top"/>
            <w:tcMar>
              <w:top w:w="90" w:type="dxa"/>
              <w:start w:w="120" w:type="dxa"/>
              <w:bottom w:w="90" w:type="dxa"/>
              <w:end w:w="120" w:type="dxa"/>
            </w:tcMar>
          </w:tcPr>
          <w:p>
            <w:r>
              <w:rPr>
                <w:rFonts w:ascii="Aptos" w:hAnsi="Aptos"/>
                <w:b/>
                <w:i w:val="0"/>
                <w:color w:val="FFFFFF"/>
                <w:sz w:val="16"/>
              </w:rPr>
              <w:t>Acceptance evidence</w:t>
            </w:r>
          </w:p>
        </w:tc>
        <w:tc>
          <w:tcPr>
            <w:tcW w:type="dxa" w:w="1060"/>
            <w:shd w:fill="111827"/>
            <w:vAlign w:val="top"/>
            <w:tcMar>
              <w:top w:w="90" w:type="dxa"/>
              <w:start w:w="120" w:type="dxa"/>
              <w:bottom w:w="90" w:type="dxa"/>
              <w:end w:w="120" w:type="dxa"/>
            </w:tcMar>
          </w:tcPr>
          <w:p>
            <w:r>
              <w:rPr>
                <w:rFonts w:ascii="Aptos" w:hAnsi="Aptos"/>
                <w:b/>
                <w:i w:val="0"/>
                <w:color w:val="FFFFFF"/>
                <w:sz w:val="16"/>
              </w:rPr>
              <w:t>Exit gate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Snapshot publication, devices, offline operation, ledger, conflicts, walk-ins, capacity, close and reconciliation.</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Event-day command, device provisioning, scanner/kiosk/concierge, conflict and reconciliation workspaces.</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EDR sole authority, local cache contract, idempotency, SSE, dead letters and outcome import.</w:t>
            </w:r>
          </w:p>
        </w:tc>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9 devices/15 sessions; offline burst; duplicate admission; device loss; director close; checksum reconciliation pass.</w:t>
            </w:r>
          </w:p>
        </w:tc>
        <w:tc>
          <w:tcPr>
            <w:tcW w:type="dxa" w:w="10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Operational readiness review and supervised simulation.</w:t>
            </w:r>
          </w:p>
        </w:tc>
      </w:tr>
    </w:tbl>
    <w:p>
      <w:pPr>
        <w:widowControl/>
        <w:spacing w:after="0"/>
      </w:pPr>
    </w:p>
    <w:p>
      <w:pPr>
        <w:pStyle w:val="Heading3"/>
        <w:keepNext/>
        <w:widowControl/>
      </w:pPr>
      <w:r>
        <w:t>Slice completion rule</w:t>
      </w:r>
    </w:p>
    <w:p>
      <w:pPr>
        <w:keepLines w:val="0"/>
        <w:widowControl/>
      </w:pPr>
      <w:r>
        <w:rPr>
          <w:rFonts w:ascii="Aptos" w:hAnsi="Aptos"/>
          <w:b w:val="0"/>
          <w:i w:val="0"/>
          <w:color w:val="1F2937"/>
          <w:sz w:val="19"/>
        </w:rPr>
        <w:t>The slice is incomplete until code is committed, quality gates pass, the relevant deployment is verified, browser/device evidence is reviewed, documentation and traceability are updated, and an independent acceptance report confirms the stated criteria.</w:t>
      </w:r>
    </w:p>
    <w:p>
      <w:pPr>
        <w:pStyle w:val="Heading2"/>
        <w:keepNext/>
        <w:widowControl/>
      </w:pPr>
      <w:r>
        <w:t>Slice 9 — Standards, readiness and operational intelligence</w:t>
      </w:r>
    </w:p>
    <w:tbl>
      <w:tblPr>
        <w:tblStyle w:val="TableGrid"/>
        <w:tblW w:type="dxa" w:w="9360"/>
        <w:jc w:val="left"/>
        <w:tblLayout w:type="fixed"/>
        <w:tblLook w:firstColumn="1" w:firstRow="1" w:lastColumn="0" w:lastRow="0" w:noHBand="0" w:noVBand="1" w:val="04A0"/>
        <w:tblInd w:w="120" w:type="dxa"/>
      </w:tblPr>
      <w:tblGrid>
        <w:gridCol w:w="1800"/>
        <w:gridCol w:w="2200"/>
        <w:gridCol w:w="2200"/>
        <w:gridCol w:w="2100"/>
        <w:gridCol w:w="1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6"/>
              </w:rPr>
              <w:t>Scope</w:t>
            </w:r>
          </w:p>
        </w:tc>
        <w:tc>
          <w:tcPr>
            <w:tcW w:type="dxa" w:w="2200"/>
            <w:shd w:fill="111827"/>
            <w:vAlign w:val="top"/>
            <w:tcMar>
              <w:top w:w="90" w:type="dxa"/>
              <w:start w:w="120" w:type="dxa"/>
              <w:bottom w:w="90" w:type="dxa"/>
              <w:end w:w="120" w:type="dxa"/>
            </w:tcMar>
          </w:tcPr>
          <w:p>
            <w:r>
              <w:rPr>
                <w:rFonts w:ascii="Aptos" w:hAnsi="Aptos"/>
                <w:b/>
                <w:i w:val="0"/>
                <w:color w:val="FFFFFF"/>
                <w:sz w:val="16"/>
              </w:rPr>
              <w:t>Frontend deliverable</w:t>
            </w:r>
          </w:p>
        </w:tc>
        <w:tc>
          <w:tcPr>
            <w:tcW w:type="dxa" w:w="2200"/>
            <w:shd w:fill="111827"/>
            <w:vAlign w:val="top"/>
            <w:tcMar>
              <w:top w:w="90" w:type="dxa"/>
              <w:start w:w="120" w:type="dxa"/>
              <w:bottom w:w="90" w:type="dxa"/>
              <w:end w:w="120" w:type="dxa"/>
            </w:tcMar>
          </w:tcPr>
          <w:p>
            <w:r>
              <w:rPr>
                <w:rFonts w:ascii="Aptos" w:hAnsi="Aptos"/>
                <w:b/>
                <w:i w:val="0"/>
                <w:color w:val="FFFFFF"/>
                <w:sz w:val="16"/>
              </w:rPr>
              <w:t>Backend/data deliverable</w:t>
            </w:r>
          </w:p>
        </w:tc>
        <w:tc>
          <w:tcPr>
            <w:tcW w:type="dxa" w:w="2100"/>
            <w:shd w:fill="111827"/>
            <w:vAlign w:val="top"/>
            <w:tcMar>
              <w:top w:w="90" w:type="dxa"/>
              <w:start w:w="120" w:type="dxa"/>
              <w:bottom w:w="90" w:type="dxa"/>
              <w:end w:w="120" w:type="dxa"/>
            </w:tcMar>
          </w:tcPr>
          <w:p>
            <w:r>
              <w:rPr>
                <w:rFonts w:ascii="Aptos" w:hAnsi="Aptos"/>
                <w:b/>
                <w:i w:val="0"/>
                <w:color w:val="FFFFFF"/>
                <w:sz w:val="16"/>
              </w:rPr>
              <w:t>Acceptance evidence</w:t>
            </w:r>
          </w:p>
        </w:tc>
        <w:tc>
          <w:tcPr>
            <w:tcW w:type="dxa" w:w="1060"/>
            <w:shd w:fill="111827"/>
            <w:vAlign w:val="top"/>
            <w:tcMar>
              <w:top w:w="90" w:type="dxa"/>
              <w:start w:w="120" w:type="dxa"/>
              <w:bottom w:w="90" w:type="dxa"/>
              <w:end w:w="120" w:type="dxa"/>
            </w:tcMar>
          </w:tcPr>
          <w:p>
            <w:r>
              <w:rPr>
                <w:rFonts w:ascii="Aptos" w:hAnsi="Aptos"/>
                <w:b/>
                <w:i w:val="0"/>
                <w:color w:val="FFFFFF"/>
                <w:sz w:val="16"/>
              </w:rPr>
              <w:t>Exit gate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Knowledge applicability, standard plans, evidence, readiness, risks, alerts, decisions and outcome verification.</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Standards/readiness, decision queue, command intelligence cards and CEO filter.</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Knowledge/versioning, assurance contracts, signal pipeline, recommendation and approval workflow.</w:t>
            </w:r>
          </w:p>
        </w:tc>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Unknown/stale/contradicted states; explainability; evidence-before-Green; escalation and AI shadow tests pass.</w:t>
            </w:r>
          </w:p>
        </w:tc>
        <w:tc>
          <w:tcPr>
            <w:tcW w:type="dxa" w:w="10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CEO ratifies knowledge/decision authority.</w:t>
            </w:r>
          </w:p>
        </w:tc>
      </w:tr>
    </w:tbl>
    <w:p>
      <w:pPr>
        <w:widowControl/>
        <w:spacing w:after="0"/>
      </w:pPr>
    </w:p>
    <w:p>
      <w:pPr>
        <w:pStyle w:val="Heading3"/>
        <w:keepNext/>
        <w:widowControl/>
      </w:pPr>
      <w:r>
        <w:t>Slice completion rule</w:t>
      </w:r>
    </w:p>
    <w:p>
      <w:pPr>
        <w:keepLines w:val="0"/>
        <w:widowControl/>
      </w:pPr>
      <w:r>
        <w:rPr>
          <w:rFonts w:ascii="Aptos" w:hAnsi="Aptos"/>
          <w:b w:val="0"/>
          <w:i w:val="0"/>
          <w:color w:val="1F2937"/>
          <w:sz w:val="19"/>
        </w:rPr>
        <w:t>The slice is incomplete until code is committed, quality gates pass, the relevant deployment is verified, browser/device evidence is reviewed, documentation and traceability are updated, and an independent acceptance report confirms the stated criteria.</w:t>
      </w:r>
    </w:p>
    <w:p>
      <w:pPr>
        <w:pStyle w:val="Heading2"/>
        <w:keepNext/>
        <w:widowControl/>
      </w:pPr>
      <w:r>
        <w:t>Slice 10 — FaceGate gated integration</w:t>
      </w:r>
    </w:p>
    <w:tbl>
      <w:tblPr>
        <w:tblStyle w:val="TableGrid"/>
        <w:tblW w:type="dxa" w:w="9360"/>
        <w:jc w:val="left"/>
        <w:tblLayout w:type="fixed"/>
        <w:tblLook w:firstColumn="1" w:firstRow="1" w:lastColumn="0" w:lastRow="0" w:noHBand="0" w:noVBand="1" w:val="04A0"/>
        <w:tblInd w:w="120" w:type="dxa"/>
      </w:tblPr>
      <w:tblGrid>
        <w:gridCol w:w="1800"/>
        <w:gridCol w:w="2200"/>
        <w:gridCol w:w="2200"/>
        <w:gridCol w:w="2100"/>
        <w:gridCol w:w="1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6"/>
              </w:rPr>
              <w:t>Scope</w:t>
            </w:r>
          </w:p>
        </w:tc>
        <w:tc>
          <w:tcPr>
            <w:tcW w:type="dxa" w:w="2200"/>
            <w:shd w:fill="111827"/>
            <w:vAlign w:val="top"/>
            <w:tcMar>
              <w:top w:w="90" w:type="dxa"/>
              <w:start w:w="120" w:type="dxa"/>
              <w:bottom w:w="90" w:type="dxa"/>
              <w:end w:w="120" w:type="dxa"/>
            </w:tcMar>
          </w:tcPr>
          <w:p>
            <w:r>
              <w:rPr>
                <w:rFonts w:ascii="Aptos" w:hAnsi="Aptos"/>
                <w:b/>
                <w:i w:val="0"/>
                <w:color w:val="FFFFFF"/>
                <w:sz w:val="16"/>
              </w:rPr>
              <w:t>Frontend deliverable</w:t>
            </w:r>
          </w:p>
        </w:tc>
        <w:tc>
          <w:tcPr>
            <w:tcW w:type="dxa" w:w="2200"/>
            <w:shd w:fill="111827"/>
            <w:vAlign w:val="top"/>
            <w:tcMar>
              <w:top w:w="90" w:type="dxa"/>
              <w:start w:w="120" w:type="dxa"/>
              <w:bottom w:w="90" w:type="dxa"/>
              <w:end w:w="120" w:type="dxa"/>
            </w:tcMar>
          </w:tcPr>
          <w:p>
            <w:r>
              <w:rPr>
                <w:rFonts w:ascii="Aptos" w:hAnsi="Aptos"/>
                <w:b/>
                <w:i w:val="0"/>
                <w:color w:val="FFFFFF"/>
                <w:sz w:val="16"/>
              </w:rPr>
              <w:t>Backend/data deliverable</w:t>
            </w:r>
          </w:p>
        </w:tc>
        <w:tc>
          <w:tcPr>
            <w:tcW w:type="dxa" w:w="2100"/>
            <w:shd w:fill="111827"/>
            <w:vAlign w:val="top"/>
            <w:tcMar>
              <w:top w:w="90" w:type="dxa"/>
              <w:start w:w="120" w:type="dxa"/>
              <w:bottom w:w="90" w:type="dxa"/>
              <w:end w:w="120" w:type="dxa"/>
            </w:tcMar>
          </w:tcPr>
          <w:p>
            <w:r>
              <w:rPr>
                <w:rFonts w:ascii="Aptos" w:hAnsi="Aptos"/>
                <w:b/>
                <w:i w:val="0"/>
                <w:color w:val="FFFFFF"/>
                <w:sz w:val="16"/>
              </w:rPr>
              <w:t>Acceptance evidence</w:t>
            </w:r>
          </w:p>
        </w:tc>
        <w:tc>
          <w:tcPr>
            <w:tcW w:type="dxa" w:w="1060"/>
            <w:shd w:fill="111827"/>
            <w:vAlign w:val="top"/>
            <w:tcMar>
              <w:top w:w="90" w:type="dxa"/>
              <w:start w:w="120" w:type="dxa"/>
              <w:bottom w:w="90" w:type="dxa"/>
              <w:end w:w="120" w:type="dxa"/>
            </w:tcMar>
          </w:tcPr>
          <w:p>
            <w:r>
              <w:rPr>
                <w:rFonts w:ascii="Aptos" w:hAnsi="Aptos"/>
                <w:b/>
                <w:i w:val="0"/>
                <w:color w:val="FFFFFF"/>
                <w:sz w:val="16"/>
              </w:rPr>
              <w:t>Exit gate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Consent, enrolment, event mapping, biometric assertion, fallback and verified deletion.</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Consent/enrolment, gate operator, human review, withdrawal and deletion evidence.</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Isolated service, AWS adapter, EDR assertion, retention sweeper and audit.</w:t>
            </w:r>
          </w:p>
        </w:tc>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False/failed match, bias review, withdrawal, provider deletion, fallback and shadow-mode evaluation pass.</w:t>
            </w:r>
          </w:p>
        </w:tc>
        <w:tc>
          <w:tcPr>
            <w:tcW w:type="dxa" w:w="10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Legal, privacy, security and CEO production approval.</w:t>
            </w:r>
          </w:p>
        </w:tc>
      </w:tr>
    </w:tbl>
    <w:p>
      <w:pPr>
        <w:widowControl/>
        <w:spacing w:after="0"/>
      </w:pPr>
    </w:p>
    <w:p>
      <w:pPr>
        <w:pStyle w:val="Heading3"/>
        <w:keepNext/>
        <w:widowControl/>
      </w:pPr>
      <w:r>
        <w:t>Slice completion rule</w:t>
      </w:r>
    </w:p>
    <w:p>
      <w:pPr>
        <w:keepLines w:val="0"/>
        <w:widowControl/>
      </w:pPr>
      <w:r>
        <w:rPr>
          <w:rFonts w:ascii="Aptos" w:hAnsi="Aptos"/>
          <w:b w:val="0"/>
          <w:i w:val="0"/>
          <w:color w:val="1F2937"/>
          <w:sz w:val="19"/>
        </w:rPr>
        <w:t>The slice is incomplete until code is committed, quality gates pass, the relevant deployment is verified, browser/device evidence is reviewed, documentation and traceability are updated, and an independent acceptance report confirms the stated criteria.</w:t>
      </w:r>
    </w:p>
    <w:p>
      <w:pPr>
        <w:pStyle w:val="Heading2"/>
        <w:keepNext/>
        <w:widowControl/>
      </w:pPr>
      <w:r>
        <w:t>Slice 11 — Cross-event knowledge and learning</w:t>
      </w:r>
    </w:p>
    <w:tbl>
      <w:tblPr>
        <w:tblStyle w:val="TableGrid"/>
        <w:tblW w:type="dxa" w:w="9360"/>
        <w:jc w:val="left"/>
        <w:tblLayout w:type="fixed"/>
        <w:tblLook w:firstColumn="1" w:firstRow="1" w:lastColumn="0" w:lastRow="0" w:noHBand="0" w:noVBand="1" w:val="04A0"/>
        <w:tblInd w:w="120" w:type="dxa"/>
      </w:tblPr>
      <w:tblGrid>
        <w:gridCol w:w="1800"/>
        <w:gridCol w:w="2200"/>
        <w:gridCol w:w="2200"/>
        <w:gridCol w:w="2100"/>
        <w:gridCol w:w="1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6"/>
              </w:rPr>
              <w:t>Scope</w:t>
            </w:r>
          </w:p>
        </w:tc>
        <w:tc>
          <w:tcPr>
            <w:tcW w:type="dxa" w:w="2200"/>
            <w:shd w:fill="111827"/>
            <w:vAlign w:val="top"/>
            <w:tcMar>
              <w:top w:w="90" w:type="dxa"/>
              <w:start w:w="120" w:type="dxa"/>
              <w:bottom w:w="90" w:type="dxa"/>
              <w:end w:w="120" w:type="dxa"/>
            </w:tcMar>
          </w:tcPr>
          <w:p>
            <w:r>
              <w:rPr>
                <w:rFonts w:ascii="Aptos" w:hAnsi="Aptos"/>
                <w:b/>
                <w:i w:val="0"/>
                <w:color w:val="FFFFFF"/>
                <w:sz w:val="16"/>
              </w:rPr>
              <w:t>Frontend deliverable</w:t>
            </w:r>
          </w:p>
        </w:tc>
        <w:tc>
          <w:tcPr>
            <w:tcW w:type="dxa" w:w="2200"/>
            <w:shd w:fill="111827"/>
            <w:vAlign w:val="top"/>
            <w:tcMar>
              <w:top w:w="90" w:type="dxa"/>
              <w:start w:w="120" w:type="dxa"/>
              <w:bottom w:w="90" w:type="dxa"/>
              <w:end w:w="120" w:type="dxa"/>
            </w:tcMar>
          </w:tcPr>
          <w:p>
            <w:r>
              <w:rPr>
                <w:rFonts w:ascii="Aptos" w:hAnsi="Aptos"/>
                <w:b/>
                <w:i w:val="0"/>
                <w:color w:val="FFFFFF"/>
                <w:sz w:val="16"/>
              </w:rPr>
              <w:t>Backend/data deliverable</w:t>
            </w:r>
          </w:p>
        </w:tc>
        <w:tc>
          <w:tcPr>
            <w:tcW w:type="dxa" w:w="2100"/>
            <w:shd w:fill="111827"/>
            <w:vAlign w:val="top"/>
            <w:tcMar>
              <w:top w:w="90" w:type="dxa"/>
              <w:start w:w="120" w:type="dxa"/>
              <w:bottom w:w="90" w:type="dxa"/>
              <w:end w:w="120" w:type="dxa"/>
            </w:tcMar>
          </w:tcPr>
          <w:p>
            <w:r>
              <w:rPr>
                <w:rFonts w:ascii="Aptos" w:hAnsi="Aptos"/>
                <w:b/>
                <w:i w:val="0"/>
                <w:color w:val="FFFFFF"/>
                <w:sz w:val="16"/>
              </w:rPr>
              <w:t>Acceptance evidence</w:t>
            </w:r>
          </w:p>
        </w:tc>
        <w:tc>
          <w:tcPr>
            <w:tcW w:type="dxa" w:w="1060"/>
            <w:shd w:fill="111827"/>
            <w:vAlign w:val="top"/>
            <w:tcMar>
              <w:top w:w="90" w:type="dxa"/>
              <w:start w:w="120" w:type="dxa"/>
              <w:bottom w:w="90" w:type="dxa"/>
              <w:end w:w="120" w:type="dxa"/>
            </w:tcMar>
          </w:tcPr>
          <w:p>
            <w:r>
              <w:rPr>
                <w:rFonts w:ascii="Aptos" w:hAnsi="Aptos"/>
                <w:b/>
                <w:i w:val="0"/>
                <w:color w:val="FFFFFF"/>
                <w:sz w:val="16"/>
              </w:rPr>
              <w:t>Exit gate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Templates, governed PersonProfile, vendor history, verified lessons and portfolio intelligence.</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Knowledge library, match approval, learning review and portfolio dashboards.</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Purpose/consent controls, anonymisation, cohort rules and change proposals.</w:t>
            </w:r>
          </w:p>
        </w:tc>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No silent identity link; cross-client denial; reversible match; lesson cannot self-publish.</w:t>
            </w:r>
          </w:p>
        </w:tc>
        <w:tc>
          <w:tcPr>
            <w:tcW w:type="dxa" w:w="10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Cross-event policy and retention approved.</w:t>
            </w:r>
          </w:p>
        </w:tc>
      </w:tr>
    </w:tbl>
    <w:p>
      <w:pPr>
        <w:widowControl/>
        <w:spacing w:after="0"/>
      </w:pPr>
    </w:p>
    <w:p>
      <w:pPr>
        <w:pStyle w:val="Heading3"/>
        <w:keepNext/>
        <w:widowControl/>
      </w:pPr>
      <w:r>
        <w:t>Slice completion rule</w:t>
      </w:r>
    </w:p>
    <w:p>
      <w:pPr>
        <w:keepLines w:val="0"/>
        <w:widowControl/>
      </w:pPr>
      <w:r>
        <w:rPr>
          <w:rFonts w:ascii="Aptos" w:hAnsi="Aptos"/>
          <w:b w:val="0"/>
          <w:i w:val="0"/>
          <w:color w:val="1F2937"/>
          <w:sz w:val="19"/>
        </w:rPr>
        <w:t>The slice is incomplete until code is committed, quality gates pass, the relevant deployment is verified, browser/device evidence is reviewed, documentation and traceability are updated, and an independent acceptance report confirms the stated criteria.</w:t>
      </w:r>
    </w:p>
    <w:p>
      <w:pPr>
        <w:pStyle w:val="Heading2"/>
        <w:keepNext/>
        <w:widowControl/>
      </w:pPr>
      <w:r>
        <w:t>Slice 12 — Whole-system validation and release</w:t>
      </w:r>
    </w:p>
    <w:tbl>
      <w:tblPr>
        <w:tblStyle w:val="TableGrid"/>
        <w:tblW w:type="dxa" w:w="9360"/>
        <w:jc w:val="left"/>
        <w:tblLayout w:type="fixed"/>
        <w:tblLook w:firstColumn="1" w:firstRow="1" w:lastColumn="0" w:lastRow="0" w:noHBand="0" w:noVBand="1" w:val="04A0"/>
        <w:tblInd w:w="120" w:type="dxa"/>
      </w:tblPr>
      <w:tblGrid>
        <w:gridCol w:w="1800"/>
        <w:gridCol w:w="2200"/>
        <w:gridCol w:w="2200"/>
        <w:gridCol w:w="2100"/>
        <w:gridCol w:w="1060"/>
      </w:tblGrid>
      <w:tr>
        <w:trPr>
          <w:tblHeader w:val="true"/>
        </w:trPr>
        <w:tc>
          <w:tcPr>
            <w:tcW w:type="dxa" w:w="1800"/>
            <w:shd w:fill="111827"/>
            <w:vAlign w:val="top"/>
            <w:tcMar>
              <w:top w:w="90" w:type="dxa"/>
              <w:start w:w="120" w:type="dxa"/>
              <w:bottom w:w="90" w:type="dxa"/>
              <w:end w:w="120" w:type="dxa"/>
            </w:tcMar>
          </w:tcPr>
          <w:p>
            <w:r>
              <w:rPr>
                <w:rFonts w:ascii="Aptos" w:hAnsi="Aptos"/>
                <w:b/>
                <w:i w:val="0"/>
                <w:color w:val="FFFFFF"/>
                <w:sz w:val="16"/>
              </w:rPr>
              <w:t>Scope</w:t>
            </w:r>
          </w:p>
        </w:tc>
        <w:tc>
          <w:tcPr>
            <w:tcW w:type="dxa" w:w="2200"/>
            <w:shd w:fill="111827"/>
            <w:vAlign w:val="top"/>
            <w:tcMar>
              <w:top w:w="90" w:type="dxa"/>
              <w:start w:w="120" w:type="dxa"/>
              <w:bottom w:w="90" w:type="dxa"/>
              <w:end w:w="120" w:type="dxa"/>
            </w:tcMar>
          </w:tcPr>
          <w:p>
            <w:r>
              <w:rPr>
                <w:rFonts w:ascii="Aptos" w:hAnsi="Aptos"/>
                <w:b/>
                <w:i w:val="0"/>
                <w:color w:val="FFFFFF"/>
                <w:sz w:val="16"/>
              </w:rPr>
              <w:t>Frontend deliverable</w:t>
            </w:r>
          </w:p>
        </w:tc>
        <w:tc>
          <w:tcPr>
            <w:tcW w:type="dxa" w:w="2200"/>
            <w:shd w:fill="111827"/>
            <w:vAlign w:val="top"/>
            <w:tcMar>
              <w:top w:w="90" w:type="dxa"/>
              <w:start w:w="120" w:type="dxa"/>
              <w:bottom w:w="90" w:type="dxa"/>
              <w:end w:w="120" w:type="dxa"/>
            </w:tcMar>
          </w:tcPr>
          <w:p>
            <w:r>
              <w:rPr>
                <w:rFonts w:ascii="Aptos" w:hAnsi="Aptos"/>
                <w:b/>
                <w:i w:val="0"/>
                <w:color w:val="FFFFFF"/>
                <w:sz w:val="16"/>
              </w:rPr>
              <w:t>Backend/data deliverable</w:t>
            </w:r>
          </w:p>
        </w:tc>
        <w:tc>
          <w:tcPr>
            <w:tcW w:type="dxa" w:w="2100"/>
            <w:shd w:fill="111827"/>
            <w:vAlign w:val="top"/>
            <w:tcMar>
              <w:top w:w="90" w:type="dxa"/>
              <w:start w:w="120" w:type="dxa"/>
              <w:bottom w:w="90" w:type="dxa"/>
              <w:end w:w="120" w:type="dxa"/>
            </w:tcMar>
          </w:tcPr>
          <w:p>
            <w:r>
              <w:rPr>
                <w:rFonts w:ascii="Aptos" w:hAnsi="Aptos"/>
                <w:b/>
                <w:i w:val="0"/>
                <w:color w:val="FFFFFF"/>
                <w:sz w:val="16"/>
              </w:rPr>
              <w:t>Acceptance evidence</w:t>
            </w:r>
          </w:p>
        </w:tc>
        <w:tc>
          <w:tcPr>
            <w:tcW w:type="dxa" w:w="1060"/>
            <w:shd w:fill="111827"/>
            <w:vAlign w:val="top"/>
            <w:tcMar>
              <w:top w:w="90" w:type="dxa"/>
              <w:start w:w="120" w:type="dxa"/>
              <w:bottom w:w="90" w:type="dxa"/>
              <w:end w:w="120" w:type="dxa"/>
            </w:tcMar>
          </w:tcPr>
          <w:p>
            <w:r>
              <w:rPr>
                <w:rFonts w:ascii="Aptos" w:hAnsi="Aptos"/>
                <w:b/>
                <w:i w:val="0"/>
                <w:color w:val="FFFFFF"/>
                <w:sz w:val="16"/>
              </w:rPr>
              <w:t>Exit gate</w:t>
            </w:r>
          </w:p>
        </w:tc>
      </w:tr>
      <w:tr>
        <w:tc>
          <w:tcPr>
            <w:tcW w:type="dxa" w:w="18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Reference event, disaster/failure drills, observed usability, supervised pilot, reconciliation and production decision.</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Complete role journeys, pilot control room and release evidence dashboard.</w:t>
            </w:r>
          </w:p>
        </w:tc>
        <w:tc>
          <w:tcPr>
            <w:tcW w:type="dxa" w:w="2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Load/offline harness, observability, backups, incident runbooks and release package.</w:t>
            </w:r>
          </w:p>
        </w:tc>
        <w:tc>
          <w:tcPr>
            <w:tcW w:type="dxa" w:w="21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All gates pass; zero critical unresolved defects; field evidence reviewed; rollback and support ready.</w:t>
            </w:r>
          </w:p>
        </w:tc>
        <w:tc>
          <w:tcPr>
            <w:tcW w:type="dxa" w:w="10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CEO issues controlled production authorisation.</w:t>
            </w:r>
          </w:p>
        </w:tc>
      </w:tr>
    </w:tbl>
    <w:p>
      <w:pPr>
        <w:widowControl/>
        <w:spacing w:after="0"/>
      </w:pPr>
    </w:p>
    <w:p>
      <w:pPr>
        <w:pStyle w:val="Heading3"/>
        <w:keepNext/>
        <w:widowControl/>
      </w:pPr>
      <w:r>
        <w:t>Slice completion rule</w:t>
      </w:r>
    </w:p>
    <w:p>
      <w:pPr>
        <w:keepLines w:val="0"/>
        <w:widowControl/>
      </w:pPr>
      <w:r>
        <w:rPr>
          <w:rFonts w:ascii="Aptos" w:hAnsi="Aptos"/>
          <w:b w:val="0"/>
          <w:i w:val="0"/>
          <w:color w:val="1F2937"/>
          <w:sz w:val="19"/>
        </w:rPr>
        <w:t>The slice is incomplete until code is committed, quality gates pass, the relevant deployment is verified, browser/device evidence is reviewed, documentation and traceability are updated, and an independent acceptance report confirms the stated criteria.</w:t>
      </w:r>
    </w:p>
    <w:p>
      <w:pPr>
        <w:pStyle w:val="Heading1"/>
        <w:keepNext/>
        <w:widowControl/>
      </w:pPr>
      <w:r>
        <w:t>19. Traceability to Modules 1–30</w:t>
      </w:r>
    </w:p>
    <w:tbl>
      <w:tblPr>
        <w:tblStyle w:val="TableGrid"/>
        <w:tblW w:type="dxa" w:w="9360"/>
        <w:jc w:val="left"/>
        <w:tblLayout w:type="fixed"/>
        <w:tblLook w:firstColumn="1" w:firstRow="1" w:lastColumn="0" w:lastRow="0" w:noHBand="0" w:noVBand="1" w:val="04A0"/>
        <w:tblInd w:w="120" w:type="dxa"/>
      </w:tblPr>
      <w:tblGrid>
        <w:gridCol w:w="3200"/>
        <w:gridCol w:w="4300"/>
        <w:gridCol w:w="1860"/>
      </w:tblGrid>
      <w:tr>
        <w:trPr>
          <w:tblHeader w:val="true"/>
        </w:trPr>
        <w:tc>
          <w:tcPr>
            <w:tcW w:type="dxa" w:w="3200"/>
            <w:shd w:fill="111827"/>
            <w:vAlign w:val="top"/>
            <w:tcMar>
              <w:top w:w="90" w:type="dxa"/>
              <w:start w:w="120" w:type="dxa"/>
              <w:bottom w:w="90" w:type="dxa"/>
              <w:end w:w="120" w:type="dxa"/>
            </w:tcMar>
          </w:tcPr>
          <w:p>
            <w:r>
              <w:rPr>
                <w:rFonts w:ascii="Aptos" w:hAnsi="Aptos"/>
                <w:b/>
                <w:i w:val="0"/>
                <w:color w:val="FFFFFF"/>
                <w:sz w:val="16"/>
              </w:rPr>
              <w:t>Module</w:t>
            </w:r>
          </w:p>
        </w:tc>
        <w:tc>
          <w:tcPr>
            <w:tcW w:type="dxa" w:w="4300"/>
            <w:shd w:fill="111827"/>
            <w:vAlign w:val="top"/>
            <w:tcMar>
              <w:top w:w="90" w:type="dxa"/>
              <w:start w:w="120" w:type="dxa"/>
              <w:bottom w:w="90" w:type="dxa"/>
              <w:end w:w="120" w:type="dxa"/>
            </w:tcMar>
          </w:tcPr>
          <w:p>
            <w:r>
              <w:rPr>
                <w:rFonts w:ascii="Aptos" w:hAnsi="Aptos"/>
                <w:b/>
                <w:i w:val="0"/>
                <w:color w:val="FFFFFF"/>
                <w:sz w:val="16"/>
              </w:rPr>
              <w:t>Canonical contribution</w:t>
            </w:r>
          </w:p>
        </w:tc>
        <w:tc>
          <w:tcPr>
            <w:tcW w:type="dxa" w:w="1860"/>
            <w:shd w:fill="111827"/>
            <w:vAlign w:val="top"/>
            <w:tcMar>
              <w:top w:w="90" w:type="dxa"/>
              <w:start w:w="120" w:type="dxa"/>
              <w:bottom w:w="90" w:type="dxa"/>
              <w:end w:w="120" w:type="dxa"/>
            </w:tcMar>
          </w:tcPr>
          <w:p>
            <w:r>
              <w:rPr>
                <w:rFonts w:ascii="Aptos" w:hAnsi="Aptos"/>
                <w:b/>
                <w:i w:val="0"/>
                <w:color w:val="FFFFFF"/>
                <w:sz w:val="16"/>
              </w:rPr>
              <w:t>Primary build slices</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 — White-Glove Hospitality</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Doctrine, friction, dignity, anticipation</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1, 9, 12</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2 — Guest Journey</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Stages, transitions, archetypes and outcomes</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2, 3, 4, 9</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3 — Nigerian Protocol &amp; Precedence</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Authority, precedence, verification and conflict</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9</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4 — Cultural &amp; Ceremonial Intelligence</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Context packs, taboos, faith and bridging</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9</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5 — VIP &amp; HNW Guest Management</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Controlled files, preferences, routes and recovery</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2, 6, 8, 9</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6 — Event Command &amp; Control</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Command authority, dependencies and closed loops</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8, 9, 12</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7 — Vendor &amp; Supplier Management</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Diligence, scope, readiness and performance</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9, 11</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8 — Protocol, Ceremony &amp; Run-of-Show</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Spine, cues, movements and recovery</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5, 9</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9 — White-Glove Service Operations</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Executable standards and service assurance</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9</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10 — Live Operations Intelligence</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Operational picture, look-ahead and alerts</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8, 9</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11 — Risk, Crisis &amp; Service Recovery</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Risk, incidents, crisis and verified recovery</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8, 9, 12</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12 — Event Operating System</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Master Event File, lifecycle, SOP and readiness</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1, 9, 12</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13 — Vendor &amp; Supplier Mastery</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Partner code, diagnostics and scorecards</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9, 11</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14 — Staffing, Service Culture &amp; Team</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Roles, hiring, briefing, conduct and wellbeing</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1, 9</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15 — Guest Communication &amp; Concierge</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Invitation, RSVP, cadence, personalisation</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3, 4</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16 — Event-Day Command</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CEO filter, operations room and decision speed</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8, 9</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17 — Security, Safety, Privacy &amp; Risk</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Access zones, safeguarding and minimisation</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1, 7, 8, 10</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18 — Vendor Delivery Standard</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Production gates, recovery and subcontractors</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9</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19 — Guest Experience Team</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Relief, handover, rehearsal and policy</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9</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20 — Command Centre and AI Layer</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AI boundary, Consult and command intelligence</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9, 12</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21 — Event Day Execution</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T-24, pulse, imperfection and event score</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8, 9</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22 — Service Recovery &amp; Guest Psychology</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Hidden complaints, recovery depth and KPIs</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4, 9</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23 — Discretion, Privacy &amp; Information Control</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Information, access, behaviour and retention</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1, 4, 10, 11</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24 — Protocol Conflict &amp; Diplomatic Judgement</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Conflict classification and compromise</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9</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25 — Luxury Service Recovery Lab</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Judgement cases and smallest intervention</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9, 11</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26 — Art of Host Management</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Host journey, authority and no-surprise control</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1, 9</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27 — Event Architecture Refinements</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Dependencies, critical paths and statuses</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1, 9</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28 — Live Command Refinements</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Look-ahead, messages and early warning</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8, 9</w:t>
            </w:r>
          </w:p>
        </w:tc>
      </w:tr>
      <w:tr>
        <w:tc>
          <w:tcPr>
            <w:tcW w:type="dxa" w:w="32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29 — Discretion/Privacy Continuation</w:t>
            </w:r>
          </w:p>
        </w:tc>
        <w:tc>
          <w:tcPr>
            <w:tcW w:type="dxa" w:w="430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Further privacy and retention controls</w:t>
            </w:r>
          </w:p>
        </w:tc>
        <w:tc>
          <w:tcPr>
            <w:tcW w:type="dxa" w:w="1860"/>
            <w:shd w:fill="FFFFFF"/>
            <w:vAlign w:val="top"/>
            <w:tcMar>
              <w:top w:w="90" w:type="dxa"/>
              <w:start w:w="120" w:type="dxa"/>
              <w:bottom w:w="90" w:type="dxa"/>
              <w:end w:w="120" w:type="dxa"/>
            </w:tcMar>
          </w:tcPr>
          <w:p>
            <w:pPr>
              <w:spacing w:after="40" w:line="245" w:lineRule="auto"/>
            </w:pPr>
            <w:r>
              <w:rPr>
                <w:rFonts w:ascii="Aptos" w:hAnsi="Aptos"/>
                <w:b w:val="0"/>
                <w:i w:val="0"/>
                <w:color w:val="1F2937"/>
                <w:sz w:val="16"/>
              </w:rPr>
              <w:t>1, 10, 11</w:t>
            </w:r>
          </w:p>
        </w:tc>
      </w:tr>
      <w:tr>
        <w:tc>
          <w:tcPr>
            <w:tcW w:type="dxa" w:w="32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30 — The Maison Doclar Standard</w:t>
            </w:r>
          </w:p>
        </w:tc>
        <w:tc>
          <w:tcPr>
            <w:tcW w:type="dxa" w:w="430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Ten Rules, readiness declaration and CEO charter</w:t>
            </w:r>
          </w:p>
        </w:tc>
        <w:tc>
          <w:tcPr>
            <w:tcW w:type="dxa" w:w="1860"/>
            <w:shd w:fill="F2F4F7"/>
            <w:vAlign w:val="top"/>
            <w:tcMar>
              <w:top w:w="90" w:type="dxa"/>
              <w:start w:w="120" w:type="dxa"/>
              <w:bottom w:w="90" w:type="dxa"/>
              <w:end w:w="120" w:type="dxa"/>
            </w:tcMar>
          </w:tcPr>
          <w:p>
            <w:pPr>
              <w:spacing w:after="40" w:line="245" w:lineRule="auto"/>
            </w:pPr>
            <w:r>
              <w:rPr>
                <w:rFonts w:ascii="Aptos" w:hAnsi="Aptos"/>
                <w:b w:val="0"/>
                <w:i w:val="0"/>
                <w:color w:val="1F2937"/>
                <w:sz w:val="16"/>
              </w:rPr>
              <w:t>9, 12</w:t>
            </w:r>
          </w:p>
        </w:tc>
      </w:tr>
    </w:tbl>
    <w:p>
      <w:pPr>
        <w:widowControl/>
        <w:spacing w:after="0"/>
      </w:pPr>
    </w:p>
    <w:p>
      <w:pPr>
        <w:pStyle w:val="Heading2"/>
        <w:keepNext/>
        <w:widowControl/>
      </w:pPr>
      <w:r>
        <w:t>19.1 Traceability enforcement</w:t>
      </w:r>
    </w:p>
    <w:p>
      <w:pPr>
        <w:pStyle w:val="BlueprintBullet"/>
        <w:widowControl/>
        <w:numPr>
          <w:ilvl w:val="0"/>
          <w:numId w:val="35"/>
        </w:numPr>
      </w:pPr>
      <w:r>
        <w:rPr>
          <w:rFonts w:ascii="Aptos" w:hAnsi="Aptos"/>
          <w:b w:val="0"/>
          <w:i w:val="0"/>
          <w:color w:val="1F2937"/>
          <w:sz w:val="21"/>
        </w:rPr>
        <w:t>Every user story cites blueprint section, Intelligence Specification section and module contribution.</w:t>
      </w:r>
    </w:p>
    <w:p>
      <w:pPr>
        <w:pStyle w:val="BlueprintBullet"/>
        <w:widowControl/>
        <w:numPr>
          <w:ilvl w:val="0"/>
          <w:numId w:val="35"/>
        </w:numPr>
      </w:pPr>
      <w:r>
        <w:rPr>
          <w:rFonts w:ascii="Aptos" w:hAnsi="Aptos"/>
          <w:b w:val="0"/>
          <w:i w:val="0"/>
          <w:color w:val="1F2937"/>
          <w:sz w:val="21"/>
        </w:rPr>
        <w:t>Every API, entity and screen has an owning slice and acceptance test.</w:t>
      </w:r>
    </w:p>
    <w:p>
      <w:pPr>
        <w:pStyle w:val="BlueprintBullet"/>
        <w:widowControl/>
        <w:numPr>
          <w:ilvl w:val="0"/>
          <w:numId w:val="35"/>
        </w:numPr>
      </w:pPr>
      <w:r>
        <w:rPr>
          <w:rFonts w:ascii="Aptos" w:hAnsi="Aptos"/>
          <w:b w:val="0"/>
          <w:i w:val="0"/>
          <w:color w:val="1F2937"/>
          <w:sz w:val="21"/>
        </w:rPr>
        <w:t>A requirement may be consolidated but not silently deleted.</w:t>
      </w:r>
    </w:p>
    <w:p>
      <w:pPr>
        <w:pStyle w:val="BlueprintBullet"/>
        <w:widowControl/>
        <w:numPr>
          <w:ilvl w:val="0"/>
          <w:numId w:val="35"/>
        </w:numPr>
      </w:pPr>
      <w:r>
        <w:rPr>
          <w:rFonts w:ascii="Aptos" w:hAnsi="Aptos"/>
          <w:b w:val="0"/>
          <w:i w:val="0"/>
          <w:color w:val="1F2937"/>
          <w:sz w:val="21"/>
        </w:rPr>
        <w:t>A deliberate exclusion records rationale, risk and approving authority.</w:t>
      </w:r>
    </w:p>
    <w:p>
      <w:pPr>
        <w:pStyle w:val="BlueprintBullet"/>
        <w:widowControl/>
        <w:numPr>
          <w:ilvl w:val="0"/>
          <w:numId w:val="35"/>
        </w:numPr>
      </w:pPr>
      <w:r>
        <w:rPr>
          <w:rFonts w:ascii="Aptos" w:hAnsi="Aptos"/>
          <w:b w:val="0"/>
          <w:i w:val="0"/>
          <w:color w:val="1F2937"/>
          <w:sz w:val="21"/>
        </w:rPr>
        <w:t>Traceability is updated in the same commit as the implementation change.</w:t>
      </w:r>
    </w:p>
    <w:p>
      <w:pPr>
        <w:pStyle w:val="Heading1"/>
        <w:keepNext/>
        <w:widowControl/>
      </w:pPr>
      <w:r>
        <w:t>20. Decisions, gates and ratification</w:t>
      </w:r>
    </w:p>
    <w:p>
      <w:pPr>
        <w:pStyle w:val="Heading2"/>
        <w:keepNext/>
        <w:widowControl/>
      </w:pPr>
      <w:r>
        <w:t>20.1 Settled architecture decisions</w:t>
      </w:r>
    </w:p>
    <w:p>
      <w:pPr>
        <w:pStyle w:val="BlueprintBullet"/>
        <w:widowControl/>
        <w:numPr>
          <w:ilvl w:val="0"/>
          <w:numId w:val="36"/>
        </w:numPr>
      </w:pPr>
      <w:r>
        <w:rPr>
          <w:rFonts w:ascii="Aptos" w:hAnsi="Aptos"/>
          <w:b w:val="0"/>
          <w:i w:val="0"/>
          <w:color w:val="1F2937"/>
          <w:sz w:val="21"/>
        </w:rPr>
        <w:t>Clean build; legacy is evidence only.</w:t>
      </w:r>
    </w:p>
    <w:p>
      <w:pPr>
        <w:pStyle w:val="BlueprintBullet"/>
        <w:widowControl/>
        <w:numPr>
          <w:ilvl w:val="0"/>
          <w:numId w:val="36"/>
        </w:numPr>
      </w:pPr>
      <w:r>
        <w:rPr>
          <w:rFonts w:ascii="Aptos" w:hAnsi="Aptos"/>
          <w:b w:val="0"/>
          <w:i w:val="0"/>
          <w:color w:val="1F2937"/>
          <w:sz w:val="21"/>
        </w:rPr>
        <w:t>Organisation → client → event hierarchy.</w:t>
      </w:r>
    </w:p>
    <w:p>
      <w:pPr>
        <w:pStyle w:val="BlueprintBullet"/>
        <w:widowControl/>
        <w:numPr>
          <w:ilvl w:val="0"/>
          <w:numId w:val="36"/>
        </w:numPr>
      </w:pPr>
      <w:r>
        <w:rPr>
          <w:rFonts w:ascii="Aptos" w:hAnsi="Aptos"/>
          <w:b w:val="0"/>
          <w:i w:val="0"/>
          <w:color w:val="1F2937"/>
          <w:sz w:val="21"/>
        </w:rPr>
        <w:t>EventGuest is operational identity; PersonProfile is optional and governed.</w:t>
      </w:r>
    </w:p>
    <w:p>
      <w:pPr>
        <w:pStyle w:val="BlueprintBullet"/>
        <w:widowControl/>
        <w:numPr>
          <w:ilvl w:val="0"/>
          <w:numId w:val="36"/>
        </w:numPr>
      </w:pPr>
      <w:r>
        <w:rPr>
          <w:rFonts w:ascii="Aptos" w:hAnsi="Aptos"/>
          <w:b w:val="0"/>
          <w:i w:val="0"/>
          <w:color w:val="1F2937"/>
          <w:sz w:val="21"/>
        </w:rPr>
        <w:t>One core event platform with specialist services only for justified boundaries.</w:t>
      </w:r>
    </w:p>
    <w:p>
      <w:pPr>
        <w:pStyle w:val="BlueprintBullet"/>
        <w:widowControl/>
        <w:numPr>
          <w:ilvl w:val="0"/>
          <w:numId w:val="36"/>
        </w:numPr>
      </w:pPr>
      <w:r>
        <w:rPr>
          <w:rFonts w:ascii="Aptos" w:hAnsi="Aptos"/>
          <w:b w:val="0"/>
          <w:i w:val="0"/>
          <w:color w:val="1F2937"/>
          <w:sz w:val="21"/>
        </w:rPr>
        <w:t>Vela quarantine pattern retained.</w:t>
      </w:r>
    </w:p>
    <w:p>
      <w:pPr>
        <w:pStyle w:val="BlueprintBullet"/>
        <w:widowControl/>
        <w:numPr>
          <w:ilvl w:val="0"/>
          <w:numId w:val="36"/>
        </w:numPr>
      </w:pPr>
      <w:r>
        <w:rPr>
          <w:rFonts w:ascii="Aptos" w:hAnsi="Aptos"/>
          <w:b w:val="0"/>
          <w:i w:val="0"/>
          <w:color w:val="1F2937"/>
          <w:sz w:val="21"/>
        </w:rPr>
        <w:t>EDR is target sole event-day authority.</w:t>
      </w:r>
    </w:p>
    <w:p>
      <w:pPr>
        <w:pStyle w:val="BlueprintBullet"/>
        <w:widowControl/>
        <w:numPr>
          <w:ilvl w:val="0"/>
          <w:numId w:val="36"/>
        </w:numPr>
      </w:pPr>
      <w:r>
        <w:rPr>
          <w:rFonts w:ascii="Aptos" w:hAnsi="Aptos"/>
          <w:b w:val="0"/>
          <w:i w:val="0"/>
          <w:color w:val="1F2937"/>
          <w:sz w:val="21"/>
        </w:rPr>
        <w:t>Seating solver remains stateless and separate.</w:t>
      </w:r>
    </w:p>
    <w:p>
      <w:pPr>
        <w:pStyle w:val="BlueprintBullet"/>
        <w:widowControl/>
        <w:numPr>
          <w:ilvl w:val="0"/>
          <w:numId w:val="36"/>
        </w:numPr>
      </w:pPr>
      <w:r>
        <w:rPr>
          <w:rFonts w:ascii="Aptos" w:hAnsi="Aptos"/>
          <w:b w:val="0"/>
          <w:i w:val="0"/>
          <w:color w:val="1F2937"/>
          <w:sz w:val="21"/>
        </w:rPr>
        <w:t>QR credentials are redesigned; no legacy payload assumptions.</w:t>
      </w:r>
    </w:p>
    <w:p>
      <w:pPr>
        <w:pStyle w:val="BlueprintBullet"/>
        <w:widowControl/>
        <w:numPr>
          <w:ilvl w:val="0"/>
          <w:numId w:val="36"/>
        </w:numPr>
      </w:pPr>
      <w:r>
        <w:rPr>
          <w:rFonts w:ascii="Aptos" w:hAnsi="Aptos"/>
          <w:b w:val="0"/>
          <w:i w:val="0"/>
          <w:color w:val="1F2937"/>
          <w:sz w:val="21"/>
        </w:rPr>
        <w:t>FaceGate isolated and disabled until explicit gates pass.</w:t>
      </w:r>
    </w:p>
    <w:p>
      <w:pPr>
        <w:pStyle w:val="BlueprintBullet"/>
        <w:widowControl/>
        <w:numPr>
          <w:ilvl w:val="0"/>
          <w:numId w:val="36"/>
        </w:numPr>
      </w:pPr>
      <w:r>
        <w:rPr>
          <w:rFonts w:ascii="Aptos" w:hAnsi="Aptos"/>
          <w:b w:val="0"/>
          <w:i w:val="0"/>
          <w:color w:val="1F2937"/>
          <w:sz w:val="21"/>
        </w:rPr>
        <w:t>Shared intelligence primitives with domain-specific extensions.</w:t>
      </w:r>
    </w:p>
    <w:p>
      <w:pPr>
        <w:pStyle w:val="BlueprintBullet"/>
        <w:widowControl/>
        <w:numPr>
          <w:ilvl w:val="0"/>
          <w:numId w:val="36"/>
        </w:numPr>
      </w:pPr>
      <w:r>
        <w:rPr>
          <w:rFonts w:ascii="Aptos" w:hAnsi="Aptos"/>
          <w:b w:val="0"/>
          <w:i w:val="0"/>
          <w:color w:val="1F2937"/>
          <w:sz w:val="21"/>
        </w:rPr>
        <w:t>Frontend and backend delivered in the same slice.</w:t>
      </w:r>
    </w:p>
    <w:p>
      <w:pPr>
        <w:pStyle w:val="BlueprintBullet"/>
        <w:widowControl/>
        <w:numPr>
          <w:ilvl w:val="0"/>
          <w:numId w:val="36"/>
        </w:numPr>
      </w:pPr>
      <w:r>
        <w:rPr>
          <w:rFonts w:ascii="Aptos" w:hAnsi="Aptos"/>
          <w:b w:val="0"/>
          <w:i w:val="0"/>
          <w:color w:val="1F2937"/>
          <w:sz w:val="21"/>
        </w:rPr>
        <w:t>Supervised pilot required for field readiness.</w:t>
      </w:r>
    </w:p>
    <w:p>
      <w:pPr>
        <w:pStyle w:val="Heading2"/>
        <w:keepNext/>
        <w:widowControl/>
      </w:pPr>
      <w:r>
        <w:t>20.2 CEO ratification decisions</w:t>
      </w:r>
    </w:p>
    <w:tbl>
      <w:tblPr>
        <w:tblStyle w:val="TableGrid"/>
        <w:tblW w:type="dxa" w:w="9360"/>
        <w:jc w:val="left"/>
        <w:tblLayout w:type="fixed"/>
        <w:tblLook w:firstColumn="1" w:firstRow="1" w:lastColumn="0" w:lastRow="0" w:noHBand="0" w:noVBand="1" w:val="04A0"/>
        <w:tblInd w:w="120" w:type="dxa"/>
      </w:tblPr>
      <w:tblGrid>
        <w:gridCol w:w="1300"/>
        <w:gridCol w:w="5000"/>
        <w:gridCol w:w="3060"/>
      </w:tblGrid>
      <w:tr>
        <w:trPr>
          <w:tblHeader w:val="true"/>
        </w:trPr>
        <w:tc>
          <w:tcPr>
            <w:tcW w:type="dxa" w:w="1300"/>
            <w:shd w:fill="111827"/>
            <w:vAlign w:val="top"/>
            <w:tcMar>
              <w:top w:w="90" w:type="dxa"/>
              <w:start w:w="120" w:type="dxa"/>
              <w:bottom w:w="90" w:type="dxa"/>
              <w:end w:w="120" w:type="dxa"/>
            </w:tcMar>
          </w:tcPr>
          <w:p>
            <w:r>
              <w:rPr>
                <w:rFonts w:ascii="Aptos" w:hAnsi="Aptos"/>
                <w:b/>
                <w:i w:val="0"/>
                <w:color w:val="FFFFFF"/>
                <w:sz w:val="18"/>
              </w:rPr>
              <w:t>ID</w:t>
            </w:r>
          </w:p>
        </w:tc>
        <w:tc>
          <w:tcPr>
            <w:tcW w:type="dxa" w:w="5000"/>
            <w:shd w:fill="111827"/>
            <w:vAlign w:val="top"/>
            <w:tcMar>
              <w:top w:w="90" w:type="dxa"/>
              <w:start w:w="120" w:type="dxa"/>
              <w:bottom w:w="90" w:type="dxa"/>
              <w:end w:w="120" w:type="dxa"/>
            </w:tcMar>
          </w:tcPr>
          <w:p>
            <w:r>
              <w:rPr>
                <w:rFonts w:ascii="Aptos" w:hAnsi="Aptos"/>
                <w:b/>
                <w:i w:val="0"/>
                <w:color w:val="FFFFFF"/>
                <w:sz w:val="18"/>
              </w:rPr>
              <w:t>Decision</w:t>
            </w:r>
          </w:p>
        </w:tc>
        <w:tc>
          <w:tcPr>
            <w:tcW w:type="dxa" w:w="3060"/>
            <w:shd w:fill="111827"/>
            <w:vAlign w:val="top"/>
            <w:tcMar>
              <w:top w:w="90" w:type="dxa"/>
              <w:start w:w="120" w:type="dxa"/>
              <w:bottom w:w="90" w:type="dxa"/>
              <w:end w:w="120" w:type="dxa"/>
            </w:tcMar>
          </w:tcPr>
          <w:p>
            <w:r>
              <w:rPr>
                <w:rFonts w:ascii="Aptos" w:hAnsi="Aptos"/>
                <w:b/>
                <w:i w:val="0"/>
                <w:color w:val="FFFFFF"/>
                <w:sz w:val="18"/>
              </w:rPr>
              <w:t>Recommended position</w:t>
            </w:r>
          </w:p>
        </w:tc>
      </w:tr>
      <w:tr>
        <w:tc>
          <w:tcPr>
            <w:tcW w:type="dxa" w:w="1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CBP-D01</w:t>
            </w:r>
          </w:p>
        </w:tc>
        <w:tc>
          <w:tcPr>
            <w:tcW w:type="dxa" w:w="5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 this blueprint as controlling build architecture</w:t>
            </w:r>
          </w:p>
        </w:tc>
        <w:tc>
          <w:tcPr>
            <w:tcW w:type="dxa" w:w="3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w:t>
            </w:r>
          </w:p>
        </w:tc>
      </w:tr>
      <w:tr>
        <w:tc>
          <w:tcPr>
            <w:tcW w:type="dxa" w:w="1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CBP-D02</w:t>
            </w:r>
          </w:p>
        </w:tc>
        <w:tc>
          <w:tcPr>
            <w:tcW w:type="dxa" w:w="5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Approve EDR as target sole live attendance authority</w:t>
            </w:r>
          </w:p>
        </w:tc>
        <w:tc>
          <w:tcPr>
            <w:tcW w:type="dxa" w:w="3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Approve</w:t>
            </w:r>
          </w:p>
        </w:tc>
      </w:tr>
      <w:tr>
        <w:tc>
          <w:tcPr>
            <w:tcW w:type="dxa" w:w="1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CBP-D03</w:t>
            </w:r>
          </w:p>
        </w:tc>
        <w:tc>
          <w:tcPr>
            <w:tcW w:type="dxa" w:w="5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 optional governed PersonProfile for authorised cross-event memory</w:t>
            </w:r>
          </w:p>
        </w:tc>
        <w:tc>
          <w:tcPr>
            <w:tcW w:type="dxa" w:w="3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 with privacy controls</w:t>
            </w:r>
          </w:p>
        </w:tc>
      </w:tr>
      <w:tr>
        <w:tc>
          <w:tcPr>
            <w:tcW w:type="dxa" w:w="1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CBP-D04</w:t>
            </w:r>
          </w:p>
        </w:tc>
        <w:tc>
          <w:tcPr>
            <w:tcW w:type="dxa" w:w="5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Approve biometric capability as gated and off by default</w:t>
            </w:r>
          </w:p>
        </w:tc>
        <w:tc>
          <w:tcPr>
            <w:tcW w:type="dxa" w:w="3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Approve</w:t>
            </w:r>
          </w:p>
        </w:tc>
      </w:tr>
      <w:tr>
        <w:tc>
          <w:tcPr>
            <w:tcW w:type="dxa" w:w="1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CBP-D05</w:t>
            </w:r>
          </w:p>
        </w:tc>
        <w:tc>
          <w:tcPr>
            <w:tcW w:type="dxa" w:w="5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 12-slice vertical delivery sequence</w:t>
            </w:r>
          </w:p>
        </w:tc>
        <w:tc>
          <w:tcPr>
            <w:tcW w:type="dxa" w:w="3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w:t>
            </w:r>
          </w:p>
        </w:tc>
      </w:tr>
      <w:tr>
        <w:tc>
          <w:tcPr>
            <w:tcW w:type="dxa" w:w="13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CBP-D06</w:t>
            </w:r>
          </w:p>
        </w:tc>
        <w:tc>
          <w:tcPr>
            <w:tcW w:type="dxa" w:w="50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Approve supervised pilot as mandatory production gate</w:t>
            </w:r>
          </w:p>
        </w:tc>
        <w:tc>
          <w:tcPr>
            <w:tcW w:type="dxa" w:w="30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Approve</w:t>
            </w:r>
          </w:p>
        </w:tc>
      </w:tr>
      <w:tr>
        <w:tc>
          <w:tcPr>
            <w:tcW w:type="dxa" w:w="13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CBP-D07</w:t>
            </w:r>
          </w:p>
        </w:tc>
        <w:tc>
          <w:tcPr>
            <w:tcW w:type="dxa" w:w="50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 consolidation of legacy schemas/services where they do not represent true bounded domains</w:t>
            </w:r>
          </w:p>
        </w:tc>
        <w:tc>
          <w:tcPr>
            <w:tcW w:type="dxa" w:w="30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Approve with per-slice decision records</w:t>
            </w:r>
          </w:p>
        </w:tc>
      </w:tr>
    </w:tbl>
    <w:p>
      <w:pPr>
        <w:widowControl/>
        <w:spacing w:after="0"/>
      </w:pPr>
    </w:p>
    <w:p>
      <w:pPr>
        <w:pStyle w:val="Heading2"/>
        <w:keepNext/>
        <w:widowControl/>
      </w:pPr>
      <w:r>
        <w:t>20.3 External validation gates</w:t>
      </w:r>
    </w:p>
    <w:tbl>
      <w:tblPr>
        <w:tblStyle w:val="TableGrid"/>
        <w:tblW w:type="dxa" w:w="9360"/>
        <w:jc w:val="left"/>
        <w:tblLayout w:type="fixed"/>
        <w:tblLook w:firstColumn="1" w:firstRow="1" w:lastColumn="0" w:lastRow="0" w:noHBand="0" w:noVBand="1" w:val="04A0"/>
        <w:tblInd w:w="120" w:type="dxa"/>
      </w:tblPr>
      <w:tblGrid>
        <w:gridCol w:w="3800"/>
        <w:gridCol w:w="5560"/>
      </w:tblGrid>
      <w:tr>
        <w:trPr>
          <w:tblHeader w:val="true"/>
        </w:trPr>
        <w:tc>
          <w:tcPr>
            <w:tcW w:type="dxa" w:w="3800"/>
            <w:shd w:fill="111827"/>
            <w:vAlign w:val="top"/>
            <w:tcMar>
              <w:top w:w="90" w:type="dxa"/>
              <w:start w:w="120" w:type="dxa"/>
              <w:bottom w:w="90" w:type="dxa"/>
              <w:end w:w="120" w:type="dxa"/>
            </w:tcMar>
          </w:tcPr>
          <w:p>
            <w:r>
              <w:rPr>
                <w:rFonts w:ascii="Aptos" w:hAnsi="Aptos"/>
                <w:b/>
                <w:i w:val="0"/>
                <w:color w:val="FFFFFF"/>
                <w:sz w:val="18"/>
              </w:rPr>
              <w:t>Gate</w:t>
            </w:r>
          </w:p>
        </w:tc>
        <w:tc>
          <w:tcPr>
            <w:tcW w:type="dxa" w:w="5560"/>
            <w:shd w:fill="111827"/>
            <w:vAlign w:val="top"/>
            <w:tcMar>
              <w:top w:w="90" w:type="dxa"/>
              <w:start w:w="120" w:type="dxa"/>
              <w:bottom w:w="90" w:type="dxa"/>
              <w:end w:w="120" w:type="dxa"/>
            </w:tcMar>
          </w:tcPr>
          <w:p>
            <w:r>
              <w:rPr>
                <w:rFonts w:ascii="Aptos" w:hAnsi="Aptos"/>
                <w:b/>
                <w:i w:val="0"/>
                <w:color w:val="FFFFFF"/>
                <w:sz w:val="18"/>
              </w:rPr>
              <w:t>Required before</w:t>
            </w:r>
          </w:p>
        </w:tc>
      </w:tr>
      <w:tr>
        <w:tc>
          <w:tcPr>
            <w:tcW w:type="dxa" w:w="3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Employment/HR and safeguarding review</w:t>
            </w:r>
          </w:p>
        </w:tc>
        <w:tc>
          <w:tcPr>
            <w:tcW w:type="dxa" w:w="5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Staff policy production use</w:t>
            </w:r>
          </w:p>
        </w:tc>
      </w:tr>
      <w:tr>
        <w:tc>
          <w:tcPr>
            <w:tcW w:type="dxa" w:w="3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Privacy/data-protection review</w:t>
            </w:r>
          </w:p>
        </w:tc>
        <w:tc>
          <w:tcPr>
            <w:tcW w:type="dxa" w:w="55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Cross-event memory, restricted guest data and retention production use</w:t>
            </w:r>
          </w:p>
        </w:tc>
      </w:tr>
      <w:tr>
        <w:tc>
          <w:tcPr>
            <w:tcW w:type="dxa" w:w="3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Security threat model</w:t>
            </w:r>
          </w:p>
        </w:tc>
        <w:tc>
          <w:tcPr>
            <w:tcW w:type="dxa" w:w="5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Credentials, devices, EDR and service integrations</w:t>
            </w:r>
          </w:p>
        </w:tc>
      </w:tr>
      <w:tr>
        <w:tc>
          <w:tcPr>
            <w:tcW w:type="dxa" w:w="3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Protocol authority verification</w:t>
            </w:r>
          </w:p>
        </w:tc>
        <w:tc>
          <w:tcPr>
            <w:tcW w:type="dxa" w:w="55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Event-specific precedence publication</w:t>
            </w:r>
          </w:p>
        </w:tc>
      </w:tr>
      <w:tr>
        <w:tc>
          <w:tcPr>
            <w:tcW w:type="dxa" w:w="3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Medical/security/fire/venue specialist review</w:t>
            </w:r>
          </w:p>
        </w:tc>
        <w:tc>
          <w:tcPr>
            <w:tcW w:type="dxa" w:w="5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Applicable readiness declarations</w:t>
            </w:r>
          </w:p>
        </w:tc>
      </w:tr>
      <w:tr>
        <w:tc>
          <w:tcPr>
            <w:tcW w:type="dxa" w:w="38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Biometric legal/privacy/security review</w:t>
            </w:r>
          </w:p>
        </w:tc>
        <w:tc>
          <w:tcPr>
            <w:tcW w:type="dxa" w:w="55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FaceGate shadow mode with real participants</w:t>
            </w:r>
          </w:p>
        </w:tc>
      </w:tr>
      <w:tr>
        <w:tc>
          <w:tcPr>
            <w:tcW w:type="dxa" w:w="38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Accessibility review</w:t>
            </w:r>
          </w:p>
        </w:tc>
        <w:tc>
          <w:tcPr>
            <w:tcW w:type="dxa" w:w="55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Guest and staff production release</w:t>
            </w:r>
          </w:p>
        </w:tc>
      </w:tr>
    </w:tbl>
    <w:p>
      <w:pPr>
        <w:widowControl/>
        <w:spacing w:after="0"/>
      </w:pPr>
    </w:p>
    <w:p>
      <w:pPr>
        <w:pStyle w:val="Heading2"/>
        <w:keepNext/>
        <w:widowControl/>
      </w:pPr>
      <w:r>
        <w:t>20.4 Production release gates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111827"/>
            <w:vAlign w:val="top"/>
            <w:tcMar>
              <w:top w:w="90" w:type="dxa"/>
              <w:start w:w="120" w:type="dxa"/>
              <w:bottom w:w="90" w:type="dxa"/>
              <w:end w:w="120" w:type="dxa"/>
            </w:tcMar>
          </w:tcPr>
          <w:p>
            <w:r>
              <w:rPr>
                <w:rFonts w:ascii="Aptos" w:hAnsi="Aptos"/>
                <w:b/>
                <w:i w:val="0"/>
                <w:color w:val="FFFFFF"/>
                <w:sz w:val="18"/>
              </w:rPr>
              <w:t>Gate</w:t>
            </w:r>
          </w:p>
        </w:tc>
        <w:tc>
          <w:tcPr>
            <w:tcW w:type="dxa" w:w="6860"/>
            <w:shd w:fill="111827"/>
            <w:vAlign w:val="top"/>
            <w:tcMar>
              <w:top w:w="90" w:type="dxa"/>
              <w:start w:w="120" w:type="dxa"/>
              <w:bottom w:w="90" w:type="dxa"/>
              <w:end w:w="120" w:type="dxa"/>
            </w:tcMar>
          </w:tcPr>
          <w:p>
            <w:r>
              <w:rPr>
                <w:rFonts w:ascii="Aptos" w:hAnsi="Aptos"/>
                <w:b/>
                <w:i w:val="0"/>
                <w:color w:val="FFFFFF"/>
                <w:sz w:val="18"/>
              </w:rPr>
              <w:t>Evidence</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G0 Blueprint ratified</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CEO approval and architecture decision record</w:t>
            </w:r>
          </w:p>
        </w:tc>
      </w:tr>
      <w:tr>
        <w:tc>
          <w:tcPr>
            <w:tcW w:type="dxa" w:w="2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G1 Foundation safe</w:t>
            </w:r>
          </w:p>
        </w:tc>
        <w:tc>
          <w:tcPr>
            <w:tcW w:type="dxa" w:w="6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Isolation, permission, audit and migration evidence</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G2 Domain acceptance</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Slice frontend/backend criteria and independent review</w:t>
            </w:r>
          </w:p>
        </w:tc>
      </w:tr>
      <w:tr>
        <w:tc>
          <w:tcPr>
            <w:tcW w:type="dxa" w:w="2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G3 Reference event</w:t>
            </w:r>
          </w:p>
        </w:tc>
        <w:tc>
          <w:tcPr>
            <w:tcW w:type="dxa" w:w="6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600-guest load, offline, conflict and recovery evidence</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G4 AI shadow mode</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Accuracy, safety, calibration and human-control evaluation</w:t>
            </w:r>
          </w:p>
        </w:tc>
      </w:tr>
      <w:tr>
        <w:tc>
          <w:tcPr>
            <w:tcW w:type="dxa" w:w="250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G5 Supervised pilot</w:t>
            </w:r>
          </w:p>
        </w:tc>
        <w:tc>
          <w:tcPr>
            <w:tcW w:type="dxa" w:w="6860"/>
            <w:shd w:fill="F2F4F7"/>
            <w:vAlign w:val="top"/>
            <w:tcMar>
              <w:top w:w="90" w:type="dxa"/>
              <w:start w:w="120" w:type="dxa"/>
              <w:bottom w:w="90" w:type="dxa"/>
              <w:end w:w="120" w:type="dxa"/>
            </w:tcMar>
          </w:tcPr>
          <w:p>
            <w:pPr>
              <w:spacing w:after="40" w:line="245" w:lineRule="auto"/>
            </w:pPr>
            <w:r>
              <w:rPr>
                <w:rFonts w:ascii="Aptos" w:hAnsi="Aptos"/>
                <w:b w:val="0"/>
                <w:i w:val="0"/>
                <w:color w:val="1F2937"/>
                <w:sz w:val="18"/>
              </w:rPr>
              <w:t>Real-event observation, reconciliation and incident review</w:t>
            </w:r>
          </w:p>
        </w:tc>
      </w:tr>
      <w:tr>
        <w:tc>
          <w:tcPr>
            <w:tcW w:type="dxa" w:w="250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G6 Production authorisation</w:t>
            </w:r>
          </w:p>
        </w:tc>
        <w:tc>
          <w:tcPr>
            <w:tcW w:type="dxa" w:w="6860"/>
            <w:shd w:fill="FFFFFF"/>
            <w:vAlign w:val="top"/>
            <w:tcMar>
              <w:top w:w="90" w:type="dxa"/>
              <w:start w:w="120" w:type="dxa"/>
              <w:bottom w:w="90" w:type="dxa"/>
              <w:end w:w="120" w:type="dxa"/>
            </w:tcMar>
          </w:tcPr>
          <w:p>
            <w:pPr>
              <w:spacing w:after="40" w:line="245" w:lineRule="auto"/>
            </w:pPr>
            <w:r>
              <w:rPr>
                <w:rFonts w:ascii="Aptos" w:hAnsi="Aptos"/>
                <w:b w:val="0"/>
                <w:i w:val="0"/>
                <w:color w:val="1F2937"/>
                <w:sz w:val="18"/>
              </w:rPr>
              <w:t>CEO decision, support readiness, rollback and monitoring</w:t>
            </w:r>
          </w:p>
        </w:tc>
      </w:tr>
    </w:tbl>
    <w:p>
      <w:pPr>
        <w:widowControl/>
        <w:spacing w:after="0"/>
      </w:pPr>
    </w:p>
    <w:p>
      <w:pPr>
        <w:pStyle w:val="Heading2"/>
        <w:keepNext/>
        <w:widowControl/>
      </w:pPr>
      <w:r>
        <w:t>20.5 Definition of done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top"/>
            <w:tcMar>
              <w:top w:w="90" w:type="dxa"/>
              <w:start w:w="120" w:type="dxa"/>
              <w:bottom w:w="90" w:type="dxa"/>
              <w:end w:w="120" w:type="dxa"/>
            </w:tcMar>
            <w:shd w:fill="F7F5F2"/>
          </w:tcPr>
          <w:p>
            <w:r/>
            <w:r>
              <w:rPr>
                <w:rFonts w:ascii="Aptos" w:hAnsi="Aptos"/>
                <w:b/>
                <w:i w:val="0"/>
                <w:color w:val="B79F85"/>
                <w:sz w:val="18"/>
              </w:rPr>
              <w:t xml:space="preserve">FINAL DEFINITION  </w:t>
            </w:r>
            <w:r>
              <w:rPr>
                <w:rFonts w:ascii="Aptos" w:hAnsi="Aptos"/>
                <w:b/>
                <w:i w:val="0"/>
                <w:color w:val="111827"/>
                <w:sz w:val="20"/>
              </w:rPr>
              <w:t>The system is done only when its intended users can operate the complete event lifecycle through usable, accessible and resilient interfaces; every consequential state is governed by canonical data, evidence and authority; the reference event and supervised pilot pass; and the CEO explicitly authorises production.</w:t>
            </w:r>
          </w:p>
        </w:tc>
      </w:tr>
    </w:tbl>
    <w:p>
      <w:pPr>
        <w:widowControl/>
        <w:spacing w:after="0"/>
      </w:pPr>
    </w:p>
    <w:p>
      <w:pPr>
        <w:pStyle w:val="Heading1"/>
        <w:keepNext/>
        <w:widowControl/>
      </w:pPr>
      <w:r>
        <w:t>Appendix A — Build handover contract</w:t>
      </w:r>
    </w:p>
    <w:p>
      <w:pPr>
        <w:pStyle w:val="BlueprintBullet"/>
        <w:widowControl/>
        <w:numPr>
          <w:ilvl w:val="0"/>
          <w:numId w:val="37"/>
        </w:numPr>
      </w:pPr>
      <w:r>
        <w:rPr>
          <w:rFonts w:ascii="Aptos" w:hAnsi="Aptos"/>
          <w:b w:val="0"/>
          <w:i w:val="0"/>
          <w:color w:val="1F2937"/>
          <w:sz w:val="21"/>
        </w:rPr>
        <w:t>Architecture document and decision IDs cited.</w:t>
      </w:r>
    </w:p>
    <w:p>
      <w:pPr>
        <w:pStyle w:val="BlueprintBullet"/>
        <w:widowControl/>
        <w:numPr>
          <w:ilvl w:val="0"/>
          <w:numId w:val="37"/>
        </w:numPr>
      </w:pPr>
      <w:r>
        <w:rPr>
          <w:rFonts w:ascii="Aptos" w:hAnsi="Aptos"/>
          <w:b w:val="0"/>
          <w:i w:val="0"/>
          <w:color w:val="1F2937"/>
          <w:sz w:val="21"/>
        </w:rPr>
        <w:t>Scope and exclusions stated.</w:t>
      </w:r>
    </w:p>
    <w:p>
      <w:pPr>
        <w:pStyle w:val="BlueprintBullet"/>
        <w:widowControl/>
        <w:numPr>
          <w:ilvl w:val="0"/>
          <w:numId w:val="37"/>
        </w:numPr>
      </w:pPr>
      <w:r>
        <w:rPr>
          <w:rFonts w:ascii="Aptos" w:hAnsi="Aptos"/>
          <w:b w:val="0"/>
          <w:i w:val="0"/>
          <w:color w:val="1F2937"/>
          <w:sz w:val="21"/>
        </w:rPr>
        <w:t>Frontend screens and every applicable state included.</w:t>
      </w:r>
    </w:p>
    <w:p>
      <w:pPr>
        <w:pStyle w:val="BlueprintBullet"/>
        <w:widowControl/>
        <w:numPr>
          <w:ilvl w:val="0"/>
          <w:numId w:val="37"/>
        </w:numPr>
      </w:pPr>
      <w:r>
        <w:rPr>
          <w:rFonts w:ascii="Aptos" w:hAnsi="Aptos"/>
          <w:b w:val="0"/>
          <w:i w:val="0"/>
          <w:color w:val="1F2937"/>
          <w:sz w:val="21"/>
        </w:rPr>
        <w:t>Backend, schema, contracts and migrations included.</w:t>
      </w:r>
    </w:p>
    <w:p>
      <w:pPr>
        <w:pStyle w:val="BlueprintBullet"/>
        <w:widowControl/>
        <w:numPr>
          <w:ilvl w:val="0"/>
          <w:numId w:val="37"/>
        </w:numPr>
      </w:pPr>
      <w:r>
        <w:rPr>
          <w:rFonts w:ascii="Aptos" w:hAnsi="Aptos"/>
          <w:b w:val="0"/>
          <w:i w:val="0"/>
          <w:color w:val="1F2937"/>
          <w:sz w:val="21"/>
        </w:rPr>
        <w:t>Permissions and sensitive fields tested.</w:t>
      </w:r>
    </w:p>
    <w:p>
      <w:pPr>
        <w:pStyle w:val="BlueprintBullet"/>
        <w:widowControl/>
        <w:numPr>
          <w:ilvl w:val="0"/>
          <w:numId w:val="37"/>
        </w:numPr>
      </w:pPr>
      <w:r>
        <w:rPr>
          <w:rFonts w:ascii="Aptos" w:hAnsi="Aptos"/>
          <w:b w:val="0"/>
          <w:i w:val="0"/>
          <w:color w:val="1F2937"/>
          <w:sz w:val="21"/>
        </w:rPr>
        <w:t>Intelligence explanation and human authority tested.</w:t>
      </w:r>
    </w:p>
    <w:p>
      <w:pPr>
        <w:pStyle w:val="BlueprintBullet"/>
        <w:widowControl/>
        <w:numPr>
          <w:ilvl w:val="0"/>
          <w:numId w:val="37"/>
        </w:numPr>
      </w:pPr>
      <w:r>
        <w:rPr>
          <w:rFonts w:ascii="Aptos" w:hAnsi="Aptos"/>
          <w:b w:val="0"/>
          <w:i w:val="0"/>
          <w:color w:val="1F2937"/>
          <w:sz w:val="21"/>
        </w:rPr>
        <w:t>Unit, integration, Playwright, contract, load/offline and accessibility evidence supplied as applicable.</w:t>
      </w:r>
    </w:p>
    <w:p>
      <w:pPr>
        <w:pStyle w:val="BlueprintBullet"/>
        <w:widowControl/>
        <w:numPr>
          <w:ilvl w:val="0"/>
          <w:numId w:val="37"/>
        </w:numPr>
      </w:pPr>
      <w:r>
        <w:rPr>
          <w:rFonts w:ascii="Aptos" w:hAnsi="Aptos"/>
          <w:b w:val="0"/>
          <w:i w:val="0"/>
          <w:color w:val="1F2937"/>
          <w:sz w:val="21"/>
        </w:rPr>
        <w:t>STD-WC reports zero new hard-invariant violations.</w:t>
      </w:r>
    </w:p>
    <w:p>
      <w:pPr>
        <w:pStyle w:val="BlueprintBullet"/>
        <w:widowControl/>
        <w:numPr>
          <w:ilvl w:val="0"/>
          <w:numId w:val="37"/>
        </w:numPr>
      </w:pPr>
      <w:r>
        <w:rPr>
          <w:rFonts w:ascii="Aptos" w:hAnsi="Aptos"/>
          <w:b w:val="0"/>
          <w:i w:val="0"/>
          <w:color w:val="1F2937"/>
          <w:sz w:val="21"/>
        </w:rPr>
        <w:t>Commit and push hashes independently verified.</w:t>
      </w:r>
    </w:p>
    <w:p>
      <w:pPr>
        <w:pStyle w:val="BlueprintBullet"/>
        <w:widowControl/>
        <w:numPr>
          <w:ilvl w:val="0"/>
          <w:numId w:val="37"/>
        </w:numPr>
      </w:pPr>
      <w:r>
        <w:rPr>
          <w:rFonts w:ascii="Aptos" w:hAnsi="Aptos"/>
          <w:b w:val="0"/>
          <w:i w:val="0"/>
          <w:color w:val="1F2937"/>
          <w:sz w:val="21"/>
        </w:rPr>
        <w:t>Production deployment ID and health independently verified where release is authorised.</w:t>
      </w:r>
    </w:p>
    <w:p>
      <w:pPr>
        <w:pStyle w:val="BlueprintBullet"/>
        <w:widowControl/>
        <w:numPr>
          <w:ilvl w:val="0"/>
          <w:numId w:val="37"/>
        </w:numPr>
      </w:pPr>
      <w:r>
        <w:rPr>
          <w:rFonts w:ascii="Aptos" w:hAnsi="Aptos"/>
          <w:b w:val="0"/>
          <w:i w:val="0"/>
          <w:color w:val="1F2937"/>
          <w:sz w:val="21"/>
        </w:rPr>
        <w:t>Completion report is treated as a claim until evidence is checked.</w:t>
      </w:r>
    </w:p>
    <w:p>
      <w:pPr>
        <w:pStyle w:val="BlueprintBullet"/>
        <w:widowControl/>
        <w:numPr>
          <w:ilvl w:val="0"/>
          <w:numId w:val="37"/>
        </w:numPr>
      </w:pPr>
      <w:r>
        <w:rPr>
          <w:rFonts w:ascii="Aptos" w:hAnsi="Aptos"/>
          <w:b w:val="0"/>
          <w:i w:val="0"/>
          <w:color w:val="1F2937"/>
          <w:sz w:val="21"/>
        </w:rPr>
        <w:t>Traceability and open-item registers updated.</w:t>
      </w:r>
    </w:p>
    <w:p>
      <w:pPr>
        <w:pStyle w:val="Heading1"/>
        <w:keepNext/>
        <w:widowControl/>
      </w:pPr>
      <w:r>
        <w:t>Appendix B — Acceptance test catalogue</w:t>
      </w:r>
    </w:p>
    <w:tbl>
      <w:tblPr>
        <w:tblStyle w:val="TableGrid"/>
        <w:tblW w:type="dxa" w:w="9360"/>
        <w:jc w:val="left"/>
        <w:tblLayout w:type="fixed"/>
        <w:tblLook w:firstColumn="1" w:firstRow="1" w:lastColumn="0" w:lastRow="0" w:noHBand="0" w:noVBand="1" w:val="04A0"/>
        <w:tblInd w:w="120" w:type="dxa"/>
      </w:tblPr>
      <w:tblGrid>
        <w:gridCol w:w="1100"/>
        <w:gridCol w:w="8260"/>
      </w:tblGrid>
      <w:tr>
        <w:trPr>
          <w:tblHeader w:val="true"/>
        </w:trPr>
        <w:tc>
          <w:tcPr>
            <w:tcW w:type="dxa" w:w="1100"/>
            <w:shd w:fill="111827"/>
            <w:vAlign w:val="top"/>
            <w:tcMar>
              <w:top w:w="90" w:type="dxa"/>
              <w:start w:w="120" w:type="dxa"/>
              <w:bottom w:w="90" w:type="dxa"/>
              <w:end w:w="120" w:type="dxa"/>
            </w:tcMar>
          </w:tcPr>
          <w:p>
            <w:r>
              <w:rPr>
                <w:rFonts w:ascii="Aptos" w:hAnsi="Aptos"/>
                <w:b/>
                <w:i w:val="0"/>
                <w:color w:val="FFFFFF"/>
                <w:sz w:val="17"/>
              </w:rPr>
              <w:t>ID</w:t>
            </w:r>
          </w:p>
        </w:tc>
        <w:tc>
          <w:tcPr>
            <w:tcW w:type="dxa" w:w="8260"/>
            <w:shd w:fill="111827"/>
            <w:vAlign w:val="top"/>
            <w:tcMar>
              <w:top w:w="90" w:type="dxa"/>
              <w:start w:w="120" w:type="dxa"/>
              <w:bottom w:w="90" w:type="dxa"/>
              <w:end w:w="120" w:type="dxa"/>
            </w:tcMar>
          </w:tcPr>
          <w:p>
            <w:r>
              <w:rPr>
                <w:rFonts w:ascii="Aptos" w:hAnsi="Aptos"/>
                <w:b/>
                <w:i w:val="0"/>
                <w:color w:val="FFFFFF"/>
                <w:sz w:val="17"/>
              </w:rPr>
              <w:t>Acceptance test</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A-01</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Create two clients and prove users cannot cross-read, search, export or infer records.</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A-02</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Switch events and prove caches, recent items and background jobs retain scope.</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A-03</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Import malformed guest list; raw source remains immutable and no guest is promoted.</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A-04</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Present exact and fuzzy duplicate candidates; only authorised human can merge/link.</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A-05</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Reverse an incorrect identity link without deleting event history.</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A-06</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Complete RSVP on low-bandwidth mobile with screen reader and keyboard.</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A-07</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Revoke a signed guest link and confirm it cannot be replayed.</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A-08</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Attempt campaign to opted-out guest; reject before job creation.</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A-09</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Process duplicate provider webhooks without duplicate business effect.</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A-10</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Receive inbound reply during provider delay; show it in guest thread and follow-up queue.</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A-11</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Restore prior layout snapshot without overwriting published history.</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A-12</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Run solver twice with identical input and receive identical result.</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A-13</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Submit mathematically impossible seating constraints and identify the conflict.</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A-14</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Edit solver allocation; retain reason, actor, before/after and approval.</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A-15</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Inspect QR payload and prove no personal data is present.</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A-16</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Revoke credential and reject online and offline admission after sync policy applies.</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A-17</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Scan card under glare, low light, damaged screen and print conditions.</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A-18</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Operate nine devices offline; reconnect and reconcile without lost accepted events.</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A-19</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Check same guest in on two offline devices; preserve both and surface conflict.</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A-20</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Revoke lost device without affecting other devices.</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A-21</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Publish EDR snapshot, correct an error through superseding version and preserve lineage.</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A-22</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Prevent non-Director device from closing runtime session.</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A-23</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Reconcile checked-in, no-show, walk-in, conflict and unknown guests.</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A-24</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Submit evidence for a standard; Green only after authorised verification.</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A-25</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Expire evidence and automatically return readiness to stale/attention state.</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A-26</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Create contradictory protocol facts; block recommendation and route specialist review.</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A-27</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AI recommendation displays inputs, knowledge version, confidence and limitations.</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A-28</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Attempt AI approval or doctrine publication; system denies it.</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A-29</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Withdraw biometric consent and verify future matching stops.</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A-30</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Run retention sweep and verify provider template and collection deletion.</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A-31</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FaceGate unavailable; guest is handled through non-biometric route.</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A-32</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Create cross-event match proposal; deny unauthorised reviewer and prevent automatic link.</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A-33</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Promote verified lesson; require knowledge approval before publication.</w:t>
            </w:r>
          </w:p>
        </w:tc>
      </w:tr>
      <w:tr>
        <w:tc>
          <w:tcPr>
            <w:tcW w:type="dxa" w:w="110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A-34</w:t>
            </w:r>
          </w:p>
        </w:tc>
        <w:tc>
          <w:tcPr>
            <w:tcW w:type="dxa" w:w="8260"/>
            <w:shd w:fill="F2F4F7"/>
            <w:vAlign w:val="top"/>
            <w:tcMar>
              <w:top w:w="90" w:type="dxa"/>
              <w:start w:w="120" w:type="dxa"/>
              <w:bottom w:w="90" w:type="dxa"/>
              <w:end w:w="120" w:type="dxa"/>
            </w:tcMar>
          </w:tcPr>
          <w:p>
            <w:pPr>
              <w:spacing w:after="40" w:line="245" w:lineRule="auto"/>
            </w:pPr>
            <w:r>
              <w:rPr>
                <w:rFonts w:ascii="Aptos" w:hAnsi="Aptos"/>
                <w:b w:val="0"/>
                <w:i w:val="0"/>
                <w:color w:val="1F2937"/>
                <w:sz w:val="17"/>
              </w:rPr>
              <w:t>Simulate message, solver, database and storage outage; show owned recovery.</w:t>
            </w:r>
          </w:p>
        </w:tc>
      </w:tr>
      <w:tr>
        <w:tc>
          <w:tcPr>
            <w:tcW w:type="dxa" w:w="110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A-35</w:t>
            </w:r>
          </w:p>
        </w:tc>
        <w:tc>
          <w:tcPr>
            <w:tcW w:type="dxa" w:w="8260"/>
            <w:shd w:fill="FFFFFF"/>
            <w:vAlign w:val="top"/>
            <w:tcMar>
              <w:top w:w="90" w:type="dxa"/>
              <w:start w:w="120" w:type="dxa"/>
              <w:bottom w:w="90" w:type="dxa"/>
              <w:end w:w="120" w:type="dxa"/>
            </w:tcMar>
          </w:tcPr>
          <w:p>
            <w:pPr>
              <w:spacing w:after="40" w:line="245" w:lineRule="auto"/>
            </w:pPr>
            <w:r>
              <w:rPr>
                <w:rFonts w:ascii="Aptos" w:hAnsi="Aptos"/>
                <w:b w:val="0"/>
                <w:i w:val="0"/>
                <w:color w:val="1F2937"/>
                <w:sz w:val="17"/>
              </w:rPr>
              <w:t>Complete supervised pilot; reconcile every operational ledger before release decision.</w:t>
            </w:r>
          </w:p>
        </w:tc>
      </w:tr>
    </w:tbl>
    <w:p>
      <w:pPr>
        <w:widowControl/>
        <w:spacing w:after="0"/>
      </w:pPr>
    </w:p>
    <w:sectPr w:rsidR="00FC693F" w:rsidRPr="0006063C" w:rsidSect="00034616">
      <w:headerReference w:type="default" r:id="rId9"/>
      <w:footerReference w:type="default" r:id="rId10"/>
      <w:pgSz w:w="12240" w:h="15840"/>
      <w:pgMar w:top="1224" w:right="1296" w:bottom="1224"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085"/>
        <w:sz w:val="16"/>
      </w:rPr>
      <w:t xml:space="preserve">Controlled architecture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67085"/>
        <w:sz w:val="16"/>
      </w:rPr>
      <w:t>MAISON DOCLAR  /  CANONICAL BUILD BLUEPRINT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540"/>
        </w:tabs>
        <w:ind w:left="540" w:hanging="270"/>
      </w:pPr>
      <w:rPr>
        <w:rFonts w:ascii="Arial" w:hAnsi="Arial"/>
      </w:rPr>
    </w:lvl>
  </w:abstractNum>
  <w:num w:numId="10">
    <w:abstractNumId w:val="9"/>
  </w:num>
  <w:abstractNum w:abstractNumId="10">
    <w:multiLevelType w:val="singleLevel"/>
    <w:lvl w:ilvl="0">
      <w:start w:val="1"/>
      <w:numFmt w:val="bullet"/>
      <w:lvlText w:val="•"/>
      <w:pPr>
        <w:tabs>
          <w:tab w:val="num" w:pos="540"/>
        </w:tabs>
        <w:ind w:left="540" w:hanging="270"/>
      </w:pPr>
      <w:rPr>
        <w:rFonts w:ascii="Arial" w:hAnsi="Arial"/>
      </w:rPr>
    </w:lvl>
  </w:abstractNum>
  <w:num w:numId="11">
    <w:abstractNumId w:val="10"/>
  </w:num>
  <w:abstractNum w:abstractNumId="11">
    <w:multiLevelType w:val="singleLevel"/>
    <w:lvl w:ilvl="0">
      <w:start w:val="1"/>
      <w:numFmt w:val="bullet"/>
      <w:lvlText w:val="•"/>
      <w:pPr>
        <w:tabs>
          <w:tab w:val="num" w:pos="540"/>
        </w:tabs>
        <w:ind w:left="540" w:hanging="270"/>
      </w:pPr>
      <w:rPr>
        <w:rFonts w:ascii="Arial" w:hAnsi="Arial"/>
      </w:rPr>
    </w:lvl>
  </w:abstractNum>
  <w:num w:numId="12">
    <w:abstractNumId w:val="11"/>
  </w:num>
  <w:abstractNum w:abstractNumId="12">
    <w:multiLevelType w:val="singleLevel"/>
    <w:lvl w:ilvl="0">
      <w:start w:val="1"/>
      <w:numFmt w:val="bullet"/>
      <w:lvlText w:val="•"/>
      <w:pPr>
        <w:tabs>
          <w:tab w:val="num" w:pos="540"/>
        </w:tabs>
        <w:ind w:left="540" w:hanging="270"/>
      </w:pPr>
      <w:rPr>
        <w:rFonts w:ascii="Arial" w:hAnsi="Arial"/>
      </w:rPr>
    </w:lvl>
  </w:abstractNum>
  <w:num w:numId="13">
    <w:abstractNumId w:val="12"/>
  </w:num>
  <w:abstractNum w:abstractNumId="13">
    <w:multiLevelType w:val="singleLevel"/>
    <w:lvl w:ilvl="0">
      <w:start w:val="1"/>
      <w:numFmt w:val="bullet"/>
      <w:lvlText w:val="•"/>
      <w:pPr>
        <w:tabs>
          <w:tab w:val="num" w:pos="540"/>
        </w:tabs>
        <w:ind w:left="540" w:hanging="270"/>
      </w:pPr>
      <w:rPr>
        <w:rFonts w:ascii="Arial" w:hAnsi="Arial"/>
      </w:rPr>
    </w:lvl>
  </w:abstractNum>
  <w:num w:numId="14">
    <w:abstractNumId w:val="13"/>
  </w:num>
  <w:abstractNum w:abstractNumId="14">
    <w:multiLevelType w:val="singleLevel"/>
    <w:lvl w:ilvl="0">
      <w:start w:val="1"/>
      <w:numFmt w:val="bullet"/>
      <w:lvlText w:val="•"/>
      <w:pPr>
        <w:tabs>
          <w:tab w:val="num" w:pos="540"/>
        </w:tabs>
        <w:ind w:left="540" w:hanging="270"/>
      </w:pPr>
      <w:rPr>
        <w:rFonts w:ascii="Arial" w:hAnsi="Arial"/>
      </w:rPr>
    </w:lvl>
  </w:abstractNum>
  <w:num w:numId="15">
    <w:abstractNumId w:val="14"/>
  </w:num>
  <w:abstractNum w:abstractNumId="15">
    <w:multiLevelType w:val="singleLevel"/>
    <w:lvl w:ilvl="0">
      <w:start w:val="1"/>
      <w:numFmt w:val="decimal"/>
      <w:lvlText w:val="%1."/>
      <w:suff w:val="tab"/>
      <w:pPr>
        <w:tabs>
          <w:tab w:val="num" w:pos="720"/>
        </w:tabs>
        <w:ind w:left="720" w:hanging="360"/>
      </w:pPr>
    </w:lvl>
  </w:abstractNum>
  <w:num w:numId="16">
    <w:abstractNumId w:val="15"/>
  </w:num>
  <w:abstractNum w:abstractNumId="16">
    <w:multiLevelType w:val="singleLevel"/>
    <w:lvl w:ilvl="0">
      <w:start w:val="1"/>
      <w:numFmt w:val="bullet"/>
      <w:lvlText w:val="•"/>
      <w:pPr>
        <w:tabs>
          <w:tab w:val="num" w:pos="540"/>
        </w:tabs>
        <w:ind w:left="540" w:hanging="270"/>
      </w:pPr>
      <w:rPr>
        <w:rFonts w:ascii="Arial" w:hAnsi="Arial"/>
      </w:rPr>
    </w:lvl>
  </w:abstractNum>
  <w:num w:numId="17">
    <w:abstractNumId w:val="16"/>
  </w:num>
  <w:abstractNum w:abstractNumId="17">
    <w:multiLevelType w:val="singleLevel"/>
    <w:lvl w:ilvl="0">
      <w:start w:val="1"/>
      <w:numFmt w:val="bullet"/>
      <w:lvlText w:val="•"/>
      <w:pPr>
        <w:tabs>
          <w:tab w:val="num" w:pos="540"/>
        </w:tabs>
        <w:ind w:left="540" w:hanging="270"/>
      </w:pPr>
      <w:rPr>
        <w:rFonts w:ascii="Arial" w:hAnsi="Arial"/>
      </w:rPr>
    </w:lvl>
  </w:abstractNum>
  <w:num w:numId="18">
    <w:abstractNumId w:val="17"/>
  </w:num>
  <w:abstractNum w:abstractNumId="18">
    <w:multiLevelType w:val="singleLevel"/>
    <w:lvl w:ilvl="0">
      <w:start w:val="1"/>
      <w:numFmt w:val="bullet"/>
      <w:lvlText w:val="•"/>
      <w:pPr>
        <w:tabs>
          <w:tab w:val="num" w:pos="540"/>
        </w:tabs>
        <w:ind w:left="540" w:hanging="270"/>
      </w:pPr>
      <w:rPr>
        <w:rFonts w:ascii="Arial" w:hAnsi="Arial"/>
      </w:rPr>
    </w:lvl>
  </w:abstractNum>
  <w:num w:numId="19">
    <w:abstractNumId w:val="18"/>
  </w:num>
  <w:abstractNum w:abstractNumId="19">
    <w:multiLevelType w:val="singleLevel"/>
    <w:lvl w:ilvl="0">
      <w:start w:val="1"/>
      <w:numFmt w:val="decimal"/>
      <w:lvlText w:val="%1."/>
      <w:suff w:val="tab"/>
      <w:pPr>
        <w:tabs>
          <w:tab w:val="num" w:pos="720"/>
        </w:tabs>
        <w:ind w:left="720" w:hanging="360"/>
      </w:pPr>
    </w:lvl>
  </w:abstractNum>
  <w:num w:numId="20">
    <w:abstractNumId w:val="19"/>
  </w:num>
  <w:abstractNum w:abstractNumId="20">
    <w:multiLevelType w:val="singleLevel"/>
    <w:lvl w:ilvl="0">
      <w:start w:val="1"/>
      <w:numFmt w:val="decimal"/>
      <w:lvlText w:val="%1."/>
      <w:suff w:val="tab"/>
      <w:pPr>
        <w:tabs>
          <w:tab w:val="num" w:pos="720"/>
        </w:tabs>
        <w:ind w:left="720" w:hanging="360"/>
      </w:pPr>
    </w:lvl>
  </w:abstractNum>
  <w:num w:numId="21">
    <w:abstractNumId w:val="20"/>
  </w:num>
  <w:abstractNum w:abstractNumId="21">
    <w:multiLevelType w:val="singleLevel"/>
    <w:lvl w:ilvl="0">
      <w:start w:val="1"/>
      <w:numFmt w:val="decimal"/>
      <w:lvlText w:val="%1."/>
      <w:suff w:val="tab"/>
      <w:pPr>
        <w:tabs>
          <w:tab w:val="num" w:pos="720"/>
        </w:tabs>
        <w:ind w:left="720" w:hanging="360"/>
      </w:pPr>
    </w:lvl>
  </w:abstractNum>
  <w:num w:numId="22">
    <w:abstractNumId w:val="21"/>
  </w:num>
  <w:abstractNum w:abstractNumId="22">
    <w:multiLevelType w:val="singleLevel"/>
    <w:lvl w:ilvl="0">
      <w:start w:val="1"/>
      <w:numFmt w:val="bullet"/>
      <w:lvlText w:val="•"/>
      <w:pPr>
        <w:tabs>
          <w:tab w:val="num" w:pos="540"/>
        </w:tabs>
        <w:ind w:left="540" w:hanging="270"/>
      </w:pPr>
      <w:rPr>
        <w:rFonts w:ascii="Arial" w:hAnsi="Arial"/>
      </w:rPr>
    </w:lvl>
  </w:abstractNum>
  <w:num w:numId="23">
    <w:abstractNumId w:val="22"/>
  </w:num>
  <w:abstractNum w:abstractNumId="23">
    <w:multiLevelType w:val="singleLevel"/>
    <w:lvl w:ilvl="0">
      <w:start w:val="1"/>
      <w:numFmt w:val="bullet"/>
      <w:lvlText w:val="•"/>
      <w:pPr>
        <w:tabs>
          <w:tab w:val="num" w:pos="540"/>
        </w:tabs>
        <w:ind w:left="540" w:hanging="270"/>
      </w:pPr>
      <w:rPr>
        <w:rFonts w:ascii="Arial" w:hAnsi="Arial"/>
      </w:rPr>
    </w:lvl>
  </w:abstractNum>
  <w:num w:numId="24">
    <w:abstractNumId w:val="23"/>
  </w:num>
  <w:abstractNum w:abstractNumId="24">
    <w:multiLevelType w:val="singleLevel"/>
    <w:lvl w:ilvl="0">
      <w:start w:val="1"/>
      <w:numFmt w:val="decimal"/>
      <w:lvlText w:val="%1."/>
      <w:suff w:val="tab"/>
      <w:pPr>
        <w:tabs>
          <w:tab w:val="num" w:pos="720"/>
        </w:tabs>
        <w:ind w:left="720" w:hanging="360"/>
      </w:pPr>
    </w:lvl>
  </w:abstractNum>
  <w:num w:numId="25">
    <w:abstractNumId w:val="24"/>
  </w:num>
  <w:abstractNum w:abstractNumId="25">
    <w:multiLevelType w:val="singleLevel"/>
    <w:lvl w:ilvl="0">
      <w:start w:val="1"/>
      <w:numFmt w:val="bullet"/>
      <w:lvlText w:val="•"/>
      <w:pPr>
        <w:tabs>
          <w:tab w:val="num" w:pos="540"/>
        </w:tabs>
        <w:ind w:left="540" w:hanging="270"/>
      </w:pPr>
      <w:rPr>
        <w:rFonts w:ascii="Arial" w:hAnsi="Arial"/>
      </w:rPr>
    </w:lvl>
  </w:abstractNum>
  <w:num w:numId="26">
    <w:abstractNumId w:val="25"/>
  </w:num>
  <w:abstractNum w:abstractNumId="26">
    <w:multiLevelType w:val="singleLevel"/>
    <w:lvl w:ilvl="0">
      <w:start w:val="1"/>
      <w:numFmt w:val="bullet"/>
      <w:lvlText w:val="•"/>
      <w:pPr>
        <w:tabs>
          <w:tab w:val="num" w:pos="540"/>
        </w:tabs>
        <w:ind w:left="540" w:hanging="270"/>
      </w:pPr>
      <w:rPr>
        <w:rFonts w:ascii="Arial" w:hAnsi="Arial"/>
      </w:rPr>
    </w:lvl>
  </w:abstractNum>
  <w:num w:numId="27">
    <w:abstractNumId w:val="26"/>
  </w:num>
  <w:abstractNum w:abstractNumId="27">
    <w:multiLevelType w:val="singleLevel"/>
    <w:lvl w:ilvl="0">
      <w:start w:val="1"/>
      <w:numFmt w:val="bullet"/>
      <w:lvlText w:val="•"/>
      <w:pPr>
        <w:tabs>
          <w:tab w:val="num" w:pos="540"/>
        </w:tabs>
        <w:ind w:left="540" w:hanging="270"/>
      </w:pPr>
      <w:rPr>
        <w:rFonts w:ascii="Arial" w:hAnsi="Arial"/>
      </w:rPr>
    </w:lvl>
  </w:abstractNum>
  <w:num w:numId="28">
    <w:abstractNumId w:val="27"/>
  </w:num>
  <w:abstractNum w:abstractNumId="28">
    <w:multiLevelType w:val="singleLevel"/>
    <w:lvl w:ilvl="0">
      <w:start w:val="1"/>
      <w:numFmt w:val="decimal"/>
      <w:lvlText w:val="%1."/>
      <w:suff w:val="tab"/>
      <w:pPr>
        <w:tabs>
          <w:tab w:val="num" w:pos="720"/>
        </w:tabs>
        <w:ind w:left="720" w:hanging="360"/>
      </w:pPr>
    </w:lvl>
  </w:abstractNum>
  <w:num w:numId="29">
    <w:abstractNumId w:val="28"/>
  </w:num>
  <w:abstractNum w:abstractNumId="29">
    <w:multiLevelType w:val="singleLevel"/>
    <w:lvl w:ilvl="0">
      <w:start w:val="1"/>
      <w:numFmt w:val="bullet"/>
      <w:lvlText w:val="•"/>
      <w:pPr>
        <w:tabs>
          <w:tab w:val="num" w:pos="540"/>
        </w:tabs>
        <w:ind w:left="540" w:hanging="270"/>
      </w:pPr>
      <w:rPr>
        <w:rFonts w:ascii="Arial" w:hAnsi="Arial"/>
      </w:rPr>
    </w:lvl>
  </w:abstractNum>
  <w:num w:numId="30">
    <w:abstractNumId w:val="29"/>
  </w:num>
  <w:abstractNum w:abstractNumId="30">
    <w:multiLevelType w:val="singleLevel"/>
    <w:lvl w:ilvl="0">
      <w:start w:val="1"/>
      <w:numFmt w:val="bullet"/>
      <w:lvlText w:val="•"/>
      <w:pPr>
        <w:tabs>
          <w:tab w:val="num" w:pos="540"/>
        </w:tabs>
        <w:ind w:left="540" w:hanging="270"/>
      </w:pPr>
      <w:rPr>
        <w:rFonts w:ascii="Arial" w:hAnsi="Arial"/>
      </w:rPr>
    </w:lvl>
  </w:abstractNum>
  <w:num w:numId="31">
    <w:abstractNumId w:val="30"/>
  </w:num>
  <w:abstractNum w:abstractNumId="31">
    <w:multiLevelType w:val="singleLevel"/>
    <w:lvl w:ilvl="0">
      <w:start w:val="1"/>
      <w:numFmt w:val="bullet"/>
      <w:lvlText w:val="•"/>
      <w:pPr>
        <w:tabs>
          <w:tab w:val="num" w:pos="540"/>
        </w:tabs>
        <w:ind w:left="540" w:hanging="270"/>
      </w:pPr>
      <w:rPr>
        <w:rFonts w:ascii="Arial" w:hAnsi="Arial"/>
      </w:rPr>
    </w:lvl>
  </w:abstractNum>
  <w:num w:numId="32">
    <w:abstractNumId w:val="31"/>
  </w:num>
  <w:abstractNum w:abstractNumId="32">
    <w:multiLevelType w:val="singleLevel"/>
    <w:lvl w:ilvl="0">
      <w:start w:val="1"/>
      <w:numFmt w:val="decimal"/>
      <w:lvlText w:val="%1."/>
      <w:suff w:val="tab"/>
      <w:pPr>
        <w:tabs>
          <w:tab w:val="num" w:pos="720"/>
        </w:tabs>
        <w:ind w:left="720" w:hanging="360"/>
      </w:pPr>
    </w:lvl>
  </w:abstractNum>
  <w:num w:numId="33">
    <w:abstractNumId w:val="32"/>
  </w:num>
  <w:abstractNum w:abstractNumId="33">
    <w:multiLevelType w:val="singleLevel"/>
    <w:lvl w:ilvl="0">
      <w:start w:val="1"/>
      <w:numFmt w:val="bullet"/>
      <w:lvlText w:val="•"/>
      <w:pPr>
        <w:tabs>
          <w:tab w:val="num" w:pos="540"/>
        </w:tabs>
        <w:ind w:left="540" w:hanging="270"/>
      </w:pPr>
      <w:rPr>
        <w:rFonts w:ascii="Arial" w:hAnsi="Arial"/>
      </w:rPr>
    </w:lvl>
  </w:abstractNum>
  <w:num w:numId="34">
    <w:abstractNumId w:val="33"/>
  </w:num>
  <w:abstractNum w:abstractNumId="34">
    <w:multiLevelType w:val="singleLevel"/>
    <w:lvl w:ilvl="0">
      <w:start w:val="1"/>
      <w:numFmt w:val="bullet"/>
      <w:lvlText w:val="•"/>
      <w:pPr>
        <w:tabs>
          <w:tab w:val="num" w:pos="540"/>
        </w:tabs>
        <w:ind w:left="540" w:hanging="270"/>
      </w:pPr>
      <w:rPr>
        <w:rFonts w:ascii="Arial" w:hAnsi="Arial"/>
      </w:rPr>
    </w:lvl>
  </w:abstractNum>
  <w:num w:numId="35">
    <w:abstractNumId w:val="34"/>
  </w:num>
  <w:abstractNum w:abstractNumId="35">
    <w:multiLevelType w:val="singleLevel"/>
    <w:lvl w:ilvl="0">
      <w:start w:val="1"/>
      <w:numFmt w:val="bullet"/>
      <w:lvlText w:val="•"/>
      <w:pPr>
        <w:tabs>
          <w:tab w:val="num" w:pos="540"/>
        </w:tabs>
        <w:ind w:left="540" w:hanging="270"/>
      </w:pPr>
      <w:rPr>
        <w:rFonts w:ascii="Arial" w:hAnsi="Arial"/>
      </w:rPr>
    </w:lvl>
  </w:abstractNum>
  <w:num w:numId="36">
    <w:abstractNumId w:val="35"/>
  </w:num>
  <w:abstractNum w:abstractNumId="36">
    <w:multiLevelType w:val="singleLevel"/>
    <w:lvl w:ilvl="0">
      <w:start w:val="1"/>
      <w:numFmt w:val="bullet"/>
      <w:lvlText w:val="•"/>
      <w:pPr>
        <w:tabs>
          <w:tab w:val="num" w:pos="540"/>
        </w:tabs>
        <w:ind w:left="540" w:hanging="270"/>
      </w:pPr>
      <w:rPr>
        <w:rFonts w:ascii="Arial" w:hAnsi="Arial"/>
      </w:rPr>
    </w:lvl>
  </w:abstract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1182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Callout">
    <w:name w:val="Blueprint Callout"/>
    <w:basedOn w:val="Normal"/>
    <w:pPr>
      <w:spacing w:before="120" w:after="160"/>
      <w:ind w:left="259"/>
    </w:pPr>
    <w:rPr>
      <w:rFonts w:ascii="Aptos" w:hAnsi="Aptos"/>
      <w:b/>
      <w:color w:val="111827"/>
      <w:sz w:val="21"/>
    </w:rPr>
  </w:style>
  <w:style w:type="paragraph" w:customStyle="1" w:styleId="BlueprintBullet">
    <w:name w:val="Blueprint Bullet"/>
    <w:basedOn w:val="Normal"/>
    <w:pPr>
      <w:spacing w:after="60" w:line="259" w:lineRule="auto"/>
    </w:pPr>
  </w:style>
  <w:style w:type="paragraph" w:customStyle="1" w:styleId="BlueprintNumber">
    <w:name w:val="Blueprint Number"/>
    <w:basedOn w:val="Normal"/>
    <w:pPr>
      <w:spacing w:after="80" w:line="259"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Canonical Build Blueprint v1.0</dc:title>
  <dc:subject>Architecture, data, intelligence, frontend, delivery and acceptance specification</dc:subject>
  <dc:creator>Maison Doclar</dc:creator>
  <cp:keywords/>
  <dc:description>Prepared from the Intelligence Specification v1.0 and verified legacy architecture findings. CEO ratification required.</dc:description>
  <cp:lastModifiedBy/>
  <cp:revision>1</cp:revision>
  <dcterms:created xsi:type="dcterms:W3CDTF">2013-12-23T23:15:00Z</dcterms:created>
  <dcterms:modified xsi:type="dcterms:W3CDTF">2013-12-23T23:15:00Z</dcterms:modified>
  <cp:category/>
</cp:coreProperties>
</file>