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INDEPENDENT REVIEW</w:t>
      </w:r>
    </w:p>
    <w:p>
      <w:pPr>
        <w:pStyle w:val="Title"/>
      </w:pPr>
      <w:r>
        <w:t>Maison Doclar Independent Acceptance Pack</w:t>
      </w:r>
    </w:p>
    <w:p>
      <w:pPr>
        <w:pStyle w:val="Subtitle"/>
      </w:pPr>
      <w:r>
        <w:t>Prompt, slice and production-gate verification manual</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Control</w:t>
            </w:r>
          </w:p>
        </w:tc>
        <w:tc>
          <w:tcPr>
            <w:tcW w:type="dxa" w:w="7272"/>
            <w:shd w:fill="E8EEF5"/>
            <w:tcMar>
              <w:top w:w="80" w:type="dxa"/>
              <w:start w:w="120" w:type="dxa"/>
              <w:bottom w:w="80" w:type="dxa"/>
              <w:end w:w="120" w:type="dxa"/>
            </w:tcMar>
          </w:tcPr>
          <w:p>
            <w:r>
              <w:rPr>
                <w:b/>
              </w:rPr>
              <w:t>Value</w:t>
            </w:r>
          </w:p>
        </w:tc>
      </w:tr>
      <w:tr>
        <w:tc>
          <w:tcPr>
            <w:tcW w:type="dxa" w:w="2088"/>
            <w:tcMar>
              <w:top w:w="80" w:type="dxa"/>
              <w:start w:w="120" w:type="dxa"/>
              <w:bottom w:w="80" w:type="dxa"/>
              <w:end w:w="120" w:type="dxa"/>
            </w:tcMar>
            <w:vAlign w:val="center"/>
          </w:tcPr>
          <w:p>
            <w:pPr>
              <w:spacing w:after="20" w:line="250" w:lineRule="auto"/>
            </w:pPr>
            <w:r>
              <w:t>Version</w:t>
            </w:r>
          </w:p>
        </w:tc>
        <w:tc>
          <w:tcPr>
            <w:tcW w:type="dxa" w:w="7272"/>
            <w:tcMar>
              <w:top w:w="80" w:type="dxa"/>
              <w:start w:w="120" w:type="dxa"/>
              <w:bottom w:w="80" w:type="dxa"/>
              <w:end w:w="120" w:type="dxa"/>
            </w:tcMar>
            <w:vAlign w:val="center"/>
          </w:tcPr>
          <w:p>
            <w:pPr>
              <w:spacing w:after="20" w:line="250" w:lineRule="auto"/>
            </w:pPr>
            <w:r>
              <w:t>1.0 - canonical reviewer pack</w:t>
            </w:r>
          </w:p>
        </w:tc>
      </w:tr>
      <w:tr>
        <w:tc>
          <w:tcPr>
            <w:tcW w:type="dxa" w:w="2088"/>
            <w:tcMar>
              <w:top w:w="80" w:type="dxa"/>
              <w:start w:w="120" w:type="dxa"/>
              <w:bottom w:w="80" w:type="dxa"/>
              <w:end w:w="120" w:type="dxa"/>
            </w:tcMar>
            <w:vAlign w:val="center"/>
            <w:shd w:fill="F7F8FA"/>
          </w:tcPr>
          <w:p>
            <w:pPr>
              <w:spacing w:after="20" w:line="250" w:lineRule="auto"/>
            </w:pPr>
            <w:r>
              <w:t>Authority</w:t>
            </w:r>
          </w:p>
        </w:tc>
        <w:tc>
          <w:tcPr>
            <w:tcW w:type="dxa" w:w="7272"/>
            <w:tcMar>
              <w:top w:w="80" w:type="dxa"/>
              <w:start w:w="120" w:type="dxa"/>
              <w:bottom w:w="80" w:type="dxa"/>
              <w:end w:w="120" w:type="dxa"/>
            </w:tcMar>
            <w:vAlign w:val="center"/>
            <w:shd w:fill="F7F8FA"/>
          </w:tcPr>
          <w:p>
            <w:pPr>
              <w:spacing w:after="20" w:line="250" w:lineRule="auto"/>
            </w:pPr>
            <w:r>
              <w:t>Intelligence Specification v1.0, Canonical Build Blueprint v1.0, 12 Implementation Specifications, 12 Cursor Prompt Packs and Master Build Control Index v1.0</w:t>
            </w:r>
          </w:p>
        </w:tc>
      </w:tr>
      <w:tr>
        <w:tc>
          <w:tcPr>
            <w:tcW w:type="dxa" w:w="2088"/>
            <w:tcMar>
              <w:top w:w="80" w:type="dxa"/>
              <w:start w:w="120" w:type="dxa"/>
              <w:bottom w:w="80" w:type="dxa"/>
              <w:end w:w="120" w:type="dxa"/>
            </w:tcMar>
            <w:vAlign w:val="center"/>
          </w:tcPr>
          <w:p>
            <w:pPr>
              <w:spacing w:after="20" w:line="250" w:lineRule="auto"/>
            </w:pPr>
            <w:r>
              <w:t>Applies to</w:t>
            </w:r>
          </w:p>
        </w:tc>
        <w:tc>
          <w:tcPr>
            <w:tcW w:type="dxa" w:w="7272"/>
            <w:tcMar>
              <w:top w:w="80" w:type="dxa"/>
              <w:start w:w="120" w:type="dxa"/>
              <w:bottom w:w="80" w:type="dxa"/>
              <w:end w:w="120" w:type="dxa"/>
            </w:tcMar>
            <w:vAlign w:val="center"/>
          </w:tcPr>
          <w:p>
            <w:pPr>
              <w:spacing w:after="20" w:line="250" w:lineRule="auto"/>
            </w:pPr>
            <w:r>
              <w:t>Every Cursor completion claim, accepted commit, slice exit, release candidate and G0-G6 gate</w:t>
            </w:r>
          </w:p>
        </w:tc>
      </w:tr>
      <w:tr>
        <w:tc>
          <w:tcPr>
            <w:tcW w:type="dxa" w:w="2088"/>
            <w:tcMar>
              <w:top w:w="80" w:type="dxa"/>
              <w:start w:w="120" w:type="dxa"/>
              <w:bottom w:w="80" w:type="dxa"/>
              <w:end w:w="120" w:type="dxa"/>
            </w:tcMar>
            <w:vAlign w:val="center"/>
            <w:shd w:fill="F7F8FA"/>
          </w:tcPr>
          <w:p>
            <w:pPr>
              <w:spacing w:after="20" w:line="250" w:lineRule="auto"/>
            </w:pPr>
            <w:r>
              <w:t>Reviewer position</w:t>
            </w:r>
          </w:p>
        </w:tc>
        <w:tc>
          <w:tcPr>
            <w:tcW w:type="dxa" w:w="7272"/>
            <w:tcMar>
              <w:top w:w="80" w:type="dxa"/>
              <w:start w:w="120" w:type="dxa"/>
              <w:bottom w:w="80" w:type="dxa"/>
              <w:end w:w="120" w:type="dxa"/>
            </w:tcMar>
            <w:vAlign w:val="center"/>
            <w:shd w:fill="F7F8FA"/>
          </w:tcPr>
          <w:p>
            <w:pPr>
              <w:spacing w:after="20" w:line="250" w:lineRule="auto"/>
            </w:pPr>
            <w:r>
              <w:t>Independent verifier; not the implementer and not a substitute for reserved business authority</w:t>
            </w:r>
          </w:p>
        </w:tc>
      </w:tr>
      <w:tr>
        <w:tc>
          <w:tcPr>
            <w:tcW w:type="dxa" w:w="2088"/>
            <w:tcMar>
              <w:top w:w="80" w:type="dxa"/>
              <w:start w:w="120" w:type="dxa"/>
              <w:bottom w:w="80" w:type="dxa"/>
              <w:end w:w="120" w:type="dxa"/>
            </w:tcMar>
            <w:vAlign w:val="center"/>
          </w:tcPr>
          <w:p>
            <w:pPr>
              <w:spacing w:after="20" w:line="250" w:lineRule="auto"/>
            </w:pPr>
            <w:r>
              <w:t>Decision outputs</w:t>
            </w:r>
          </w:p>
        </w:tc>
        <w:tc>
          <w:tcPr>
            <w:tcW w:type="dxa" w:w="7272"/>
            <w:tcMar>
              <w:top w:w="80" w:type="dxa"/>
              <w:start w:w="120" w:type="dxa"/>
              <w:bottom w:w="80" w:type="dxa"/>
              <w:end w:w="120" w:type="dxa"/>
            </w:tcMar>
            <w:vAlign w:val="center"/>
          </w:tcPr>
          <w:p>
            <w:pPr>
              <w:spacing w:after="20" w:line="250" w:lineRule="auto"/>
            </w:pPr>
            <w:r>
              <w:t>ACCEPTED, CORRECTION REQUIRED or BLOCKED; SUPERSEDED/REVOKED only through recorded control</w:t>
            </w:r>
          </w:p>
        </w:tc>
      </w:tr>
      <w:tr>
        <w:tc>
          <w:tcPr>
            <w:tcW w:type="dxa" w:w="2088"/>
            <w:tcMar>
              <w:top w:w="80" w:type="dxa"/>
              <w:start w:w="120" w:type="dxa"/>
              <w:bottom w:w="80" w:type="dxa"/>
              <w:end w:w="120" w:type="dxa"/>
            </w:tcMar>
            <w:vAlign w:val="center"/>
            <w:shd w:fill="F7F8FA"/>
          </w:tcPr>
          <w:p>
            <w:pPr>
              <w:spacing w:after="20" w:line="250" w:lineRule="auto"/>
            </w:pPr>
            <w:r>
              <w:t>Core rule</w:t>
            </w:r>
          </w:p>
        </w:tc>
        <w:tc>
          <w:tcPr>
            <w:tcW w:type="dxa" w:w="7272"/>
            <w:tcMar>
              <w:top w:w="80" w:type="dxa"/>
              <w:start w:w="120" w:type="dxa"/>
              <w:bottom w:w="80" w:type="dxa"/>
              <w:end w:w="120" w:type="dxa"/>
            </w:tcMar>
            <w:vAlign w:val="center"/>
            <w:shd w:fill="F7F8FA"/>
          </w:tcPr>
          <w:p>
            <w:pPr>
              <w:spacing w:after="20" w:line="250" w:lineRule="auto"/>
            </w:pPr>
            <w:r>
              <w:t>Cursor reports evidence but cannot approve its own work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Acceptance law</w:t>
            </w:r>
          </w:p>
        </w:tc>
      </w:tr>
      <w:tr>
        <w:tc>
          <w:tcPr>
            <w:tcW w:type="dxa" w:w="9360"/>
            <w:tcMar>
              <w:top w:w="80" w:type="dxa"/>
              <w:start w:w="120" w:type="dxa"/>
              <w:bottom w:w="80" w:type="dxa"/>
              <w:end w:w="120" w:type="dxa"/>
            </w:tcMar>
            <w:vAlign w:val="center"/>
            <w:shd w:fill="FFF8E8"/>
          </w:tcPr>
          <w:p>
            <w:pPr>
              <w:spacing w:after="20" w:line="250" w:lineRule="auto"/>
            </w:pPr>
            <w:r>
              <w:t>Advance only when the reviewer can reproduce the material result on the exact claimed commit and can explain why every mandatory backend, frontend, data, authority, privacy, accessibility and recovery obligation is satisfied.</w:t>
            </w:r>
          </w:p>
        </w:tc>
      </w:tr>
    </w:tbl>
    <w:p>
      <w:pPr>
        <w:spacing w:after="0"/>
      </w:pPr>
    </w:p>
    <w:p>
      <w:pPr>
        <w:pStyle w:val="Heading1"/>
      </w:pPr>
      <w:r>
        <w:t>1. Purpose and boundary</w:t>
      </w:r>
    </w:p>
    <w:p>
      <w:pPr>
        <w:pStyle w:val="ListBullet"/>
        <w:spacing w:after="60"/>
      </w:pPr>
      <w:r>
        <w:t>This pack tells an independent reviewer how to test a Cursor claim before the next prompt is authorised.</w:t>
      </w:r>
    </w:p>
    <w:p>
      <w:pPr>
        <w:pStyle w:val="ListBullet"/>
        <w:spacing w:after="60"/>
      </w:pPr>
      <w:r>
        <w:t>It supplements the controlling specification and prompt; it never replaces or narrows them.</w:t>
      </w:r>
    </w:p>
    <w:p>
      <w:pPr>
        <w:pStyle w:val="ListBullet"/>
        <w:spacing w:after="60"/>
      </w:pPr>
      <w:r>
        <w:t>The reviewer tests implementation and evidence. CEO, Legal, Privacy, Security, Event Director and domain-owner decisions remain with their named authorities.</w:t>
      </w:r>
    </w:p>
    <w:p>
      <w:pPr>
        <w:pStyle w:val="ListBullet"/>
        <w:spacing w:after="60"/>
      </w:pPr>
      <w:r>
        <w:t>A review may use automation, but acceptance is a reasoned decision over code, behavior, evidence and residual risk.</w:t>
      </w:r>
    </w:p>
    <w:p>
      <w:pPr>
        <w:pStyle w:val="Heading2"/>
      </w:pPr>
      <w:r>
        <w:t>1.1 What acceptance is not</w:t>
      </w:r>
    </w:p>
    <w:p>
      <w:pPr>
        <w:pStyle w:val="ListBullet"/>
        <w:spacing w:after="60"/>
      </w:pPr>
      <w:r>
        <w:t>A green CI badge, successful build, screenshot, demo or Cursor summary.</w:t>
      </w:r>
    </w:p>
    <w:p>
      <w:pPr>
        <w:pStyle w:val="ListBullet"/>
        <w:spacing w:after="60"/>
      </w:pPr>
      <w:r>
        <w:t>A review of code without exercising the user interface and operational states.</w:t>
      </w:r>
    </w:p>
    <w:p>
      <w:pPr>
        <w:pStyle w:val="ListBullet"/>
        <w:spacing w:after="60"/>
      </w:pPr>
      <w:r>
        <w:t>A product walkthrough using direct database edits, hidden scripts or engineering assistance.</w:t>
      </w:r>
    </w:p>
    <w:p>
      <w:pPr>
        <w:pStyle w:val="ListBullet"/>
        <w:spacing w:after="60"/>
      </w:pPr>
      <w:r>
        <w:t>Permission to defer required work because a later prompt looks related.</w:t>
      </w:r>
    </w:p>
    <w:p>
      <w:pPr>
        <w:pStyle w:val="ListBullet"/>
        <w:spacing w:after="60"/>
      </w:pPr>
      <w:r>
        <w:t>Production authorisation.</w:t>
      </w:r>
    </w:p>
    <w:p>
      <w:pPr>
        <w:pStyle w:val="Heading1"/>
      </w:pPr>
      <w:r>
        <w:t>2. Reviewer independence and roles</w:t>
      </w:r>
    </w:p>
    <w:tbl>
      <w:tblPr>
        <w:tblStyle w:val="TableGrid"/>
        <w:tblW w:type="dxa" w:w="9360"/>
        <w:jc w:val="left"/>
        <w:tblLayout w:type="fixed"/>
        <w:tblLook w:firstColumn="1" w:firstRow="1" w:lastColumn="0" w:lastRow="0" w:noHBand="0" w:noVBand="1" w:val="04A0"/>
        <w:tblInd w:w="120" w:type="dxa"/>
      </w:tblPr>
      <w:tblGrid>
        <w:gridCol w:w="1944"/>
        <w:gridCol w:w="3816"/>
        <w:gridCol w:w="3600"/>
      </w:tblGrid>
      <w:tr>
        <w:trPr>
          <w:tblHeader w:val="true"/>
        </w:trPr>
        <w:tc>
          <w:tcPr>
            <w:tcW w:type="dxa" w:w="1944"/>
            <w:shd w:fill="E8EEF5"/>
            <w:tcMar>
              <w:top w:w="80" w:type="dxa"/>
              <w:start w:w="120" w:type="dxa"/>
              <w:bottom w:w="80" w:type="dxa"/>
              <w:end w:w="120" w:type="dxa"/>
            </w:tcMar>
          </w:tcPr>
          <w:p>
            <w:r>
              <w:rPr>
                <w:b/>
              </w:rPr>
              <w:t>Role</w:t>
            </w:r>
          </w:p>
        </w:tc>
        <w:tc>
          <w:tcPr>
            <w:tcW w:type="dxa" w:w="3816"/>
            <w:shd w:fill="E8EEF5"/>
            <w:tcMar>
              <w:top w:w="80" w:type="dxa"/>
              <w:start w:w="120" w:type="dxa"/>
              <w:bottom w:w="80" w:type="dxa"/>
              <w:end w:w="120" w:type="dxa"/>
            </w:tcMar>
          </w:tcPr>
          <w:p>
            <w:r>
              <w:rPr>
                <w:b/>
              </w:rPr>
              <w:t>May do</w:t>
            </w:r>
          </w:p>
        </w:tc>
        <w:tc>
          <w:tcPr>
            <w:tcW w:type="dxa" w:w="3600"/>
            <w:shd w:fill="E8EEF5"/>
            <w:tcMar>
              <w:top w:w="80" w:type="dxa"/>
              <w:start w:w="120" w:type="dxa"/>
              <w:bottom w:w="80" w:type="dxa"/>
              <w:end w:w="120" w:type="dxa"/>
            </w:tcMar>
          </w:tcPr>
          <w:p>
            <w:r>
              <w:rPr>
                <w:b/>
              </w:rPr>
              <w:t>Must not do</w:t>
            </w:r>
          </w:p>
        </w:tc>
      </w:tr>
      <w:tr>
        <w:tc>
          <w:tcPr>
            <w:tcW w:type="dxa" w:w="1944"/>
            <w:tcMar>
              <w:top w:w="80" w:type="dxa"/>
              <w:start w:w="120" w:type="dxa"/>
              <w:bottom w:w="80" w:type="dxa"/>
              <w:end w:w="120" w:type="dxa"/>
            </w:tcMar>
            <w:vAlign w:val="center"/>
          </w:tcPr>
          <w:p>
            <w:pPr>
              <w:spacing w:after="20" w:line="250" w:lineRule="auto"/>
            </w:pPr>
            <w:r>
              <w:t>Implementer/Cursor</w:t>
            </w:r>
          </w:p>
        </w:tc>
        <w:tc>
          <w:tcPr>
            <w:tcW w:type="dxa" w:w="3816"/>
            <w:tcMar>
              <w:top w:w="80" w:type="dxa"/>
              <w:start w:w="120" w:type="dxa"/>
              <w:bottom w:w="80" w:type="dxa"/>
              <w:end w:w="120" w:type="dxa"/>
            </w:tcMar>
            <w:vAlign w:val="center"/>
          </w:tcPr>
          <w:p>
            <w:pPr>
              <w:spacing w:after="20" w:line="250" w:lineRule="auto"/>
            </w:pPr>
            <w:r>
              <w:t>Change code, run tests, submit claim and evidence.</w:t>
            </w:r>
          </w:p>
        </w:tc>
        <w:tc>
          <w:tcPr>
            <w:tcW w:type="dxa" w:w="3600"/>
            <w:tcMar>
              <w:top w:w="80" w:type="dxa"/>
              <w:start w:w="120" w:type="dxa"/>
              <w:bottom w:w="80" w:type="dxa"/>
              <w:end w:w="120" w:type="dxa"/>
            </w:tcMar>
            <w:vAlign w:val="center"/>
          </w:tcPr>
          <w:p>
            <w:pPr>
              <w:spacing w:after="20" w:line="250" w:lineRule="auto"/>
            </w:pPr>
            <w:r>
              <w:t>Accept own work or choose reserved policy.</w:t>
            </w:r>
          </w:p>
        </w:tc>
      </w:tr>
      <w:tr>
        <w:tc>
          <w:tcPr>
            <w:tcW w:type="dxa" w:w="1944"/>
            <w:tcMar>
              <w:top w:w="80" w:type="dxa"/>
              <w:start w:w="120" w:type="dxa"/>
              <w:bottom w:w="80" w:type="dxa"/>
              <w:end w:w="120" w:type="dxa"/>
            </w:tcMar>
            <w:vAlign w:val="center"/>
            <w:shd w:fill="F7F8FA"/>
          </w:tcPr>
          <w:p>
            <w:pPr>
              <w:spacing w:after="20" w:line="250" w:lineRule="auto"/>
            </w:pPr>
            <w:r>
              <w:t>Independent reviewer</w:t>
            </w:r>
          </w:p>
        </w:tc>
        <w:tc>
          <w:tcPr>
            <w:tcW w:type="dxa" w:w="3816"/>
            <w:tcMar>
              <w:top w:w="80" w:type="dxa"/>
              <w:start w:w="120" w:type="dxa"/>
              <w:bottom w:w="80" w:type="dxa"/>
              <w:end w:w="120" w:type="dxa"/>
            </w:tcMar>
            <w:vAlign w:val="center"/>
            <w:shd w:fill="F7F8FA"/>
          </w:tcPr>
          <w:p>
            <w:pPr>
              <w:spacing w:after="20" w:line="250" w:lineRule="auto"/>
            </w:pPr>
            <w:r>
              <w:t>Inspect diff, rerun evidence, test UI/negative cases and record decision.</w:t>
            </w:r>
          </w:p>
        </w:tc>
        <w:tc>
          <w:tcPr>
            <w:tcW w:type="dxa" w:w="3600"/>
            <w:tcMar>
              <w:top w:w="80" w:type="dxa"/>
              <w:start w:w="120" w:type="dxa"/>
              <w:bottom w:w="80" w:type="dxa"/>
              <w:end w:w="120" w:type="dxa"/>
            </w:tcMar>
            <w:vAlign w:val="center"/>
            <w:shd w:fill="F7F8FA"/>
          </w:tcPr>
          <w:p>
            <w:pPr>
              <w:spacing w:after="20" w:line="250" w:lineRule="auto"/>
            </w:pPr>
            <w:r>
              <w:t>Repair material defects while pretending independence.</w:t>
            </w:r>
          </w:p>
        </w:tc>
      </w:tr>
      <w:tr>
        <w:tc>
          <w:tcPr>
            <w:tcW w:type="dxa" w:w="1944"/>
            <w:tcMar>
              <w:top w:w="80" w:type="dxa"/>
              <w:start w:w="120" w:type="dxa"/>
              <w:bottom w:w="80" w:type="dxa"/>
              <w:end w:w="120" w:type="dxa"/>
            </w:tcMar>
            <w:vAlign w:val="center"/>
          </w:tcPr>
          <w:p>
            <w:pPr>
              <w:spacing w:after="20" w:line="250" w:lineRule="auto"/>
            </w:pPr>
            <w:r>
              <w:t>Acceptance Lead</w:t>
            </w:r>
          </w:p>
        </w:tc>
        <w:tc>
          <w:tcPr>
            <w:tcW w:type="dxa" w:w="3816"/>
            <w:tcMar>
              <w:top w:w="80" w:type="dxa"/>
              <w:start w:w="120" w:type="dxa"/>
              <w:bottom w:w="80" w:type="dxa"/>
              <w:end w:w="120" w:type="dxa"/>
            </w:tcMar>
            <w:vAlign w:val="center"/>
          </w:tcPr>
          <w:p>
            <w:pPr>
              <w:spacing w:after="20" w:line="250" w:lineRule="auto"/>
            </w:pPr>
            <w:r>
              <w:t>Assign reviewers, resolve review quality and maintain acceptance chain.</w:t>
            </w:r>
          </w:p>
        </w:tc>
        <w:tc>
          <w:tcPr>
            <w:tcW w:type="dxa" w:w="3600"/>
            <w:tcMar>
              <w:top w:w="80" w:type="dxa"/>
              <w:start w:w="120" w:type="dxa"/>
              <w:bottom w:w="80" w:type="dxa"/>
              <w:end w:w="120" w:type="dxa"/>
            </w:tcMar>
            <w:vAlign w:val="center"/>
          </w:tcPr>
          <w:p>
            <w:pPr>
              <w:spacing w:after="20" w:line="250" w:lineRule="auto"/>
            </w:pPr>
            <w:r>
              <w:t>Override a failed hard invariant.</w:t>
            </w:r>
          </w:p>
        </w:tc>
      </w:tr>
      <w:tr>
        <w:tc>
          <w:tcPr>
            <w:tcW w:type="dxa" w:w="1944"/>
            <w:tcMar>
              <w:top w:w="80" w:type="dxa"/>
              <w:start w:w="120" w:type="dxa"/>
              <w:bottom w:w="80" w:type="dxa"/>
              <w:end w:w="120" w:type="dxa"/>
            </w:tcMar>
            <w:vAlign w:val="center"/>
            <w:shd w:fill="F7F8FA"/>
          </w:tcPr>
          <w:p>
            <w:pPr>
              <w:spacing w:after="20" w:line="250" w:lineRule="auto"/>
            </w:pPr>
            <w:r>
              <w:t>Domain owner</w:t>
            </w:r>
          </w:p>
        </w:tc>
        <w:tc>
          <w:tcPr>
            <w:tcW w:type="dxa" w:w="3816"/>
            <w:tcMar>
              <w:top w:w="80" w:type="dxa"/>
              <w:start w:w="120" w:type="dxa"/>
              <w:bottom w:w="80" w:type="dxa"/>
              <w:end w:w="120" w:type="dxa"/>
            </w:tcMar>
            <w:vAlign w:val="center"/>
            <w:shd w:fill="F7F8FA"/>
          </w:tcPr>
          <w:p>
            <w:pPr>
              <w:spacing w:after="20" w:line="250" w:lineRule="auto"/>
            </w:pPr>
            <w:r>
              <w:t>Confirm domain correctness and operational meaning.</w:t>
            </w:r>
          </w:p>
        </w:tc>
        <w:tc>
          <w:tcPr>
            <w:tcW w:type="dxa" w:w="3600"/>
            <w:tcMar>
              <w:top w:w="80" w:type="dxa"/>
              <w:start w:w="120" w:type="dxa"/>
              <w:bottom w:w="80" w:type="dxa"/>
              <w:end w:w="120" w:type="dxa"/>
            </w:tcMar>
            <w:vAlign w:val="center"/>
            <w:shd w:fill="F7F8FA"/>
          </w:tcPr>
          <w:p>
            <w:pPr>
              <w:spacing w:after="20" w:line="250" w:lineRule="auto"/>
            </w:pPr>
            <w:r>
              <w:t>Approve security/privacy matters outside authority.</w:t>
            </w:r>
          </w:p>
        </w:tc>
      </w:tr>
      <w:tr>
        <w:tc>
          <w:tcPr>
            <w:tcW w:type="dxa" w:w="1944"/>
            <w:tcMar>
              <w:top w:w="80" w:type="dxa"/>
              <w:start w:w="120" w:type="dxa"/>
              <w:bottom w:w="80" w:type="dxa"/>
              <w:end w:w="120" w:type="dxa"/>
            </w:tcMar>
            <w:vAlign w:val="center"/>
          </w:tcPr>
          <w:p>
            <w:pPr>
              <w:spacing w:after="20" w:line="250" w:lineRule="auto"/>
            </w:pPr>
            <w:r>
              <w:t>Product/Accessibility</w:t>
            </w:r>
          </w:p>
        </w:tc>
        <w:tc>
          <w:tcPr>
            <w:tcW w:type="dxa" w:w="3816"/>
            <w:tcMar>
              <w:top w:w="80" w:type="dxa"/>
              <w:start w:w="120" w:type="dxa"/>
              <w:bottom w:w="80" w:type="dxa"/>
              <w:end w:w="120" w:type="dxa"/>
            </w:tcMar>
            <w:vAlign w:val="center"/>
          </w:tcPr>
          <w:p>
            <w:pPr>
              <w:spacing w:after="20" w:line="250" w:lineRule="auto"/>
            </w:pPr>
            <w:r>
              <w:t>Accept complete usable role journeys and accessible equivalence.</w:t>
            </w:r>
          </w:p>
        </w:tc>
        <w:tc>
          <w:tcPr>
            <w:tcW w:type="dxa" w:w="3600"/>
            <w:tcMar>
              <w:top w:w="80" w:type="dxa"/>
              <w:start w:w="120" w:type="dxa"/>
              <w:bottom w:w="80" w:type="dxa"/>
              <w:end w:w="120" w:type="dxa"/>
            </w:tcMar>
            <w:vAlign w:val="center"/>
          </w:tcPr>
          <w:p>
            <w:pPr>
              <w:spacing w:after="20" w:line="250" w:lineRule="auto"/>
            </w:pPr>
            <w:r>
              <w:t>Accept backend-only completion for UI scope.</w:t>
            </w:r>
          </w:p>
        </w:tc>
      </w:tr>
      <w:tr>
        <w:tc>
          <w:tcPr>
            <w:tcW w:type="dxa" w:w="1944"/>
            <w:tcMar>
              <w:top w:w="80" w:type="dxa"/>
              <w:start w:w="120" w:type="dxa"/>
              <w:bottom w:w="80" w:type="dxa"/>
              <w:end w:w="120" w:type="dxa"/>
            </w:tcMar>
            <w:vAlign w:val="center"/>
            <w:shd w:fill="F7F8FA"/>
          </w:tcPr>
          <w:p>
            <w:pPr>
              <w:spacing w:after="20" w:line="250" w:lineRule="auto"/>
            </w:pPr>
            <w:r>
              <w:t>Architecture/Security/Privacy/SRE</w:t>
            </w:r>
          </w:p>
        </w:tc>
        <w:tc>
          <w:tcPr>
            <w:tcW w:type="dxa" w:w="3816"/>
            <w:tcMar>
              <w:top w:w="80" w:type="dxa"/>
              <w:start w:w="120" w:type="dxa"/>
              <w:bottom w:w="80" w:type="dxa"/>
              <w:end w:w="120" w:type="dxa"/>
            </w:tcMar>
            <w:vAlign w:val="center"/>
            <w:shd w:fill="F7F8FA"/>
          </w:tcPr>
          <w:p>
            <w:pPr>
              <w:spacing w:after="20" w:line="250" w:lineRule="auto"/>
            </w:pPr>
            <w:r>
              <w:t>Accept their specialist gates and evidence.</w:t>
            </w:r>
          </w:p>
        </w:tc>
        <w:tc>
          <w:tcPr>
            <w:tcW w:type="dxa" w:w="3600"/>
            <w:tcMar>
              <w:top w:w="80" w:type="dxa"/>
              <w:start w:w="120" w:type="dxa"/>
              <w:bottom w:w="80" w:type="dxa"/>
              <w:end w:w="120" w:type="dxa"/>
            </w:tcMar>
            <w:vAlign w:val="center"/>
            <w:shd w:fill="F7F8FA"/>
          </w:tcPr>
          <w:p>
            <w:pPr>
              <w:spacing w:after="20" w:line="250" w:lineRule="auto"/>
            </w:pPr>
            <w:r>
              <w:t>Infer CEO or legal authority.</w:t>
            </w:r>
          </w:p>
        </w:tc>
      </w:tr>
      <w:tr>
        <w:tc>
          <w:tcPr>
            <w:tcW w:type="dxa" w:w="1944"/>
            <w:tcMar>
              <w:top w:w="80" w:type="dxa"/>
              <w:start w:w="120" w:type="dxa"/>
              <w:bottom w:w="80" w:type="dxa"/>
              <w:end w:w="120" w:type="dxa"/>
            </w:tcMar>
            <w:vAlign w:val="center"/>
          </w:tcPr>
          <w:p>
            <w:pPr>
              <w:spacing w:after="20" w:line="250" w:lineRule="auto"/>
            </w:pPr>
            <w:r>
              <w:t>CEO</w:t>
            </w:r>
          </w:p>
        </w:tc>
        <w:tc>
          <w:tcPr>
            <w:tcW w:type="dxa" w:w="3816"/>
            <w:tcMar>
              <w:top w:w="80" w:type="dxa"/>
              <w:start w:w="120" w:type="dxa"/>
              <w:bottom w:w="80" w:type="dxa"/>
              <w:end w:w="120" w:type="dxa"/>
            </w:tcMar>
            <w:vAlign w:val="center"/>
          </w:tcPr>
          <w:p>
            <w:pPr>
              <w:spacing w:after="20" w:line="250" w:lineRule="auto"/>
            </w:pPr>
            <w:r>
              <w:t>Resolve reserved business decisions, pilot and bounded G6 release.</w:t>
            </w:r>
          </w:p>
        </w:tc>
        <w:tc>
          <w:tcPr>
            <w:tcW w:type="dxa" w:w="3600"/>
            <w:tcMar>
              <w:top w:w="80" w:type="dxa"/>
              <w:start w:w="120" w:type="dxa"/>
              <w:bottom w:w="80" w:type="dxa"/>
              <w:end w:w="120" w:type="dxa"/>
            </w:tcMar>
            <w:vAlign w:val="center"/>
          </w:tcPr>
          <w:p>
            <w:pPr>
              <w:spacing w:after="20" w:line="250" w:lineRule="auto"/>
            </w:pPr>
            <w:r>
              <w:t>Turn failed/stale/missing evidence into Green by preference.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Minimum separation</w:t>
            </w:r>
          </w:p>
        </w:tc>
      </w:tr>
      <w:tr>
        <w:tc>
          <w:tcPr>
            <w:tcW w:type="dxa" w:w="9360"/>
            <w:tcMar>
              <w:top w:w="80" w:type="dxa"/>
              <w:start w:w="120" w:type="dxa"/>
              <w:bottom w:w="80" w:type="dxa"/>
              <w:end w:w="120" w:type="dxa"/>
            </w:tcMar>
            <w:vAlign w:val="center"/>
            <w:shd w:fill="FFF8E8"/>
          </w:tcPr>
          <w:p>
            <w:pPr>
              <w:spacing w:after="20" w:line="250" w:lineRule="auto"/>
            </w:pPr>
            <w:r>
              <w:t>The person who made or directed a material implementation decision must not be the sole accepter of that decision. Where team size is constrained, preserve objective reruns and obtain named specialist review for security, privacy, accessibility and reserved authority.</w:t>
            </w:r>
          </w:p>
        </w:tc>
      </w:tr>
    </w:tbl>
    <w:p>
      <w:pPr>
        <w:spacing w:after="0"/>
      </w:pPr>
    </w:p>
    <w:p>
      <w:pPr>
        <w:pStyle w:val="Heading1"/>
      </w:pPr>
      <w:r>
        <w:t>3. Allowed review decisions</w:t>
      </w:r>
    </w:p>
    <w:tbl>
      <w:tblPr>
        <w:tblStyle w:val="TableGrid"/>
        <w:tblW w:type="dxa" w:w="9360"/>
        <w:jc w:val="left"/>
        <w:tblLayout w:type="fixed"/>
        <w:tblLook w:firstColumn="1" w:firstRow="1" w:lastColumn="0" w:lastRow="0" w:noHBand="0" w:noVBand="1" w:val="04A0"/>
        <w:tblInd w:w="120" w:type="dxa"/>
      </w:tblPr>
      <w:tblGrid>
        <w:gridCol w:w="1944"/>
        <w:gridCol w:w="4968"/>
        <w:gridCol w:w="2448"/>
      </w:tblGrid>
      <w:tr>
        <w:trPr>
          <w:tblHeader w:val="true"/>
        </w:trPr>
        <w:tc>
          <w:tcPr>
            <w:tcW w:type="dxa" w:w="1944"/>
            <w:shd w:fill="E8EEF5"/>
            <w:tcMar>
              <w:top w:w="80" w:type="dxa"/>
              <w:start w:w="120" w:type="dxa"/>
              <w:bottom w:w="80" w:type="dxa"/>
              <w:end w:w="120" w:type="dxa"/>
            </w:tcMar>
          </w:tcPr>
          <w:p>
            <w:r>
              <w:rPr>
                <w:b/>
              </w:rPr>
              <w:t>Decision</w:t>
            </w:r>
          </w:p>
        </w:tc>
        <w:tc>
          <w:tcPr>
            <w:tcW w:type="dxa" w:w="4968"/>
            <w:shd w:fill="E8EEF5"/>
            <w:tcMar>
              <w:top w:w="80" w:type="dxa"/>
              <w:start w:w="120" w:type="dxa"/>
              <w:bottom w:w="80" w:type="dxa"/>
              <w:end w:w="120" w:type="dxa"/>
            </w:tcMar>
          </w:tcPr>
          <w:p>
            <w:r>
              <w:rPr>
                <w:b/>
              </w:rPr>
              <w:t>Use when</w:t>
            </w:r>
          </w:p>
        </w:tc>
        <w:tc>
          <w:tcPr>
            <w:tcW w:type="dxa" w:w="2448"/>
            <w:shd w:fill="E8EEF5"/>
            <w:tcMar>
              <w:top w:w="80" w:type="dxa"/>
              <w:start w:w="120" w:type="dxa"/>
              <w:bottom w:w="80" w:type="dxa"/>
              <w:end w:w="120" w:type="dxa"/>
            </w:tcMar>
          </w:tcPr>
          <w:p>
            <w:r>
              <w:rPr>
                <w:b/>
              </w:rPr>
              <w:t>Next action</w:t>
            </w:r>
          </w:p>
        </w:tc>
      </w:tr>
      <w:tr>
        <w:tc>
          <w:tcPr>
            <w:tcW w:type="dxa" w:w="1944"/>
            <w:tcMar>
              <w:top w:w="80" w:type="dxa"/>
              <w:start w:w="120" w:type="dxa"/>
              <w:bottom w:w="80" w:type="dxa"/>
              <w:end w:w="120" w:type="dxa"/>
            </w:tcMar>
            <w:vAlign w:val="center"/>
          </w:tcPr>
          <w:p>
            <w:pPr>
              <w:spacing w:after="20" w:line="250" w:lineRule="auto"/>
            </w:pPr>
            <w:r>
              <w:t>ACCEPTED</w:t>
            </w:r>
          </w:p>
        </w:tc>
        <w:tc>
          <w:tcPr>
            <w:tcW w:type="dxa" w:w="4968"/>
            <w:tcMar>
              <w:top w:w="80" w:type="dxa"/>
              <w:start w:w="120" w:type="dxa"/>
              <w:bottom w:w="80" w:type="dxa"/>
              <w:end w:w="120" w:type="dxa"/>
            </w:tcMar>
            <w:vAlign w:val="center"/>
          </w:tcPr>
          <w:p>
            <w:pPr>
              <w:spacing w:after="20" w:line="250" w:lineRule="auto"/>
            </w:pPr>
            <w:r>
              <w:t>All prompt requirements pass on the exact commit; evidence is current; no blocking defect or current-gate deferral.</w:t>
            </w:r>
          </w:p>
        </w:tc>
        <w:tc>
          <w:tcPr>
            <w:tcW w:type="dxa" w:w="2448"/>
            <w:tcMar>
              <w:top w:w="80" w:type="dxa"/>
              <w:start w:w="120" w:type="dxa"/>
              <w:bottom w:w="80" w:type="dxa"/>
              <w:end w:w="120" w:type="dxa"/>
            </w:tcMar>
            <w:vAlign w:val="center"/>
          </w:tcPr>
          <w:p>
            <w:pPr>
              <w:spacing w:after="20" w:line="250" w:lineRule="auto"/>
            </w:pPr>
            <w:r>
              <w:t>Record accepted full hash; authorise next prompt only.</w:t>
            </w:r>
          </w:p>
        </w:tc>
      </w:tr>
      <w:tr>
        <w:tc>
          <w:tcPr>
            <w:tcW w:type="dxa" w:w="1944"/>
            <w:tcMar>
              <w:top w:w="80" w:type="dxa"/>
              <w:start w:w="120" w:type="dxa"/>
              <w:bottom w:w="80" w:type="dxa"/>
              <w:end w:w="120" w:type="dxa"/>
            </w:tcMar>
            <w:vAlign w:val="center"/>
            <w:shd w:fill="F7F8FA"/>
          </w:tcPr>
          <w:p>
            <w:pPr>
              <w:spacing w:after="20" w:line="250" w:lineRule="auto"/>
            </w:pPr>
            <w:r>
              <w:t>CORRECTION REQUIRED</w:t>
            </w:r>
          </w:p>
        </w:tc>
        <w:tc>
          <w:tcPr>
            <w:tcW w:type="dxa" w:w="4968"/>
            <w:tcMar>
              <w:top w:w="80" w:type="dxa"/>
              <w:start w:w="120" w:type="dxa"/>
              <w:bottom w:w="80" w:type="dxa"/>
              <w:end w:w="120" w:type="dxa"/>
            </w:tcMar>
            <w:vAlign w:val="center"/>
            <w:shd w:fill="F7F8FA"/>
          </w:tcPr>
          <w:p>
            <w:pPr>
              <w:spacing w:after="20" w:line="250" w:lineRule="auto"/>
            </w:pPr>
            <w:r>
              <w:t>Implementation/evidence is incomplete, defective, stale, overly broad or not reproducible.</w:t>
            </w:r>
          </w:p>
        </w:tc>
        <w:tc>
          <w:tcPr>
            <w:tcW w:type="dxa" w:w="2448"/>
            <w:tcMar>
              <w:top w:w="80" w:type="dxa"/>
              <w:start w:w="120" w:type="dxa"/>
              <w:bottom w:w="80" w:type="dxa"/>
              <w:end w:w="120" w:type="dxa"/>
            </w:tcMar>
            <w:vAlign w:val="center"/>
            <w:shd w:fill="F7F8FA"/>
          </w:tcPr>
          <w:p>
            <w:pPr>
              <w:spacing w:after="20" w:line="250" w:lineRule="auto"/>
            </w:pPr>
            <w:r>
              <w:t>Return the same prompt with findings; do not advance.</w:t>
            </w:r>
          </w:p>
        </w:tc>
      </w:tr>
      <w:tr>
        <w:tc>
          <w:tcPr>
            <w:tcW w:type="dxa" w:w="1944"/>
            <w:tcMar>
              <w:top w:w="80" w:type="dxa"/>
              <w:start w:w="120" w:type="dxa"/>
              <w:bottom w:w="80" w:type="dxa"/>
              <w:end w:w="120" w:type="dxa"/>
            </w:tcMar>
            <w:vAlign w:val="center"/>
          </w:tcPr>
          <w:p>
            <w:pPr>
              <w:spacing w:after="20" w:line="250" w:lineRule="auto"/>
            </w:pPr>
            <w:r>
              <w:t>BLOCKED</w:t>
            </w:r>
          </w:p>
        </w:tc>
        <w:tc>
          <w:tcPr>
            <w:tcW w:type="dxa" w:w="4968"/>
            <w:tcMar>
              <w:top w:w="80" w:type="dxa"/>
              <w:start w:w="120" w:type="dxa"/>
              <w:bottom w:w="80" w:type="dxa"/>
              <w:end w:w="120" w:type="dxa"/>
            </w:tcMar>
            <w:vAlign w:val="center"/>
          </w:tcPr>
          <w:p>
            <w:pPr>
              <w:spacing w:after="20" w:line="250" w:lineRule="auto"/>
            </w:pPr>
            <w:r>
              <w:t>A required decision, dependency, authority, environment or safe test condition is unavailable.</w:t>
            </w:r>
          </w:p>
        </w:tc>
        <w:tc>
          <w:tcPr>
            <w:tcW w:type="dxa" w:w="2448"/>
            <w:tcMar>
              <w:top w:w="80" w:type="dxa"/>
              <w:start w:w="120" w:type="dxa"/>
              <w:bottom w:w="80" w:type="dxa"/>
              <w:end w:w="120" w:type="dxa"/>
            </w:tcMar>
            <w:vAlign w:val="center"/>
          </w:tcPr>
          <w:p>
            <w:pPr>
              <w:spacing w:after="20" w:line="250" w:lineRule="auto"/>
            </w:pPr>
            <w:r>
              <w:t>Record owner/question; resume same prompt after resolution.</w:t>
            </w:r>
          </w:p>
        </w:tc>
      </w:tr>
      <w:tr>
        <w:tc>
          <w:tcPr>
            <w:tcW w:type="dxa" w:w="1944"/>
            <w:tcMar>
              <w:top w:w="80" w:type="dxa"/>
              <w:start w:w="120" w:type="dxa"/>
              <w:bottom w:w="80" w:type="dxa"/>
              <w:end w:w="120" w:type="dxa"/>
            </w:tcMar>
            <w:vAlign w:val="center"/>
            <w:shd w:fill="F7F8FA"/>
          </w:tcPr>
          <w:p>
            <w:pPr>
              <w:spacing w:after="20" w:line="250" w:lineRule="auto"/>
            </w:pPr>
            <w:r>
              <w:t>SUPERSEDED</w:t>
            </w:r>
          </w:p>
        </w:tc>
        <w:tc>
          <w:tcPr>
            <w:tcW w:type="dxa" w:w="4968"/>
            <w:tcMar>
              <w:top w:w="80" w:type="dxa"/>
              <w:start w:w="120" w:type="dxa"/>
              <w:bottom w:w="80" w:type="dxa"/>
              <w:end w:w="120" w:type="dxa"/>
            </w:tcMar>
            <w:vAlign w:val="center"/>
            <w:shd w:fill="F7F8FA"/>
          </w:tcPr>
          <w:p>
            <w:pPr>
              <w:spacing w:after="20" w:line="250" w:lineRule="auto"/>
            </w:pPr>
            <w:r>
              <w:t>A later accepted correction explicitly replaces a prior accepted record.</w:t>
            </w:r>
          </w:p>
        </w:tc>
        <w:tc>
          <w:tcPr>
            <w:tcW w:type="dxa" w:w="2448"/>
            <w:tcMar>
              <w:top w:w="80" w:type="dxa"/>
              <w:start w:w="120" w:type="dxa"/>
              <w:bottom w:w="80" w:type="dxa"/>
              <w:end w:w="120" w:type="dxa"/>
            </w:tcMar>
            <w:vAlign w:val="center"/>
            <w:shd w:fill="F7F8FA"/>
          </w:tcPr>
          <w:p>
            <w:pPr>
              <w:spacing w:after="20" w:line="250" w:lineRule="auto"/>
            </w:pPr>
            <w:r>
              <w:t>Link successor; invalidate affected evidence.</w:t>
            </w:r>
          </w:p>
        </w:tc>
      </w:tr>
      <w:tr>
        <w:tc>
          <w:tcPr>
            <w:tcW w:type="dxa" w:w="1944"/>
            <w:tcMar>
              <w:top w:w="80" w:type="dxa"/>
              <w:start w:w="120" w:type="dxa"/>
              <w:bottom w:w="80" w:type="dxa"/>
              <w:end w:w="120" w:type="dxa"/>
            </w:tcMar>
            <w:vAlign w:val="center"/>
          </w:tcPr>
          <w:p>
            <w:pPr>
              <w:spacing w:after="20" w:line="250" w:lineRule="auto"/>
            </w:pPr>
            <w:r>
              <w:t>REVOKED</w:t>
            </w:r>
          </w:p>
        </w:tc>
        <w:tc>
          <w:tcPr>
            <w:tcW w:type="dxa" w:w="4968"/>
            <w:tcMar>
              <w:top w:w="80" w:type="dxa"/>
              <w:start w:w="120" w:type="dxa"/>
              <w:bottom w:w="80" w:type="dxa"/>
              <w:end w:w="120" w:type="dxa"/>
            </w:tcMar>
            <w:vAlign w:val="center"/>
          </w:tcPr>
          <w:p>
            <w:pPr>
              <w:spacing w:after="20" w:line="250" w:lineRule="auto"/>
            </w:pPr>
            <w:r>
              <w:t>New evidence shows acceptance/authority is unsafe or false.</w:t>
            </w:r>
          </w:p>
        </w:tc>
        <w:tc>
          <w:tcPr>
            <w:tcW w:type="dxa" w:w="2448"/>
            <w:tcMar>
              <w:top w:w="80" w:type="dxa"/>
              <w:start w:w="120" w:type="dxa"/>
              <w:bottom w:w="80" w:type="dxa"/>
              <w:end w:w="120" w:type="dxa"/>
            </w:tcMar>
            <w:vAlign w:val="center"/>
          </w:tcPr>
          <w:p>
            <w:pPr>
              <w:spacing w:after="20" w:line="250" w:lineRule="auto"/>
            </w:pPr>
            <w:r>
              <w:t>Stop dependent work; scope impact and corrective route.</w:t>
            </w:r>
          </w:p>
        </w:tc>
      </w:tr>
    </w:tbl>
    <w:p>
      <w:pPr>
        <w:spacing w:after="0"/>
      </w:pPr>
    </w:p>
    <w:p>
      <w:pPr>
        <w:pStyle w:val="ListBullet"/>
        <w:spacing w:after="60"/>
      </w:pPr>
      <w:r>
        <w:t>“Accept with minor fixes later” is not a decision. If the fix is required by the current gate, choose CORRECTION REQUIRED.</w:t>
      </w:r>
    </w:p>
    <w:p>
      <w:pPr>
        <w:pStyle w:val="ListBullet"/>
        <w:spacing w:after="60"/>
      </w:pPr>
      <w:r>
        <w:t>A waiver cannot override isolation, permission, privacy, audit, accepted-event preservation, human authority or another hard invariant.</w:t>
      </w:r>
    </w:p>
    <w:p>
      <w:pPr>
        <w:spacing w:after="0" w:line="20" w:lineRule="exact"/>
      </w:pPr>
      <w:r>
        <w:rPr>
          <w:sz w:val="2"/>
        </w:rPr>
        <w:br w:type="page"/>
      </w:r>
    </w:p>
    <w:p>
      <w:pPr>
        <w:pStyle w:val="Heading1"/>
      </w:pPr>
      <w:r>
        <w:t>4. Ten-step prompt acceptance procedure</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trPr>
        <w:tc>
          <w:tcPr>
            <w:tcW w:type="dxa" w:w="792"/>
            <w:shd w:fill="E8EEF5"/>
            <w:tcMar>
              <w:top w:w="80" w:type="dxa"/>
              <w:start w:w="120" w:type="dxa"/>
              <w:bottom w:w="80" w:type="dxa"/>
              <w:end w:w="120" w:type="dxa"/>
            </w:tcMar>
          </w:tcPr>
          <w:p>
            <w:r>
              <w:rPr>
                <w:b/>
              </w:rPr>
              <w:t>Step</w:t>
            </w:r>
          </w:p>
        </w:tc>
        <w:tc>
          <w:tcPr>
            <w:tcW w:type="dxa" w:w="8568"/>
            <w:shd w:fill="E8EEF5"/>
            <w:tcMar>
              <w:top w:w="80" w:type="dxa"/>
              <w:start w:w="120" w:type="dxa"/>
              <w:bottom w:w="80" w:type="dxa"/>
              <w:end w:w="120" w:type="dxa"/>
            </w:tcMar>
          </w:tcPr>
          <w:p>
            <w:r>
              <w:rPr>
                <w:b/>
              </w:rPr>
              <w:t>Action</w:t>
            </w:r>
          </w:p>
        </w:tc>
      </w:tr>
      <w:tr>
        <w:tc>
          <w:tcPr>
            <w:tcW w:type="dxa" w:w="792"/>
            <w:tcMar>
              <w:top w:w="80" w:type="dxa"/>
              <w:start w:w="120" w:type="dxa"/>
              <w:bottom w:w="80" w:type="dxa"/>
              <w:end w:w="120" w:type="dxa"/>
            </w:tcMar>
            <w:vAlign w:val="center"/>
          </w:tcPr>
          <w:p>
            <w:pPr>
              <w:spacing w:after="20" w:line="250" w:lineRule="auto"/>
            </w:pPr>
            <w:r>
              <w:t>1</w:t>
            </w:r>
          </w:p>
        </w:tc>
        <w:tc>
          <w:tcPr>
            <w:tcW w:type="dxa" w:w="8568"/>
            <w:tcMar>
              <w:top w:w="80" w:type="dxa"/>
              <w:start w:w="120" w:type="dxa"/>
              <w:bottom w:w="80" w:type="dxa"/>
              <w:end w:w="120" w:type="dxa"/>
            </w:tcMar>
            <w:vAlign w:val="center"/>
          </w:tcPr>
          <w:p>
            <w:pPr>
              <w:spacing w:after="20" w:line="250" w:lineRule="auto"/>
            </w:pPr>
            <w:r>
              <w:t>Lock the subject: record prompt ID/title, claimed full commit, LAST_ACCEPTED_COMMIT, repository, branch, environment and completion-report reference.</w:t>
            </w:r>
          </w:p>
        </w:tc>
      </w:tr>
      <w:tr>
        <w:tc>
          <w:tcPr>
            <w:tcW w:type="dxa" w:w="792"/>
            <w:tcMar>
              <w:top w:w="80" w:type="dxa"/>
              <w:start w:w="120" w:type="dxa"/>
              <w:bottom w:w="80" w:type="dxa"/>
              <w:end w:w="120" w:type="dxa"/>
            </w:tcMar>
            <w:vAlign w:val="center"/>
            <w:shd w:fill="F7F8FA"/>
          </w:tcPr>
          <w:p>
            <w:pPr>
              <w:spacing w:after="20" w:line="250" w:lineRule="auto"/>
            </w:pPr>
            <w:r>
              <w:t>2</w:t>
            </w:r>
          </w:p>
        </w:tc>
        <w:tc>
          <w:tcPr>
            <w:tcW w:type="dxa" w:w="8568"/>
            <w:tcMar>
              <w:top w:w="80" w:type="dxa"/>
              <w:start w:w="120" w:type="dxa"/>
              <w:bottom w:w="80" w:type="dxa"/>
              <w:end w:w="120" w:type="dxa"/>
            </w:tcMar>
            <w:vAlign w:val="center"/>
            <w:shd w:fill="F7F8FA"/>
          </w:tcPr>
          <w:p>
            <w:pPr>
              <w:spacing w:after="20" w:line="250" w:lineRule="auto"/>
            </w:pPr>
            <w:r>
              <w:t>Read the controlling Blueprint, Intelligence Specification, slice specification sections, exact Cursor prompt, repository rules, ADRs and items brought forward.</w:t>
            </w:r>
          </w:p>
        </w:tc>
      </w:tr>
      <w:tr>
        <w:tc>
          <w:tcPr>
            <w:tcW w:type="dxa" w:w="792"/>
            <w:tcMar>
              <w:top w:w="80" w:type="dxa"/>
              <w:start w:w="120" w:type="dxa"/>
              <w:bottom w:w="80" w:type="dxa"/>
              <w:end w:w="120" w:type="dxa"/>
            </w:tcMar>
            <w:vAlign w:val="center"/>
          </w:tcPr>
          <w:p>
            <w:pPr>
              <w:spacing w:after="20" w:line="250" w:lineRule="auto"/>
            </w:pPr>
            <w:r>
              <w:t>3</w:t>
            </w:r>
          </w:p>
        </w:tc>
        <w:tc>
          <w:tcPr>
            <w:tcW w:type="dxa" w:w="8568"/>
            <w:tcMar>
              <w:top w:w="80" w:type="dxa"/>
              <w:start w:w="120" w:type="dxa"/>
              <w:bottom w:w="80" w:type="dxa"/>
              <w:end w:w="120" w:type="dxa"/>
            </w:tcMar>
            <w:vAlign w:val="center"/>
          </w:tcPr>
          <w:p>
            <w:pPr>
              <w:spacing w:after="20" w:line="250" w:lineRule="auto"/>
            </w:pPr>
            <w:r>
              <w:t>Check admissibility: clean expected tree, focused commit, no unrelated/user changes, complete report, exact commands/results and no missing prerequisite.</w:t>
            </w:r>
          </w:p>
        </w:tc>
      </w:tr>
      <w:tr>
        <w:tc>
          <w:tcPr>
            <w:tcW w:type="dxa" w:w="792"/>
            <w:tcMar>
              <w:top w:w="80" w:type="dxa"/>
              <w:start w:w="120" w:type="dxa"/>
              <w:bottom w:w="80" w:type="dxa"/>
              <w:end w:w="120" w:type="dxa"/>
            </w:tcMar>
            <w:vAlign w:val="center"/>
            <w:shd w:fill="F7F8FA"/>
          </w:tcPr>
          <w:p>
            <w:pPr>
              <w:spacing w:after="20" w:line="250" w:lineRule="auto"/>
            </w:pPr>
            <w:r>
              <w:t>4</w:t>
            </w:r>
          </w:p>
        </w:tc>
        <w:tc>
          <w:tcPr>
            <w:tcW w:type="dxa" w:w="8568"/>
            <w:tcMar>
              <w:top w:w="80" w:type="dxa"/>
              <w:start w:w="120" w:type="dxa"/>
              <w:bottom w:w="80" w:type="dxa"/>
              <w:end w:w="120" w:type="dxa"/>
            </w:tcMar>
            <w:vAlign w:val="center"/>
            <w:shd w:fill="F7F8FA"/>
          </w:tcPr>
          <w:p>
            <w:pPr>
              <w:spacing w:after="20" w:line="250" w:lineRule="auto"/>
            </w:pPr>
            <w:r>
              <w:t>Inspect the diff and dependency impact before running anything. Identify changed routes, services, repositories, migrations, events, workers, policies, flags and UI states.</w:t>
            </w:r>
          </w:p>
        </w:tc>
      </w:tr>
      <w:tr>
        <w:tc>
          <w:tcPr>
            <w:tcW w:type="dxa" w:w="792"/>
            <w:tcMar>
              <w:top w:w="80" w:type="dxa"/>
              <w:start w:w="120" w:type="dxa"/>
              <w:bottom w:w="80" w:type="dxa"/>
              <w:end w:w="120" w:type="dxa"/>
            </w:tcMar>
            <w:vAlign w:val="center"/>
          </w:tcPr>
          <w:p>
            <w:pPr>
              <w:spacing w:after="20" w:line="250" w:lineRule="auto"/>
            </w:pPr>
            <w:r>
              <w:t>5</w:t>
            </w:r>
          </w:p>
        </w:tc>
        <w:tc>
          <w:tcPr>
            <w:tcW w:type="dxa" w:w="8568"/>
            <w:tcMar>
              <w:top w:w="80" w:type="dxa"/>
              <w:start w:w="120" w:type="dxa"/>
              <w:bottom w:w="80" w:type="dxa"/>
              <w:end w:w="120" w:type="dxa"/>
            </w:tcMar>
            <w:vAlign w:val="center"/>
          </w:tcPr>
          <w:p>
            <w:pPr>
              <w:spacing w:after="20" w:line="250" w:lineRule="auto"/>
            </w:pPr>
            <w:r>
              <w:t>Run the repository-standard static, type, schema, dependency, unit, property, database, contract, integration and affected end-to-end checks from the claimed commit.</w:t>
            </w:r>
          </w:p>
        </w:tc>
      </w:tr>
      <w:tr>
        <w:tc>
          <w:tcPr>
            <w:tcW w:type="dxa" w:w="792"/>
            <w:tcMar>
              <w:top w:w="80" w:type="dxa"/>
              <w:start w:w="120" w:type="dxa"/>
              <w:bottom w:w="80" w:type="dxa"/>
              <w:end w:w="120" w:type="dxa"/>
            </w:tcMar>
            <w:vAlign w:val="center"/>
            <w:shd w:fill="F7F8FA"/>
          </w:tcPr>
          <w:p>
            <w:pPr>
              <w:spacing w:after="20" w:line="250" w:lineRule="auto"/>
            </w:pPr>
            <w:r>
              <w:t>6</w:t>
            </w:r>
          </w:p>
        </w:tc>
        <w:tc>
          <w:tcPr>
            <w:tcW w:type="dxa" w:w="8568"/>
            <w:tcMar>
              <w:top w:w="80" w:type="dxa"/>
              <w:start w:w="120" w:type="dxa"/>
              <w:bottom w:w="80" w:type="dxa"/>
              <w:end w:w="120" w:type="dxa"/>
            </w:tcMar>
            <w:vAlign w:val="center"/>
            <w:shd w:fill="F7F8FA"/>
          </w:tcPr>
          <w:p>
            <w:pPr>
              <w:spacing w:after="20" w:line="250" w:lineRule="auto"/>
            </w:pPr>
            <w:r>
              <w:t>Run negative and failure cases for scope, permissions, idempotency, concurrency, privacy, stale state, outage and rollback—not only the submitted happy path.</w:t>
            </w:r>
          </w:p>
        </w:tc>
      </w:tr>
      <w:tr>
        <w:tc>
          <w:tcPr>
            <w:tcW w:type="dxa" w:w="792"/>
            <w:tcMar>
              <w:top w:w="80" w:type="dxa"/>
              <w:start w:w="120" w:type="dxa"/>
              <w:bottom w:w="80" w:type="dxa"/>
              <w:end w:w="120" w:type="dxa"/>
            </w:tcMar>
            <w:vAlign w:val="center"/>
          </w:tcPr>
          <w:p>
            <w:pPr>
              <w:spacing w:after="20" w:line="250" w:lineRule="auto"/>
            </w:pPr>
            <w:r>
              <w:t>7</w:t>
            </w:r>
          </w:p>
        </w:tc>
        <w:tc>
          <w:tcPr>
            <w:tcW w:type="dxa" w:w="8568"/>
            <w:tcMar>
              <w:top w:w="80" w:type="dxa"/>
              <w:start w:w="120" w:type="dxa"/>
              <w:bottom w:w="80" w:type="dxa"/>
              <w:end w:w="120" w:type="dxa"/>
            </w:tcMar>
            <w:vAlign w:val="center"/>
          </w:tcPr>
          <w:p>
            <w:pPr>
              <w:spacing w:after="20" w:line="250" w:lineRule="auto"/>
            </w:pPr>
            <w:r>
              <w:t>Exercise every affected user journey in a real browser on required widths, roles, network states and assistive paths. Inspect actual interaction, not screenshots alone.</w:t>
            </w:r>
          </w:p>
        </w:tc>
      </w:tr>
      <w:tr>
        <w:tc>
          <w:tcPr>
            <w:tcW w:type="dxa" w:w="792"/>
            <w:tcMar>
              <w:top w:w="80" w:type="dxa"/>
              <w:start w:w="120" w:type="dxa"/>
              <w:bottom w:w="80" w:type="dxa"/>
              <w:end w:w="120" w:type="dxa"/>
            </w:tcMar>
            <w:vAlign w:val="center"/>
            <w:shd w:fill="F7F8FA"/>
          </w:tcPr>
          <w:p>
            <w:pPr>
              <w:spacing w:after="20" w:line="250" w:lineRule="auto"/>
            </w:pPr>
            <w:r>
              <w:t>8</w:t>
            </w:r>
          </w:p>
        </w:tc>
        <w:tc>
          <w:tcPr>
            <w:tcW w:type="dxa" w:w="8568"/>
            <w:tcMar>
              <w:top w:w="80" w:type="dxa"/>
              <w:start w:w="120" w:type="dxa"/>
              <w:bottom w:w="80" w:type="dxa"/>
              <w:end w:w="120" w:type="dxa"/>
            </w:tcMar>
            <w:vAlign w:val="center"/>
            <w:shd w:fill="F7F8FA"/>
          </w:tcPr>
          <w:p>
            <w:pPr>
              <w:spacing w:after="20" w:line="250" w:lineRule="auto"/>
            </w:pPr>
            <w:r>
              <w:t>Reconcile evidence to requirements: every obligation has current proof; every artifact belongs to this commit/environment/data/config; contradictions are resolved.</w:t>
            </w:r>
          </w:p>
        </w:tc>
      </w:tr>
      <w:tr>
        <w:tc>
          <w:tcPr>
            <w:tcW w:type="dxa" w:w="792"/>
            <w:tcMar>
              <w:top w:w="80" w:type="dxa"/>
              <w:start w:w="120" w:type="dxa"/>
              <w:bottom w:w="80" w:type="dxa"/>
              <w:end w:w="120" w:type="dxa"/>
            </w:tcMar>
            <w:vAlign w:val="center"/>
          </w:tcPr>
          <w:p>
            <w:pPr>
              <w:spacing w:after="20" w:line="250" w:lineRule="auto"/>
            </w:pPr>
            <w:r>
              <w:t>9</w:t>
            </w:r>
          </w:p>
        </w:tc>
        <w:tc>
          <w:tcPr>
            <w:tcW w:type="dxa" w:w="8568"/>
            <w:tcMar>
              <w:top w:w="80" w:type="dxa"/>
              <w:start w:w="120" w:type="dxa"/>
              <w:bottom w:w="80" w:type="dxa"/>
              <w:end w:w="120" w:type="dxa"/>
            </w:tcMar>
            <w:vAlign w:val="center"/>
          </w:tcPr>
          <w:p>
            <w:pPr>
              <w:spacing w:after="20" w:line="250" w:lineRule="auto"/>
            </w:pPr>
            <w:r>
              <w:t>Classify findings and decide ACCEPTED, CORRECTION REQUIRED or BLOCKED. Record exact evidence, rationale, reviewer and timestamp.</w:t>
            </w:r>
          </w:p>
        </w:tc>
      </w:tr>
      <w:tr>
        <w:tc>
          <w:tcPr>
            <w:tcW w:type="dxa" w:w="792"/>
            <w:tcMar>
              <w:top w:w="80" w:type="dxa"/>
              <w:start w:w="120" w:type="dxa"/>
              <w:bottom w:w="80" w:type="dxa"/>
              <w:end w:w="120" w:type="dxa"/>
            </w:tcMar>
            <w:vAlign w:val="center"/>
            <w:shd w:fill="F7F8FA"/>
          </w:tcPr>
          <w:p>
            <w:pPr>
              <w:spacing w:after="20" w:line="250" w:lineRule="auto"/>
            </w:pPr>
            <w:r>
              <w:t>10</w:t>
            </w:r>
          </w:p>
        </w:tc>
        <w:tc>
          <w:tcPr>
            <w:tcW w:type="dxa" w:w="8568"/>
            <w:tcMar>
              <w:top w:w="80" w:type="dxa"/>
              <w:start w:w="120" w:type="dxa"/>
              <w:bottom w:w="80" w:type="dxa"/>
              <w:end w:w="120" w:type="dxa"/>
            </w:tcMar>
            <w:vAlign w:val="center"/>
            <w:shd w:fill="F7F8FA"/>
          </w:tcPr>
          <w:p>
            <w:pPr>
              <w:spacing w:after="20" w:line="250" w:lineRule="auto"/>
            </w:pPr>
            <w:r>
              <w:t>Update the Master Build Control Index and repository ledger. Only an ACCEPTED full commit opens the next prompt.</w:t>
            </w:r>
          </w:p>
        </w:tc>
      </w:tr>
    </w:tbl>
    <w:p>
      <w:pPr>
        <w:spacing w:after="0"/>
      </w:pPr>
    </w:p>
    <w:p>
      <w:pPr>
        <w:pStyle w:val="Heading1"/>
      </w:pPr>
      <w:r>
        <w:t>5. Review subject and admissibility record</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tcPr>
          <w:p>
            <w:r>
              <w:rPr>
                <w:b/>
              </w:rPr>
              <w:t>Field</w:t>
            </w:r>
          </w:p>
        </w:tc>
        <w:tc>
          <w:tcPr>
            <w:tcW w:type="dxa" w:w="6984"/>
            <w:shd w:fill="E8EEF5"/>
            <w:tcMar>
              <w:top w:w="80" w:type="dxa"/>
              <w:start w:w="120" w:type="dxa"/>
              <w:bottom w:w="80" w:type="dxa"/>
              <w:end w:w="120" w:type="dxa"/>
            </w:tcMar>
          </w:tcPr>
          <w:p>
            <w:r>
              <w:rPr>
                <w:b/>
              </w:rPr>
              <w:t>Reviewer records</w:t>
            </w:r>
          </w:p>
        </w:tc>
      </w:tr>
      <w:tr>
        <w:tc>
          <w:tcPr>
            <w:tcW w:type="dxa" w:w="2376"/>
            <w:tcMar>
              <w:top w:w="80" w:type="dxa"/>
              <w:start w:w="120" w:type="dxa"/>
              <w:bottom w:w="80" w:type="dxa"/>
              <w:end w:w="120" w:type="dxa"/>
            </w:tcMar>
            <w:vAlign w:val="center"/>
          </w:tcPr>
          <w:p>
            <w:pPr>
              <w:spacing w:after="20" w:line="250" w:lineRule="auto"/>
            </w:pPr>
            <w:r>
              <w:t>Prompt</w:t>
            </w:r>
          </w:p>
        </w:tc>
        <w:tc>
          <w:tcPr>
            <w:tcW w:type="dxa" w:w="6984"/>
            <w:tcMar>
              <w:top w:w="80" w:type="dxa"/>
              <w:start w:w="120" w:type="dxa"/>
              <w:bottom w:w="80" w:type="dxa"/>
              <w:end w:w="120" w:type="dxa"/>
            </w:tcMar>
            <w:vAlign w:val="center"/>
          </w:tcPr>
          <w:p>
            <w:pPr>
              <w:spacing w:after="20" w:line="250" w:lineRule="auto"/>
            </w:pPr>
            <w:r>
              <w:t>____________________________</w:t>
            </w:r>
          </w:p>
        </w:tc>
      </w:tr>
      <w:tr>
        <w:tc>
          <w:tcPr>
            <w:tcW w:type="dxa" w:w="2376"/>
            <w:tcMar>
              <w:top w:w="80" w:type="dxa"/>
              <w:start w:w="120" w:type="dxa"/>
              <w:bottom w:w="80" w:type="dxa"/>
              <w:end w:w="120" w:type="dxa"/>
            </w:tcMar>
            <w:vAlign w:val="center"/>
            <w:shd w:fill="F7F8FA"/>
          </w:tcPr>
          <w:p>
            <w:pPr>
              <w:spacing w:after="20" w:line="250" w:lineRule="auto"/>
            </w:pPr>
            <w:r>
              <w:t>Title</w:t>
            </w:r>
          </w:p>
        </w:tc>
        <w:tc>
          <w:tcPr>
            <w:tcW w:type="dxa" w:w="6984"/>
            <w:tcMar>
              <w:top w:w="80" w:type="dxa"/>
              <w:start w:w="120" w:type="dxa"/>
              <w:bottom w:w="80" w:type="dxa"/>
              <w:end w:w="120" w:type="dxa"/>
            </w:tcMar>
            <w:vAlign w:val="center"/>
            <w:shd w:fill="F7F8FA"/>
          </w:tcPr>
          <w:p>
            <w:pPr>
              <w:spacing w:after="20" w:line="250" w:lineRule="auto"/>
            </w:pPr>
            <w:r>
              <w:t>____________________________</w:t>
            </w:r>
          </w:p>
        </w:tc>
      </w:tr>
      <w:tr>
        <w:tc>
          <w:tcPr>
            <w:tcW w:type="dxa" w:w="2376"/>
            <w:tcMar>
              <w:top w:w="80" w:type="dxa"/>
              <w:start w:w="120" w:type="dxa"/>
              <w:bottom w:w="80" w:type="dxa"/>
              <w:end w:w="120" w:type="dxa"/>
            </w:tcMar>
            <w:vAlign w:val="center"/>
          </w:tcPr>
          <w:p>
            <w:pPr>
              <w:spacing w:after="20" w:line="250" w:lineRule="auto"/>
            </w:pPr>
            <w:r>
              <w:t>Slice/spec sections</w:t>
            </w:r>
          </w:p>
        </w:tc>
        <w:tc>
          <w:tcPr>
            <w:tcW w:type="dxa" w:w="6984"/>
            <w:tcMar>
              <w:top w:w="80" w:type="dxa"/>
              <w:start w:w="120" w:type="dxa"/>
              <w:bottom w:w="80" w:type="dxa"/>
              <w:end w:w="120" w:type="dxa"/>
            </w:tcMar>
            <w:vAlign w:val="center"/>
          </w:tcPr>
          <w:p>
            <w:pPr>
              <w:spacing w:after="20" w:line="250" w:lineRule="auto"/>
            </w:pPr>
            <w:r>
              <w:t>____________________________</w:t>
            </w:r>
          </w:p>
        </w:tc>
      </w:tr>
      <w:tr>
        <w:tc>
          <w:tcPr>
            <w:tcW w:type="dxa" w:w="2376"/>
            <w:tcMar>
              <w:top w:w="80" w:type="dxa"/>
              <w:start w:w="120" w:type="dxa"/>
              <w:bottom w:w="80" w:type="dxa"/>
              <w:end w:w="120" w:type="dxa"/>
            </w:tcMar>
            <w:vAlign w:val="center"/>
            <w:shd w:fill="F7F8FA"/>
          </w:tcPr>
          <w:p>
            <w:pPr>
              <w:spacing w:after="20" w:line="250" w:lineRule="auto"/>
            </w:pPr>
            <w:r>
              <w:t>LAST_ACCEPTED_COMMIT</w:t>
            </w:r>
          </w:p>
        </w:tc>
        <w:tc>
          <w:tcPr>
            <w:tcW w:type="dxa" w:w="6984"/>
            <w:tcMar>
              <w:top w:w="80" w:type="dxa"/>
              <w:start w:w="120" w:type="dxa"/>
              <w:bottom w:w="80" w:type="dxa"/>
              <w:end w:w="120" w:type="dxa"/>
            </w:tcMar>
            <w:vAlign w:val="center"/>
            <w:shd w:fill="F7F8FA"/>
          </w:tcPr>
          <w:p>
            <w:pPr>
              <w:spacing w:after="20" w:line="250" w:lineRule="auto"/>
            </w:pPr>
            <w:r>
              <w:t>____________________________</w:t>
            </w:r>
          </w:p>
        </w:tc>
      </w:tr>
      <w:tr>
        <w:tc>
          <w:tcPr>
            <w:tcW w:type="dxa" w:w="2376"/>
            <w:tcMar>
              <w:top w:w="80" w:type="dxa"/>
              <w:start w:w="120" w:type="dxa"/>
              <w:bottom w:w="80" w:type="dxa"/>
              <w:end w:w="120" w:type="dxa"/>
            </w:tcMar>
            <w:vAlign w:val="center"/>
          </w:tcPr>
          <w:p>
            <w:pPr>
              <w:spacing w:after="20" w:line="250" w:lineRule="auto"/>
            </w:pPr>
            <w:r>
              <w:t>Claimed commit</w:t>
            </w:r>
          </w:p>
        </w:tc>
        <w:tc>
          <w:tcPr>
            <w:tcW w:type="dxa" w:w="6984"/>
            <w:tcMar>
              <w:top w:w="80" w:type="dxa"/>
              <w:start w:w="120" w:type="dxa"/>
              <w:bottom w:w="80" w:type="dxa"/>
              <w:end w:w="120" w:type="dxa"/>
            </w:tcMar>
            <w:vAlign w:val="center"/>
          </w:tcPr>
          <w:p>
            <w:pPr>
              <w:spacing w:after="20" w:line="250" w:lineRule="auto"/>
            </w:pPr>
            <w:r>
              <w:t>____________________________</w:t>
            </w:r>
          </w:p>
        </w:tc>
      </w:tr>
      <w:tr>
        <w:tc>
          <w:tcPr>
            <w:tcW w:type="dxa" w:w="2376"/>
            <w:tcMar>
              <w:top w:w="80" w:type="dxa"/>
              <w:start w:w="120" w:type="dxa"/>
              <w:bottom w:w="80" w:type="dxa"/>
              <w:end w:w="120" w:type="dxa"/>
            </w:tcMar>
            <w:vAlign w:val="center"/>
            <w:shd w:fill="F7F8FA"/>
          </w:tcPr>
          <w:p>
            <w:pPr>
              <w:spacing w:after="20" w:line="250" w:lineRule="auto"/>
            </w:pPr>
            <w:r>
              <w:t>Repository/branch</w:t>
            </w:r>
          </w:p>
        </w:tc>
        <w:tc>
          <w:tcPr>
            <w:tcW w:type="dxa" w:w="6984"/>
            <w:tcMar>
              <w:top w:w="80" w:type="dxa"/>
              <w:start w:w="120" w:type="dxa"/>
              <w:bottom w:w="80" w:type="dxa"/>
              <w:end w:w="120" w:type="dxa"/>
            </w:tcMar>
            <w:vAlign w:val="center"/>
            <w:shd w:fill="F7F8FA"/>
          </w:tcPr>
          <w:p>
            <w:pPr>
              <w:spacing w:after="20" w:line="250" w:lineRule="auto"/>
            </w:pPr>
            <w:r>
              <w:t>____________________________</w:t>
            </w:r>
          </w:p>
        </w:tc>
      </w:tr>
      <w:tr>
        <w:tc>
          <w:tcPr>
            <w:tcW w:type="dxa" w:w="2376"/>
            <w:tcMar>
              <w:top w:w="80" w:type="dxa"/>
              <w:start w:w="120" w:type="dxa"/>
              <w:bottom w:w="80" w:type="dxa"/>
              <w:end w:w="120" w:type="dxa"/>
            </w:tcMar>
            <w:vAlign w:val="center"/>
          </w:tcPr>
          <w:p>
            <w:pPr>
              <w:spacing w:after="20" w:line="250" w:lineRule="auto"/>
            </w:pPr>
            <w:r>
              <w:t>Environment/dataset</w:t>
            </w:r>
          </w:p>
        </w:tc>
        <w:tc>
          <w:tcPr>
            <w:tcW w:type="dxa" w:w="6984"/>
            <w:tcMar>
              <w:top w:w="80" w:type="dxa"/>
              <w:start w:w="120" w:type="dxa"/>
              <w:bottom w:w="80" w:type="dxa"/>
              <w:end w:w="120" w:type="dxa"/>
            </w:tcMar>
            <w:vAlign w:val="center"/>
          </w:tcPr>
          <w:p>
            <w:pPr>
              <w:spacing w:after="20" w:line="250" w:lineRule="auto"/>
            </w:pPr>
            <w:r>
              <w:t>____________________________</w:t>
            </w:r>
          </w:p>
        </w:tc>
      </w:tr>
      <w:tr>
        <w:tc>
          <w:tcPr>
            <w:tcW w:type="dxa" w:w="2376"/>
            <w:tcMar>
              <w:top w:w="80" w:type="dxa"/>
              <w:start w:w="120" w:type="dxa"/>
              <w:bottom w:w="80" w:type="dxa"/>
              <w:end w:w="120" w:type="dxa"/>
            </w:tcMar>
            <w:vAlign w:val="center"/>
            <w:shd w:fill="F7F8FA"/>
          </w:tcPr>
          <w:p>
            <w:pPr>
              <w:spacing w:after="20" w:line="250" w:lineRule="auto"/>
            </w:pPr>
            <w:r>
              <w:t>Candidate/config/flags</w:t>
            </w:r>
          </w:p>
        </w:tc>
        <w:tc>
          <w:tcPr>
            <w:tcW w:type="dxa" w:w="6984"/>
            <w:tcMar>
              <w:top w:w="80" w:type="dxa"/>
              <w:start w:w="120" w:type="dxa"/>
              <w:bottom w:w="80" w:type="dxa"/>
              <w:end w:w="120" w:type="dxa"/>
            </w:tcMar>
            <w:vAlign w:val="center"/>
            <w:shd w:fill="F7F8FA"/>
          </w:tcPr>
          <w:p>
            <w:pPr>
              <w:spacing w:after="20" w:line="250" w:lineRule="auto"/>
            </w:pPr>
            <w:r>
              <w:t>____________________________</w:t>
            </w:r>
          </w:p>
        </w:tc>
      </w:tr>
      <w:tr>
        <w:tc>
          <w:tcPr>
            <w:tcW w:type="dxa" w:w="2376"/>
            <w:tcMar>
              <w:top w:w="80" w:type="dxa"/>
              <w:start w:w="120" w:type="dxa"/>
              <w:bottom w:w="80" w:type="dxa"/>
              <w:end w:w="120" w:type="dxa"/>
            </w:tcMar>
            <w:vAlign w:val="center"/>
          </w:tcPr>
          <w:p>
            <w:pPr>
              <w:spacing w:after="20" w:line="250" w:lineRule="auto"/>
            </w:pPr>
            <w:r>
              <w:t>Completion report</w:t>
            </w:r>
          </w:p>
        </w:tc>
        <w:tc>
          <w:tcPr>
            <w:tcW w:type="dxa" w:w="6984"/>
            <w:tcMar>
              <w:top w:w="80" w:type="dxa"/>
              <w:start w:w="120" w:type="dxa"/>
              <w:bottom w:w="80" w:type="dxa"/>
              <w:end w:w="120" w:type="dxa"/>
            </w:tcMar>
            <w:vAlign w:val="center"/>
          </w:tcPr>
          <w:p>
            <w:pPr>
              <w:spacing w:after="20" w:line="250" w:lineRule="auto"/>
            </w:pPr>
            <w:r>
              <w:t>____________________________</w:t>
            </w:r>
          </w:p>
        </w:tc>
      </w:tr>
      <w:tr>
        <w:tc>
          <w:tcPr>
            <w:tcW w:type="dxa" w:w="2376"/>
            <w:tcMar>
              <w:top w:w="80" w:type="dxa"/>
              <w:start w:w="120" w:type="dxa"/>
              <w:bottom w:w="80" w:type="dxa"/>
              <w:end w:w="120" w:type="dxa"/>
            </w:tcMar>
            <w:vAlign w:val="center"/>
            <w:shd w:fill="F7F8FA"/>
          </w:tcPr>
          <w:p>
            <w:pPr>
              <w:spacing w:after="20" w:line="250" w:lineRule="auto"/>
            </w:pPr>
            <w:r>
              <w:t>Items brought forward</w:t>
            </w:r>
          </w:p>
        </w:tc>
        <w:tc>
          <w:tcPr>
            <w:tcW w:type="dxa" w:w="6984"/>
            <w:tcMar>
              <w:top w:w="80" w:type="dxa"/>
              <w:start w:w="120" w:type="dxa"/>
              <w:bottom w:w="80" w:type="dxa"/>
              <w:end w:w="120" w:type="dxa"/>
            </w:tcMar>
            <w:vAlign w:val="center"/>
            <w:shd w:fill="F7F8FA"/>
          </w:tcPr>
          <w:p>
            <w:pPr>
              <w:spacing w:after="20" w:line="250" w:lineRule="auto"/>
            </w:pPr>
            <w:r>
              <w:t>NONE / details: ____________________________</w:t>
            </w:r>
          </w:p>
        </w:tc>
      </w:tr>
      <w:tr>
        <w:tc>
          <w:tcPr>
            <w:tcW w:type="dxa" w:w="2376"/>
            <w:tcMar>
              <w:top w:w="80" w:type="dxa"/>
              <w:start w:w="120" w:type="dxa"/>
              <w:bottom w:w="80" w:type="dxa"/>
              <w:end w:w="120" w:type="dxa"/>
            </w:tcMar>
            <w:vAlign w:val="center"/>
          </w:tcPr>
          <w:p>
            <w:pPr>
              <w:spacing w:after="20" w:line="250" w:lineRule="auto"/>
            </w:pPr>
            <w:r>
              <w:t>Reviewer(s)</w:t>
            </w:r>
          </w:p>
        </w:tc>
        <w:tc>
          <w:tcPr>
            <w:tcW w:type="dxa" w:w="6984"/>
            <w:tcMar>
              <w:top w:w="80" w:type="dxa"/>
              <w:start w:w="120" w:type="dxa"/>
              <w:bottom w:w="80" w:type="dxa"/>
              <w:end w:w="120" w:type="dxa"/>
            </w:tcMar>
            <w:vAlign w:val="center"/>
          </w:tcPr>
          <w:p>
            <w:pPr>
              <w:spacing w:after="20" w:line="250" w:lineRule="auto"/>
            </w:pPr>
            <w:r>
              <w:t>____________________________</w:t>
            </w:r>
          </w:p>
        </w:tc>
      </w:tr>
      <w:tr>
        <w:tc>
          <w:tcPr>
            <w:tcW w:type="dxa" w:w="2376"/>
            <w:tcMar>
              <w:top w:w="80" w:type="dxa"/>
              <w:start w:w="120" w:type="dxa"/>
              <w:bottom w:w="80" w:type="dxa"/>
              <w:end w:w="120" w:type="dxa"/>
            </w:tcMar>
            <w:vAlign w:val="center"/>
            <w:shd w:fill="F7F8FA"/>
          </w:tcPr>
          <w:p>
            <w:pPr>
              <w:spacing w:after="20" w:line="250" w:lineRule="auto"/>
            </w:pPr>
            <w:r>
              <w:t>Review started/completed</w:t>
            </w:r>
          </w:p>
        </w:tc>
        <w:tc>
          <w:tcPr>
            <w:tcW w:type="dxa" w:w="6984"/>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p>
      <w:pPr>
        <w:pStyle w:val="Heading2"/>
      </w:pPr>
      <w:r>
        <w:t>5.1 Admissibility checklist</w:t>
      </w:r>
    </w:p>
    <w:p>
      <w:pPr>
        <w:pStyle w:val="ListBullet"/>
        <w:spacing w:after="60"/>
      </w:pPr>
      <w:r>
        <w:t>Claimed commit exists, is immutable and descends from the declared accepted base.</w:t>
      </w:r>
    </w:p>
    <w:p>
      <w:pPr>
        <w:pStyle w:val="ListBullet"/>
        <w:spacing w:after="60"/>
      </w:pPr>
      <w:r>
        <w:t>Diff is confined to the prompt or every additional change is explicitly justified and controlled.</w:t>
      </w:r>
    </w:p>
    <w:p>
      <w:pPr>
        <w:pStyle w:val="ListBullet"/>
        <w:spacing w:after="60"/>
      </w:pPr>
      <w:r>
        <w:t>Working tree/user changes are preserved; reviewer did not silently absorb unrelated edits.</w:t>
      </w:r>
    </w:p>
    <w:p>
      <w:pPr>
        <w:pStyle w:val="ListBullet"/>
        <w:spacing w:after="60"/>
      </w:pPr>
      <w:r>
        <w:t>Migrations, generated artifacts, lockfiles, configuration and feature flags are included where affected.</w:t>
      </w:r>
    </w:p>
    <w:p>
      <w:pPr>
        <w:pStyle w:val="ListBullet"/>
        <w:spacing w:after="60"/>
      </w:pPr>
      <w:r>
        <w:t>Completion report lists exact commands and results, changed files, security/privacy/authority effect, rollback and full hash.</w:t>
      </w:r>
    </w:p>
    <w:p>
      <w:pPr>
        <w:pStyle w:val="ListBullet"/>
        <w:spacing w:after="60"/>
      </w:pPr>
      <w:r>
        <w:t>No mandatory requirement is hidden in TODO, mock, manual step, waiver or items brought forward.</w:t>
      </w:r>
    </w:p>
    <w:p>
      <w:pPr>
        <w:pStyle w:val="ListBullet"/>
        <w:spacing w:after="60"/>
      </w:pPr>
      <w:r>
        <w:t>Required environment, credentials, provider sandbox and safe test data are available.</w:t>
      </w:r>
    </w:p>
    <w:p>
      <w:pPr>
        <w:pStyle w:val="ListBullet"/>
        <w:spacing w:after="60"/>
      </w:pPr>
      <w:r>
        <w:t>If any item fails, the claim is not admissible for acceptance.</w:t>
      </w:r>
    </w:p>
    <w:p>
      <w:pPr>
        <w:pStyle w:val="Heading1"/>
      </w:pPr>
      <w:r>
        <w:t>6. Evidence standard and hierarchy</w:t>
      </w:r>
    </w:p>
    <w:tbl>
      <w:tblPr>
        <w:tblStyle w:val="TableGrid"/>
        <w:tblW w:type="dxa" w:w="9360"/>
        <w:jc w:val="left"/>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E8EEF5"/>
            <w:tcMar>
              <w:top w:w="80" w:type="dxa"/>
              <w:start w:w="120" w:type="dxa"/>
              <w:bottom w:w="80" w:type="dxa"/>
              <w:end w:w="120" w:type="dxa"/>
            </w:tcMar>
          </w:tcPr>
          <w:p>
            <w:r>
              <w:rPr>
                <w:b/>
              </w:rPr>
              <w:t>Strength</w:t>
            </w:r>
          </w:p>
        </w:tc>
        <w:tc>
          <w:tcPr>
            <w:tcW w:type="dxa" w:w="4968"/>
            <w:shd w:fill="E8EEF5"/>
            <w:tcMar>
              <w:top w:w="80" w:type="dxa"/>
              <w:start w:w="120" w:type="dxa"/>
              <w:bottom w:w="80" w:type="dxa"/>
              <w:end w:w="120" w:type="dxa"/>
            </w:tcMar>
          </w:tcPr>
          <w:p>
            <w:r>
              <w:rPr>
                <w:b/>
              </w:rPr>
              <w:t>Evidence</w:t>
            </w:r>
          </w:p>
        </w:tc>
        <w:tc>
          <w:tcPr>
            <w:tcW w:type="dxa" w:w="2880"/>
            <w:shd w:fill="E8EEF5"/>
            <w:tcMar>
              <w:top w:w="80" w:type="dxa"/>
              <w:start w:w="120" w:type="dxa"/>
              <w:bottom w:w="80" w:type="dxa"/>
              <w:end w:w="120" w:type="dxa"/>
            </w:tcMar>
          </w:tcPr>
          <w:p>
            <w:r>
              <w:rPr>
                <w:b/>
              </w:rPr>
              <w:t>Reviewer treatment</w:t>
            </w:r>
          </w:p>
        </w:tc>
      </w:tr>
      <w:tr>
        <w:tc>
          <w:tcPr>
            <w:tcW w:type="dxa" w:w="1512"/>
            <w:tcMar>
              <w:top w:w="80" w:type="dxa"/>
              <w:start w:w="120" w:type="dxa"/>
              <w:bottom w:w="80" w:type="dxa"/>
              <w:end w:w="120" w:type="dxa"/>
            </w:tcMar>
            <w:vAlign w:val="center"/>
          </w:tcPr>
          <w:p>
            <w:pPr>
              <w:spacing w:after="20" w:line="250" w:lineRule="auto"/>
            </w:pPr>
            <w:r>
              <w:t>1 — strongest</w:t>
            </w:r>
          </w:p>
        </w:tc>
        <w:tc>
          <w:tcPr>
            <w:tcW w:type="dxa" w:w="4968"/>
            <w:tcMar>
              <w:top w:w="80" w:type="dxa"/>
              <w:start w:w="120" w:type="dxa"/>
              <w:bottom w:w="80" w:type="dxa"/>
              <w:end w:w="120" w:type="dxa"/>
            </w:tcMar>
            <w:vAlign w:val="center"/>
          </w:tcPr>
          <w:p>
            <w:pPr>
              <w:spacing w:after="20" w:line="250" w:lineRule="auto"/>
            </w:pPr>
            <w:r>
              <w:t>Independent rerun on exact commit/environment/data with preserved logs/artifacts and observed role task.</w:t>
            </w:r>
          </w:p>
        </w:tc>
        <w:tc>
          <w:tcPr>
            <w:tcW w:type="dxa" w:w="2880"/>
            <w:tcMar>
              <w:top w:w="80" w:type="dxa"/>
              <w:start w:w="120" w:type="dxa"/>
              <w:bottom w:w="80" w:type="dxa"/>
              <w:end w:w="120" w:type="dxa"/>
            </w:tcMar>
            <w:vAlign w:val="center"/>
          </w:tcPr>
          <w:p>
            <w:pPr>
              <w:spacing w:after="20" w:line="250" w:lineRule="auto"/>
            </w:pPr>
            <w:r>
              <w:t>Use for critical behavior and gates.</w:t>
            </w:r>
          </w:p>
        </w:tc>
      </w:tr>
      <w:tr>
        <w:tc>
          <w:tcPr>
            <w:tcW w:type="dxa" w:w="1512"/>
            <w:tcMar>
              <w:top w:w="80" w:type="dxa"/>
              <w:start w:w="120" w:type="dxa"/>
              <w:bottom w:w="80" w:type="dxa"/>
              <w:end w:w="120" w:type="dxa"/>
            </w:tcMar>
            <w:vAlign w:val="center"/>
            <w:shd w:fill="F7F8FA"/>
          </w:tcPr>
          <w:p>
            <w:pPr>
              <w:spacing w:after="20" w:line="250" w:lineRule="auto"/>
            </w:pPr>
            <w:r>
              <w:t>2</w:t>
            </w:r>
          </w:p>
        </w:tc>
        <w:tc>
          <w:tcPr>
            <w:tcW w:type="dxa" w:w="4968"/>
            <w:tcMar>
              <w:top w:w="80" w:type="dxa"/>
              <w:start w:w="120" w:type="dxa"/>
              <w:bottom w:w="80" w:type="dxa"/>
              <w:end w:w="120" w:type="dxa"/>
            </w:tcMar>
            <w:vAlign w:val="center"/>
            <w:shd w:fill="F7F8FA"/>
          </w:tcPr>
          <w:p>
            <w:pPr>
              <w:spacing w:after="20" w:line="250" w:lineRule="auto"/>
            </w:pPr>
            <w:r>
              <w:t>Automated production-like integration/browser/failure test with exact inputs and result artifact.</w:t>
            </w:r>
          </w:p>
        </w:tc>
        <w:tc>
          <w:tcPr>
            <w:tcW w:type="dxa" w:w="2880"/>
            <w:tcMar>
              <w:top w:w="80" w:type="dxa"/>
              <w:start w:w="120" w:type="dxa"/>
              <w:bottom w:w="80" w:type="dxa"/>
              <w:end w:w="120" w:type="dxa"/>
            </w:tcMar>
            <w:vAlign w:val="center"/>
            <w:shd w:fill="F7F8FA"/>
          </w:tcPr>
          <w:p>
            <w:pPr>
              <w:spacing w:after="20" w:line="250" w:lineRule="auto"/>
            </w:pPr>
            <w:r>
              <w:t>Accept when test genuinely exercises the boundary.</w:t>
            </w:r>
          </w:p>
        </w:tc>
      </w:tr>
      <w:tr>
        <w:tc>
          <w:tcPr>
            <w:tcW w:type="dxa" w:w="1512"/>
            <w:tcMar>
              <w:top w:w="80" w:type="dxa"/>
              <w:start w:w="120" w:type="dxa"/>
              <w:bottom w:w="80" w:type="dxa"/>
              <w:end w:w="120" w:type="dxa"/>
            </w:tcMar>
            <w:vAlign w:val="center"/>
          </w:tcPr>
          <w:p>
            <w:pPr>
              <w:spacing w:after="20" w:line="250" w:lineRule="auto"/>
            </w:pPr>
            <w:r>
              <w:t>3</w:t>
            </w:r>
          </w:p>
        </w:tc>
        <w:tc>
          <w:tcPr>
            <w:tcW w:type="dxa" w:w="4968"/>
            <w:tcMar>
              <w:top w:w="80" w:type="dxa"/>
              <w:start w:w="120" w:type="dxa"/>
              <w:bottom w:w="80" w:type="dxa"/>
              <w:end w:w="120" w:type="dxa"/>
            </w:tcMar>
            <w:vAlign w:val="center"/>
          </w:tcPr>
          <w:p>
            <w:pPr>
              <w:spacing w:after="20" w:line="250" w:lineRule="auto"/>
            </w:pPr>
            <w:r>
              <w:t>Unit/property/static evidence tied to requirement and code.</w:t>
            </w:r>
          </w:p>
        </w:tc>
        <w:tc>
          <w:tcPr>
            <w:tcW w:type="dxa" w:w="2880"/>
            <w:tcMar>
              <w:top w:w="80" w:type="dxa"/>
              <w:start w:w="120" w:type="dxa"/>
              <w:bottom w:w="80" w:type="dxa"/>
              <w:end w:w="120" w:type="dxa"/>
            </w:tcMar>
            <w:vAlign w:val="center"/>
          </w:tcPr>
          <w:p>
            <w:pPr>
              <w:spacing w:after="20" w:line="250" w:lineRule="auto"/>
            </w:pPr>
            <w:r>
              <w:t>Necessary but insufficient for integrated/user claims.</w:t>
            </w:r>
          </w:p>
        </w:tc>
      </w:tr>
      <w:tr>
        <w:tc>
          <w:tcPr>
            <w:tcW w:type="dxa" w:w="1512"/>
            <w:tcMar>
              <w:top w:w="80" w:type="dxa"/>
              <w:start w:w="120" w:type="dxa"/>
              <w:bottom w:w="80" w:type="dxa"/>
              <w:end w:w="120" w:type="dxa"/>
            </w:tcMar>
            <w:vAlign w:val="center"/>
            <w:shd w:fill="F7F8FA"/>
          </w:tcPr>
          <w:p>
            <w:pPr>
              <w:spacing w:after="20" w:line="250" w:lineRule="auto"/>
            </w:pPr>
            <w:r>
              <w:t>4</w:t>
            </w:r>
          </w:p>
        </w:tc>
        <w:tc>
          <w:tcPr>
            <w:tcW w:type="dxa" w:w="4968"/>
            <w:tcMar>
              <w:top w:w="80" w:type="dxa"/>
              <w:start w:w="120" w:type="dxa"/>
              <w:bottom w:w="80" w:type="dxa"/>
              <w:end w:w="120" w:type="dxa"/>
            </w:tcMar>
            <w:vAlign w:val="center"/>
            <w:shd w:fill="F7F8FA"/>
          </w:tcPr>
          <w:p>
            <w:pPr>
              <w:spacing w:after="20" w:line="250" w:lineRule="auto"/>
            </w:pPr>
            <w:r>
              <w:t>Implementer-run result with reproducible command and artifact.</w:t>
            </w:r>
          </w:p>
        </w:tc>
        <w:tc>
          <w:tcPr>
            <w:tcW w:type="dxa" w:w="2880"/>
            <w:tcMar>
              <w:top w:w="80" w:type="dxa"/>
              <w:start w:w="120" w:type="dxa"/>
              <w:bottom w:w="80" w:type="dxa"/>
              <w:end w:w="120" w:type="dxa"/>
            </w:tcMar>
            <w:vAlign w:val="center"/>
            <w:shd w:fill="F7F8FA"/>
          </w:tcPr>
          <w:p>
            <w:pPr>
              <w:spacing w:after="20" w:line="250" w:lineRule="auto"/>
            </w:pPr>
            <w:r>
              <w:t>Rerun material claims independently.</w:t>
            </w:r>
          </w:p>
        </w:tc>
      </w:tr>
      <w:tr>
        <w:tc>
          <w:tcPr>
            <w:tcW w:type="dxa" w:w="1512"/>
            <w:tcMar>
              <w:top w:w="80" w:type="dxa"/>
              <w:start w:w="120" w:type="dxa"/>
              <w:bottom w:w="80" w:type="dxa"/>
              <w:end w:w="120" w:type="dxa"/>
            </w:tcMar>
            <w:vAlign w:val="center"/>
          </w:tcPr>
          <w:p>
            <w:pPr>
              <w:spacing w:after="20" w:line="250" w:lineRule="auto"/>
            </w:pPr>
            <w:r>
              <w:t>5 — weakest</w:t>
            </w:r>
          </w:p>
        </w:tc>
        <w:tc>
          <w:tcPr>
            <w:tcW w:type="dxa" w:w="4968"/>
            <w:tcMar>
              <w:top w:w="80" w:type="dxa"/>
              <w:start w:w="120" w:type="dxa"/>
              <w:bottom w:w="80" w:type="dxa"/>
              <w:end w:w="120" w:type="dxa"/>
            </w:tcMar>
            <w:vAlign w:val="center"/>
          </w:tcPr>
          <w:p>
            <w:pPr>
              <w:spacing w:after="20" w:line="250" w:lineRule="auto"/>
            </w:pPr>
            <w:r>
              <w:t>Narrative, screenshot, demo, code comment, seeded “passed” state or CI badge without inspectable detail.</w:t>
            </w:r>
          </w:p>
        </w:tc>
        <w:tc>
          <w:tcPr>
            <w:tcW w:type="dxa" w:w="2880"/>
            <w:tcMar>
              <w:top w:w="80" w:type="dxa"/>
              <w:start w:w="120" w:type="dxa"/>
              <w:bottom w:w="80" w:type="dxa"/>
              <w:end w:w="120" w:type="dxa"/>
            </w:tcMar>
            <w:vAlign w:val="center"/>
          </w:tcPr>
          <w:p>
            <w:pPr>
              <w:spacing w:after="20" w:line="250" w:lineRule="auto"/>
            </w:pPr>
            <w:r>
              <w:t>Supporting context only; never sole acceptance proof.</w:t>
            </w:r>
          </w:p>
        </w:tc>
      </w:tr>
    </w:tbl>
    <w:p>
      <w:pPr>
        <w:spacing w:after="0"/>
      </w:pPr>
    </w:p>
    <w:p>
      <w:pPr>
        <w:pStyle w:val="Heading2"/>
      </w:pPr>
      <w:r>
        <w:t>6.1 Evidence envelope</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Field group</w:t>
            </w:r>
          </w:p>
        </w:tc>
        <w:tc>
          <w:tcPr>
            <w:tcW w:type="dxa" w:w="7344"/>
            <w:shd w:fill="E8EEF5"/>
            <w:tcMar>
              <w:top w:w="80" w:type="dxa"/>
              <w:start w:w="120" w:type="dxa"/>
              <w:bottom w:w="80" w:type="dxa"/>
              <w:end w:w="120" w:type="dxa"/>
            </w:tcMar>
          </w:tcPr>
          <w:p>
            <w:r>
              <w:rPr>
                <w:b/>
              </w:rPr>
              <w:t>Minimum content</w:t>
            </w:r>
          </w:p>
        </w:tc>
      </w:tr>
      <w:tr>
        <w:tc>
          <w:tcPr>
            <w:tcW w:type="dxa" w:w="2016"/>
            <w:tcMar>
              <w:top w:w="80" w:type="dxa"/>
              <w:start w:w="120" w:type="dxa"/>
              <w:bottom w:w="80" w:type="dxa"/>
              <w:end w:w="120" w:type="dxa"/>
            </w:tcMar>
            <w:vAlign w:val="center"/>
          </w:tcPr>
          <w:p>
            <w:pPr>
              <w:spacing w:after="20" w:line="250" w:lineRule="auto"/>
            </w:pPr>
            <w:r>
              <w:t>Subject</w:t>
            </w:r>
          </w:p>
        </w:tc>
        <w:tc>
          <w:tcPr>
            <w:tcW w:type="dxa" w:w="7344"/>
            <w:tcMar>
              <w:top w:w="80" w:type="dxa"/>
              <w:start w:w="120" w:type="dxa"/>
              <w:bottom w:w="80" w:type="dxa"/>
              <w:end w:w="120" w:type="dxa"/>
            </w:tcMar>
            <w:vAlign w:val="center"/>
          </w:tcPr>
          <w:p>
            <w:pPr>
              <w:spacing w:after="20" w:line="250" w:lineRule="auto"/>
            </w:pPr>
            <w:r>
              <w:t>Requirement/acceptance ID, prompt, full commit/candidate and affected capability.</w:t>
            </w:r>
          </w:p>
        </w:tc>
      </w:tr>
      <w:tr>
        <w:tc>
          <w:tcPr>
            <w:tcW w:type="dxa" w:w="2016"/>
            <w:tcMar>
              <w:top w:w="80" w:type="dxa"/>
              <w:start w:w="120" w:type="dxa"/>
              <w:bottom w:w="80" w:type="dxa"/>
              <w:end w:w="120" w:type="dxa"/>
            </w:tcMar>
            <w:vAlign w:val="center"/>
            <w:shd w:fill="F7F8FA"/>
          </w:tcPr>
          <w:p>
            <w:pPr>
              <w:spacing w:after="20" w:line="250" w:lineRule="auto"/>
            </w:pPr>
            <w:r>
              <w:t>Execution</w:t>
            </w:r>
          </w:p>
        </w:tc>
        <w:tc>
          <w:tcPr>
            <w:tcW w:type="dxa" w:w="7344"/>
            <w:tcMar>
              <w:top w:w="80" w:type="dxa"/>
              <w:start w:w="120" w:type="dxa"/>
              <w:bottom w:w="80" w:type="dxa"/>
              <w:end w:w="120" w:type="dxa"/>
            </w:tcMar>
            <w:vAlign w:val="center"/>
            <w:shd w:fill="F7F8FA"/>
          </w:tcPr>
          <w:p>
            <w:pPr>
              <w:spacing w:after="20" w:line="250" w:lineRule="auto"/>
            </w:pPr>
            <w:r>
              <w:t>Exact command or observed task, environment, dataset/seed, roles, device/browser and time.</w:t>
            </w:r>
          </w:p>
        </w:tc>
      </w:tr>
      <w:tr>
        <w:tc>
          <w:tcPr>
            <w:tcW w:type="dxa" w:w="2016"/>
            <w:tcMar>
              <w:top w:w="80" w:type="dxa"/>
              <w:start w:w="120" w:type="dxa"/>
              <w:bottom w:w="80" w:type="dxa"/>
              <w:end w:w="120" w:type="dxa"/>
            </w:tcMar>
            <w:vAlign w:val="center"/>
          </w:tcPr>
          <w:p>
            <w:pPr>
              <w:spacing w:after="20" w:line="250" w:lineRule="auto"/>
            </w:pPr>
            <w:r>
              <w:t>Dependencies</w:t>
            </w:r>
          </w:p>
        </w:tc>
        <w:tc>
          <w:tcPr>
            <w:tcW w:type="dxa" w:w="7344"/>
            <w:tcMar>
              <w:top w:w="80" w:type="dxa"/>
              <w:start w:w="120" w:type="dxa"/>
              <w:bottom w:w="80" w:type="dxa"/>
              <w:end w:w="120" w:type="dxa"/>
            </w:tcMar>
            <w:vAlign w:val="center"/>
          </w:tcPr>
          <w:p>
            <w:pPr>
              <w:spacing w:after="20" w:line="250" w:lineRule="auto"/>
            </w:pPr>
            <w:r>
              <w:t>Migrations, config, policy/knowledge, provider/model, flags and artifact hashes.</w:t>
            </w:r>
          </w:p>
        </w:tc>
      </w:tr>
      <w:tr>
        <w:tc>
          <w:tcPr>
            <w:tcW w:type="dxa" w:w="2016"/>
            <w:tcMar>
              <w:top w:w="80" w:type="dxa"/>
              <w:start w:w="120" w:type="dxa"/>
              <w:bottom w:w="80" w:type="dxa"/>
              <w:end w:w="120" w:type="dxa"/>
            </w:tcMar>
            <w:vAlign w:val="center"/>
            <w:shd w:fill="F7F8FA"/>
          </w:tcPr>
          <w:p>
            <w:pPr>
              <w:spacing w:after="20" w:line="250" w:lineRule="auto"/>
            </w:pPr>
            <w:r>
              <w:t>Result</w:t>
            </w:r>
          </w:p>
        </w:tc>
        <w:tc>
          <w:tcPr>
            <w:tcW w:type="dxa" w:w="7344"/>
            <w:tcMar>
              <w:top w:w="80" w:type="dxa"/>
              <w:start w:w="120" w:type="dxa"/>
              <w:bottom w:w="80" w:type="dxa"/>
              <w:end w:w="120" w:type="dxa"/>
            </w:tcMar>
            <w:vAlign w:val="center"/>
            <w:shd w:fill="F7F8FA"/>
          </w:tcPr>
          <w:p>
            <w:pPr>
              <w:spacing w:after="20" w:line="250" w:lineRule="auto"/>
            </w:pPr>
            <w:r>
              <w:t>Expected, actual, pass/fail/blocked, timing/counts and raw report/log/artifact reference.</w:t>
            </w:r>
          </w:p>
        </w:tc>
      </w:tr>
      <w:tr>
        <w:tc>
          <w:tcPr>
            <w:tcW w:type="dxa" w:w="2016"/>
            <w:tcMar>
              <w:top w:w="80" w:type="dxa"/>
              <w:start w:w="120" w:type="dxa"/>
              <w:bottom w:w="80" w:type="dxa"/>
              <w:end w:w="120" w:type="dxa"/>
            </w:tcMar>
            <w:vAlign w:val="center"/>
          </w:tcPr>
          <w:p>
            <w:pPr>
              <w:spacing w:after="20" w:line="250" w:lineRule="auto"/>
            </w:pPr>
            <w:r>
              <w:t>Review</w:t>
            </w:r>
          </w:p>
        </w:tc>
        <w:tc>
          <w:tcPr>
            <w:tcW w:type="dxa" w:w="7344"/>
            <w:tcMar>
              <w:top w:w="80" w:type="dxa"/>
              <w:start w:w="120" w:type="dxa"/>
              <w:bottom w:w="80" w:type="dxa"/>
              <w:end w:w="120" w:type="dxa"/>
            </w:tcMar>
            <w:vAlign w:val="center"/>
          </w:tcPr>
          <w:p>
            <w:pPr>
              <w:spacing w:after="20" w:line="250" w:lineRule="auto"/>
            </w:pPr>
            <w:r>
              <w:t>Independent reviewer, finding, correction/retest and final decision.</w:t>
            </w:r>
          </w:p>
        </w:tc>
      </w:tr>
      <w:tr>
        <w:tc>
          <w:tcPr>
            <w:tcW w:type="dxa" w:w="2016"/>
            <w:tcMar>
              <w:top w:w="80" w:type="dxa"/>
              <w:start w:w="120" w:type="dxa"/>
              <w:bottom w:w="80" w:type="dxa"/>
              <w:end w:w="120" w:type="dxa"/>
            </w:tcMar>
            <w:vAlign w:val="center"/>
            <w:shd w:fill="F7F8FA"/>
          </w:tcPr>
          <w:p>
            <w:pPr>
              <w:spacing w:after="20" w:line="250" w:lineRule="auto"/>
            </w:pPr>
            <w:r>
              <w:t>Freshness</w:t>
            </w:r>
          </w:p>
        </w:tc>
        <w:tc>
          <w:tcPr>
            <w:tcW w:type="dxa" w:w="7344"/>
            <w:tcMar>
              <w:top w:w="80" w:type="dxa"/>
              <w:start w:w="120" w:type="dxa"/>
              <w:bottom w:w="80" w:type="dxa"/>
              <w:end w:w="120" w:type="dxa"/>
            </w:tcMar>
            <w:vAlign w:val="center"/>
            <w:shd w:fill="F7F8FA"/>
          </w:tcPr>
          <w:p>
            <w:pPr>
              <w:spacing w:after="20" w:line="250" w:lineRule="auto"/>
            </w:pPr>
            <w:r>
              <w:t>Expiry and changes that invalidate this evidence.</w:t>
            </w:r>
          </w:p>
        </w:tc>
      </w:tr>
      <w:tr>
        <w:tc>
          <w:tcPr>
            <w:tcW w:type="dxa" w:w="2016"/>
            <w:tcMar>
              <w:top w:w="80" w:type="dxa"/>
              <w:start w:w="120" w:type="dxa"/>
              <w:bottom w:w="80" w:type="dxa"/>
              <w:end w:w="120" w:type="dxa"/>
            </w:tcMar>
            <w:vAlign w:val="center"/>
          </w:tcPr>
          <w:p>
            <w:pPr>
              <w:spacing w:after="20" w:line="250" w:lineRule="auto"/>
            </w:pPr>
            <w:r>
              <w:t>Privacy</w:t>
            </w:r>
          </w:p>
        </w:tc>
        <w:tc>
          <w:tcPr>
            <w:tcW w:type="dxa" w:w="7344"/>
            <w:tcMar>
              <w:top w:w="80" w:type="dxa"/>
              <w:start w:w="120" w:type="dxa"/>
              <w:bottom w:w="80" w:type="dxa"/>
              <w:end w:w="120" w:type="dxa"/>
            </w:tcMar>
            <w:vAlign w:val="center"/>
          </w:tcPr>
          <w:p>
            <w:pPr>
              <w:spacing w:after="20" w:line="250" w:lineRule="auto"/>
            </w:pPr>
            <w:r>
              <w:t>Classification, minimisation and safe retention/access of the evidence itself.</w:t>
            </w:r>
          </w:p>
        </w:tc>
      </w:tr>
    </w:tbl>
    <w:p>
      <w:pPr>
        <w:spacing w:after="0"/>
      </w:pPr>
    </w:p>
    <w:p>
      <w:pPr>
        <w:spacing w:after="0" w:line="20" w:lineRule="exact"/>
      </w:pPr>
      <w:r>
        <w:rPr>
          <w:sz w:val="2"/>
        </w:rPr>
        <w:br w:type="page"/>
      </w:r>
    </w:p>
    <w:p>
      <w:pPr>
        <w:pStyle w:val="Heading1"/>
      </w:pPr>
      <w:r>
        <w:t>7. Universal technical review</w:t>
      </w:r>
    </w:p>
    <w:p>
      <w:pPr>
        <w:pStyle w:val="Heading2"/>
      </w:pPr>
      <w:r>
        <w:t>7.1 Diff, architecture and scope</w:t>
      </w:r>
    </w:p>
    <w:p>
      <w:pPr>
        <w:pStyle w:val="ListBullet"/>
        <w:spacing w:after="60"/>
      </w:pPr>
      <w:r>
        <w:t>Map each changed file to a prompt requirement; investigate files with no clear owner.</w:t>
      </w:r>
    </w:p>
    <w:p>
      <w:pPr>
        <w:pStyle w:val="ListBullet"/>
        <w:spacing w:after="60"/>
      </w:pPr>
      <w:r>
        <w:t>Confirm domain boundaries and one canonical owner for each truth; projections do not become mutable competing ledgers.</w:t>
      </w:r>
    </w:p>
    <w:p>
      <w:pPr>
        <w:pStyle w:val="ListBullet"/>
        <w:spacing w:after="60"/>
      </w:pPr>
      <w:r>
        <w:t>Verify dependency direction, no circular shortcut, stable public contracts and no opportunistic refactor.</w:t>
      </w:r>
    </w:p>
    <w:p>
      <w:pPr>
        <w:pStyle w:val="ListBullet"/>
        <w:spacing w:after="60"/>
      </w:pPr>
      <w:r>
        <w:t>Check feature flags are explicit, independently controlled and default-safe.</w:t>
      </w:r>
    </w:p>
    <w:p>
      <w:pPr>
        <w:pStyle w:val="ListBullet"/>
        <w:spacing w:after="60"/>
      </w:pPr>
      <w:r>
        <w:t>Search for TODO/FIXME, bypass, mock, hard-coded authority, permissive fallback, debug route and direct database manipulation.</w:t>
      </w:r>
    </w:p>
    <w:p>
      <w:pPr>
        <w:pStyle w:val="ListBullet"/>
        <w:spacing w:after="60"/>
      </w:pPr>
      <w:r>
        <w:t>Confirm errors are typed, safe and operationally meaningful; no swallowed exception or fabricated success.</w:t>
      </w:r>
    </w:p>
    <w:p>
      <w:pPr>
        <w:pStyle w:val="Heading2"/>
      </w:pPr>
      <w:r>
        <w:t>7.2 Data, migration and persistence</w:t>
      </w:r>
    </w:p>
    <w:p>
      <w:pPr>
        <w:pStyle w:val="ListBullet"/>
        <w:spacing w:after="60"/>
      </w:pPr>
      <w:r>
        <w:t>Schema encodes tenant/client/event scope, lifecycle, uniqueness, immutable history and retention classification.</w:t>
      </w:r>
    </w:p>
    <w:p>
      <w:pPr>
        <w:pStyle w:val="ListBullet"/>
        <w:spacing w:after="60"/>
      </w:pPr>
      <w:r>
        <w:t>Migration succeeds from clean and representative previous state; rollback or forward-fix matches the ratified strategy.</w:t>
      </w:r>
    </w:p>
    <w:p>
      <w:pPr>
        <w:pStyle w:val="ListBullet"/>
        <w:spacing w:after="60"/>
      </w:pPr>
      <w:r>
        <w:t>Concurrency and optimistic-lock behavior are tested; retries and replay create one business effect.</w:t>
      </w:r>
    </w:p>
    <w:p>
      <w:pPr>
        <w:pStyle w:val="ListBullet"/>
        <w:spacing w:after="60"/>
      </w:pPr>
      <w:r>
        <w:t>Source facts are not destructively normalised; corrections supersede/reverse with lineage.</w:t>
      </w:r>
    </w:p>
    <w:p>
      <w:pPr>
        <w:pStyle w:val="ListBullet"/>
        <w:spacing w:after="60"/>
      </w:pPr>
      <w:r>
        <w:t>Outbox/inbox, worker leases, dead letters and projection rebuild are deterministic and observable.</w:t>
      </w:r>
    </w:p>
    <w:p>
      <w:pPr>
        <w:pStyle w:val="ListBullet"/>
        <w:spacing w:after="60"/>
      </w:pPr>
      <w:r>
        <w:t>Backup/restore/rebuild cannot revive revoked access, withdrawn consent or deleted payload.</w:t>
      </w:r>
    </w:p>
    <w:p>
      <w:pPr>
        <w:pStyle w:val="Heading2"/>
      </w:pPr>
      <w:r>
        <w:t>7.3 API, event, worker and provider contracts</w:t>
      </w:r>
    </w:p>
    <w:p>
      <w:pPr>
        <w:pStyle w:val="ListBullet"/>
        <w:spacing w:after="60"/>
      </w:pPr>
      <w:r>
        <w:t>Authentication, scope and policy are re-derived server-side; client identifiers are not trusted authority.</w:t>
      </w:r>
    </w:p>
    <w:p>
      <w:pPr>
        <w:pStyle w:val="ListBullet"/>
        <w:spacing w:after="60"/>
      </w:pPr>
      <w:r>
        <w:t>Commands are idempotent and return truthful accepted/pending/conflict/denied/error states.</w:t>
      </w:r>
    </w:p>
    <w:p>
      <w:pPr>
        <w:pStyle w:val="ListBullet"/>
        <w:spacing w:after="60"/>
      </w:pPr>
      <w:r>
        <w:t>Events/webhooks carry stable version, identity, time, dedupe key and minimum data.</w:t>
      </w:r>
    </w:p>
    <w:p>
      <w:pPr>
        <w:pStyle w:val="ListBullet"/>
        <w:spacing w:after="60"/>
      </w:pPr>
      <w:r>
        <w:t>Provider authentication, signature/replay defence, timeout, retry, circuit breaker and reconciliation are tested.</w:t>
      </w:r>
    </w:p>
    <w:p>
      <w:pPr>
        <w:pStyle w:val="ListBullet"/>
        <w:spacing w:after="60"/>
      </w:pPr>
      <w:r>
        <w:t>Failure between side effects is recoverable; no orphan message, credential, scan, upload or decision.</w:t>
      </w:r>
    </w:p>
    <w:p>
      <w:pPr>
        <w:pStyle w:val="ListBullet"/>
        <w:spacing w:after="60"/>
      </w:pPr>
      <w:r>
        <w:t>Consumers reject incompatible versions safely and surface an owned operational failure.</w:t>
      </w:r>
    </w:p>
    <w:p>
      <w:pPr>
        <w:pStyle w:val="Heading2"/>
      </w:pPr>
      <w:r>
        <w:t>7.4 Security and privacy</w:t>
      </w:r>
    </w:p>
    <w:p>
      <w:pPr>
        <w:pStyle w:val="ListBullet"/>
        <w:spacing w:after="60"/>
      </w:pPr>
      <w:r>
        <w:t>Test unauthenticated, wrong-role, wrong-client, wrong-event, guessed ID, direct endpoint, replay and support-elevation cases.</w:t>
      </w:r>
    </w:p>
    <w:p>
      <w:pPr>
        <w:pStyle w:val="ListBullet"/>
        <w:spacing w:after="60"/>
      </w:pPr>
      <w:r>
        <w:t>Inspect URLs, DOM, browser storage, cache, logs, traces, analytics, notifications, exports and backups for prohibited data.</w:t>
      </w:r>
    </w:p>
    <w:p>
      <w:pPr>
        <w:pStyle w:val="ListBullet"/>
        <w:spacing w:after="60"/>
      </w:pPr>
      <w:r>
        <w:t>Verify minimisation, purpose, consent/choice, masking, session timeout, event/role switch, logout and privacy reset.</w:t>
      </w:r>
    </w:p>
    <w:p>
      <w:pPr>
        <w:pStyle w:val="ListBullet"/>
        <w:spacing w:after="60"/>
      </w:pPr>
      <w:r>
        <w:t>Secret/provider-key rotation and stale consumer behavior are rehearsed.</w:t>
      </w:r>
    </w:p>
    <w:p>
      <w:pPr>
        <w:pStyle w:val="ListBullet"/>
        <w:spacing w:after="60"/>
      </w:pPr>
      <w:r>
        <w:t>Retention, legal hold, access/correction/restriction/deletion and provider deletion are end-to-end and evidenced.</w:t>
      </w:r>
    </w:p>
    <w:p>
      <w:pPr>
        <w:pStyle w:val="ListBullet"/>
        <w:spacing w:after="60"/>
      </w:pPr>
      <w:r>
        <w:t>Audit records consequential allow/deny/override without storing prohibited payload.</w:t>
      </w:r>
    </w:p>
    <w:p>
      <w:pPr>
        <w:spacing w:after="0" w:line="20" w:lineRule="exact"/>
      </w:pPr>
      <w:r>
        <w:rPr>
          <w:sz w:val="2"/>
        </w:rPr>
        <w:br w:type="page"/>
      </w:r>
    </w:p>
    <w:p>
      <w:pPr>
        <w:pStyle w:val="Heading1"/>
      </w:pPr>
      <w:r>
        <w:t>8. Frontend acceptance protocol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Frontend gate</w:t>
            </w:r>
          </w:p>
        </w:tc>
      </w:tr>
      <w:tr>
        <w:tc>
          <w:tcPr>
            <w:tcW w:type="dxa" w:w="9360"/>
            <w:tcMar>
              <w:top w:w="80" w:type="dxa"/>
              <w:start w:w="120" w:type="dxa"/>
              <w:bottom w:w="80" w:type="dxa"/>
              <w:end w:w="120" w:type="dxa"/>
            </w:tcMar>
            <w:vAlign w:val="center"/>
            <w:shd w:fill="FFF8E8"/>
          </w:tcPr>
          <w:p>
            <w:pPr>
              <w:spacing w:after="20" w:line="250" w:lineRule="auto"/>
            </w:pPr>
            <w:r>
              <w:t>A correct API does not compensate for an unusable, misleading or inaccessible interface. If the intended user cannot safely complete the task through the supported frontend, the prompt is incomplete.</w:t>
            </w:r>
          </w:p>
        </w:tc>
      </w:tr>
    </w:tbl>
    <w:p>
      <w:pPr>
        <w:spacing w:after="0"/>
      </w:pPr>
    </w:p>
    <w:p>
      <w:pPr>
        <w:pStyle w:val="Heading2"/>
      </w:pPr>
      <w:r>
        <w:t>8.1 Route and state completeness</w:t>
      </w:r>
    </w:p>
    <w:p>
      <w:pPr>
        <w:pStyle w:val="ListBullet"/>
        <w:spacing w:after="60"/>
      </w:pPr>
      <w:r>
        <w:t>Map each route/component/action to owning role, authoritative backend state, permission, requirement and browser test.</w:t>
      </w:r>
    </w:p>
    <w:p>
      <w:pPr>
        <w:pStyle w:val="ListBullet"/>
        <w:spacing w:after="60"/>
      </w:pPr>
      <w:r>
        <w:t>Exercise empty, loading, slow, partial, queued, offline, synced, stale, contradicted, conflict, denied, expired, superseded, error and success states where applicable.</w:t>
      </w:r>
    </w:p>
    <w:p>
      <w:pPr>
        <w:pStyle w:val="ListBullet"/>
        <w:spacing w:after="60"/>
      </w:pPr>
      <w:r>
        <w:t>Ensure no status, permission, readiness, entitlement, capacity or authority is calculated only in the client.</w:t>
      </w:r>
    </w:p>
    <w:p>
      <w:pPr>
        <w:pStyle w:val="ListBullet"/>
        <w:spacing w:after="60"/>
      </w:pPr>
      <w:r>
        <w:t>Verify event switch clears/re-scopes cached lists, recent items, drafts, subscriptions and background work.</w:t>
      </w:r>
    </w:p>
    <w:p>
      <w:pPr>
        <w:pStyle w:val="ListBullet"/>
        <w:spacing w:after="60"/>
      </w:pPr>
      <w:r>
        <w:t>Confirm sensitive data disappears after timeout, role/event switch, logout and privacy reset.</w:t>
      </w:r>
    </w:p>
    <w:p>
      <w:pPr>
        <w:pStyle w:val="Heading2"/>
      </w:pPr>
      <w:r>
        <w:t>8.2 Task and interaction quality</w:t>
      </w:r>
    </w:p>
    <w:p>
      <w:pPr>
        <w:pStyle w:val="ListBullet"/>
        <w:spacing w:after="60"/>
      </w:pPr>
      <w:r>
        <w:t>Complete the critical task from entry to durable confirmation and next step without hidden instruction.</w:t>
      </w:r>
    </w:p>
    <w:p>
      <w:pPr>
        <w:pStyle w:val="ListBullet"/>
        <w:spacing w:after="60"/>
      </w:pPr>
      <w:r>
        <w:t>Forms preserve valid entered work across validation and recoverable failure; success appears only after durable acceptance.</w:t>
      </w:r>
    </w:p>
    <w:p>
      <w:pPr>
        <w:pStyle w:val="ListBullet"/>
        <w:spacing w:after="60"/>
      </w:pPr>
      <w:r>
        <w:t>Consequential action previews exact scope, exclusions, downstream effect, authority and recovery.</w:t>
      </w:r>
    </w:p>
    <w:p>
      <w:pPr>
        <w:pStyle w:val="ListBullet"/>
        <w:spacing w:after="60"/>
      </w:pPr>
      <w:r>
        <w:t>Live updates do not steal focus, erase input or unexpectedly reorder active work.</w:t>
      </w:r>
    </w:p>
    <w:p>
      <w:pPr>
        <w:pStyle w:val="ListBullet"/>
        <w:spacing w:after="60"/>
      </w:pPr>
      <w:r>
        <w:t>Errors use dignified, plain, non-accusatory language and give a safe route forward.</w:t>
      </w:r>
    </w:p>
    <w:p>
      <w:pPr>
        <w:pStyle w:val="ListBullet"/>
        <w:spacing w:after="60"/>
      </w:pPr>
      <w:r>
        <w:t>Support/fallback is visible and role-appropriate without exposing broad sensitive data.</w:t>
      </w:r>
    </w:p>
    <w:p>
      <w:pPr>
        <w:pStyle w:val="Heading2"/>
      </w:pPr>
      <w:r>
        <w:t>8.3 Responsive and device script</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Surface</w:t>
            </w:r>
          </w:p>
        </w:tc>
        <w:tc>
          <w:tcPr>
            <w:tcW w:type="dxa" w:w="7416"/>
            <w:shd w:fill="E8EEF5"/>
            <w:tcMar>
              <w:top w:w="80" w:type="dxa"/>
              <w:start w:w="120" w:type="dxa"/>
              <w:bottom w:w="80" w:type="dxa"/>
              <w:end w:w="120" w:type="dxa"/>
            </w:tcMar>
          </w:tcPr>
          <w:p>
            <w:r>
              <w:rPr>
                <w:b/>
              </w:rPr>
              <w:t>Minimum review</w:t>
            </w:r>
          </w:p>
        </w:tc>
      </w:tr>
      <w:tr>
        <w:tc>
          <w:tcPr>
            <w:tcW w:type="dxa" w:w="1944"/>
            <w:tcMar>
              <w:top w:w="80" w:type="dxa"/>
              <w:start w:w="120" w:type="dxa"/>
              <w:bottom w:w="80" w:type="dxa"/>
              <w:end w:w="120" w:type="dxa"/>
            </w:tcMar>
            <w:vAlign w:val="center"/>
          </w:tcPr>
          <w:p>
            <w:pPr>
              <w:spacing w:after="20" w:line="250" w:lineRule="auto"/>
            </w:pPr>
            <w:r>
              <w:t>Guest mobile</w:t>
            </w:r>
          </w:p>
        </w:tc>
        <w:tc>
          <w:tcPr>
            <w:tcW w:type="dxa" w:w="7416"/>
            <w:tcMar>
              <w:top w:w="80" w:type="dxa"/>
              <w:start w:w="120" w:type="dxa"/>
              <w:bottom w:w="80" w:type="dxa"/>
              <w:end w:w="120" w:type="dxa"/>
            </w:tcMar>
            <w:vAlign w:val="center"/>
          </w:tcPr>
          <w:p>
            <w:pPr>
              <w:spacing w:after="20" w:line="250" w:lineRule="auto"/>
            </w:pPr>
            <w:r>
              <w:t>320/360/390; supported iOS/Android browser; slow network; keyboard and screen reader.</w:t>
            </w:r>
          </w:p>
        </w:tc>
      </w:tr>
      <w:tr>
        <w:tc>
          <w:tcPr>
            <w:tcW w:type="dxa" w:w="1944"/>
            <w:tcMar>
              <w:top w:w="80" w:type="dxa"/>
              <w:start w:w="120" w:type="dxa"/>
              <w:bottom w:w="80" w:type="dxa"/>
              <w:end w:w="120" w:type="dxa"/>
            </w:tcMar>
            <w:vAlign w:val="center"/>
            <w:shd w:fill="F7F8FA"/>
          </w:tcPr>
          <w:p>
            <w:pPr>
              <w:spacing w:after="20" w:line="250" w:lineRule="auto"/>
            </w:pPr>
            <w:r>
              <w:t>Staff mobile/tablet</w:t>
            </w:r>
          </w:p>
        </w:tc>
        <w:tc>
          <w:tcPr>
            <w:tcW w:type="dxa" w:w="7416"/>
            <w:tcMar>
              <w:top w:w="80" w:type="dxa"/>
              <w:start w:w="120" w:type="dxa"/>
              <w:bottom w:w="80" w:type="dxa"/>
              <w:end w:w="120" w:type="dxa"/>
            </w:tcMar>
            <w:vAlign w:val="center"/>
            <w:shd w:fill="F7F8FA"/>
          </w:tcPr>
          <w:p>
            <w:pPr>
              <w:spacing w:after="20" w:line="250" w:lineRule="auto"/>
            </w:pPr>
            <w:r>
              <w:t>360/768 portrait/landscape where relevant; touch, interruption, camera/scanner and offline.</w:t>
            </w:r>
          </w:p>
        </w:tc>
      </w:tr>
      <w:tr>
        <w:tc>
          <w:tcPr>
            <w:tcW w:type="dxa" w:w="1944"/>
            <w:tcMar>
              <w:top w:w="80" w:type="dxa"/>
              <w:start w:w="120" w:type="dxa"/>
              <w:bottom w:w="80" w:type="dxa"/>
              <w:end w:w="120" w:type="dxa"/>
            </w:tcMar>
            <w:vAlign w:val="center"/>
          </w:tcPr>
          <w:p>
            <w:pPr>
              <w:spacing w:after="20" w:line="250" w:lineRule="auto"/>
            </w:pPr>
            <w:r>
              <w:t>Desktop admin</w:t>
            </w:r>
          </w:p>
        </w:tc>
        <w:tc>
          <w:tcPr>
            <w:tcW w:type="dxa" w:w="7416"/>
            <w:tcMar>
              <w:top w:w="80" w:type="dxa"/>
              <w:start w:w="120" w:type="dxa"/>
              <w:bottom w:w="80" w:type="dxa"/>
              <w:end w:w="120" w:type="dxa"/>
            </w:tcMar>
            <w:vAlign w:val="center"/>
          </w:tcPr>
          <w:p>
            <w:pPr>
              <w:spacing w:after="20" w:line="250" w:lineRule="auto"/>
            </w:pPr>
            <w:r>
              <w:t>1280+ supported browsers; keyboard-only, 200% zoom, large data and long labels.</w:t>
            </w:r>
          </w:p>
        </w:tc>
      </w:tr>
      <w:tr>
        <w:tc>
          <w:tcPr>
            <w:tcW w:type="dxa" w:w="1944"/>
            <w:tcMar>
              <w:top w:w="80" w:type="dxa"/>
              <w:start w:w="120" w:type="dxa"/>
              <w:bottom w:w="80" w:type="dxa"/>
              <w:end w:w="120" w:type="dxa"/>
            </w:tcMar>
            <w:vAlign w:val="center"/>
            <w:shd w:fill="F7F8FA"/>
          </w:tcPr>
          <w:p>
            <w:pPr>
              <w:spacing w:after="20" w:line="250" w:lineRule="auto"/>
            </w:pPr>
            <w:r>
              <w:t>Canvas/studio</w:t>
            </w:r>
          </w:p>
        </w:tc>
        <w:tc>
          <w:tcPr>
            <w:tcW w:type="dxa" w:w="7416"/>
            <w:tcMar>
              <w:top w:w="80" w:type="dxa"/>
              <w:start w:w="120" w:type="dxa"/>
              <w:bottom w:w="80" w:type="dxa"/>
              <w:end w:w="120" w:type="dxa"/>
            </w:tcMar>
            <w:vAlign w:val="center"/>
            <w:shd w:fill="F7F8FA"/>
          </w:tcPr>
          <w:p>
            <w:pPr>
              <w:spacing w:after="20" w:line="250" w:lineRule="auto"/>
            </w:pPr>
            <w:r>
              <w:t>Pointer/touch plus keyboard/list/form equivalent; zoom/pan, snapshot/restore and performance.</w:t>
            </w:r>
          </w:p>
        </w:tc>
      </w:tr>
      <w:tr>
        <w:tc>
          <w:tcPr>
            <w:tcW w:type="dxa" w:w="1944"/>
            <w:tcMar>
              <w:top w:w="80" w:type="dxa"/>
              <w:start w:w="120" w:type="dxa"/>
              <w:bottom w:w="80" w:type="dxa"/>
              <w:end w:w="120" w:type="dxa"/>
            </w:tcMar>
            <w:vAlign w:val="center"/>
          </w:tcPr>
          <w:p>
            <w:pPr>
              <w:spacing w:after="20" w:line="250" w:lineRule="auto"/>
            </w:pPr>
            <w:r>
              <w:t>Gate/EDR</w:t>
            </w:r>
          </w:p>
        </w:tc>
        <w:tc>
          <w:tcPr>
            <w:tcW w:type="dxa" w:w="7416"/>
            <w:tcMar>
              <w:top w:w="80" w:type="dxa"/>
              <w:start w:w="120" w:type="dxa"/>
              <w:bottom w:w="80" w:type="dxa"/>
              <w:end w:w="120" w:type="dxa"/>
            </w:tcMar>
            <w:vAlign w:val="center"/>
          </w:tcPr>
          <w:p>
            <w:pPr>
              <w:spacing w:after="20" w:line="250" w:lineRule="auto"/>
            </w:pPr>
            <w:r>
              <w:t>Approved device/camera; glare, low light, damaged screen/print, partition and reconnect.</w:t>
            </w:r>
          </w:p>
        </w:tc>
      </w:tr>
      <w:tr>
        <w:tc>
          <w:tcPr>
            <w:tcW w:type="dxa" w:w="1944"/>
            <w:tcMar>
              <w:top w:w="80" w:type="dxa"/>
              <w:start w:w="120" w:type="dxa"/>
              <w:bottom w:w="80" w:type="dxa"/>
              <w:end w:w="120" w:type="dxa"/>
            </w:tcMar>
            <w:vAlign w:val="center"/>
            <w:shd w:fill="F7F8FA"/>
          </w:tcPr>
          <w:p>
            <w:pPr>
              <w:spacing w:after="20" w:line="250" w:lineRule="auto"/>
            </w:pPr>
            <w:r>
              <w:t>Print/card</w:t>
            </w:r>
          </w:p>
        </w:tc>
        <w:tc>
          <w:tcPr>
            <w:tcW w:type="dxa" w:w="7416"/>
            <w:tcMar>
              <w:top w:w="80" w:type="dxa"/>
              <w:start w:w="120" w:type="dxa"/>
              <w:bottom w:w="80" w:type="dxa"/>
              <w:end w:w="120" w:type="dxa"/>
            </w:tcMar>
            <w:vAlign w:val="center"/>
            <w:shd w:fill="F7F8FA"/>
          </w:tcPr>
          <w:p>
            <w:pPr>
              <w:spacing w:after="20" w:line="250" w:lineRule="auto"/>
            </w:pPr>
            <w:r>
              <w:t>Approved browser/render engine, physical dimensions, QR quality and version identity.</w:t>
            </w:r>
          </w:p>
        </w:tc>
      </w:tr>
    </w:tbl>
    <w:p>
      <w:pPr>
        <w:spacing w:after="0"/>
      </w:pPr>
    </w:p>
    <w:p>
      <w:pPr>
        <w:pStyle w:val="Heading2"/>
      </w:pPr>
      <w:r>
        <w:t>8.4 Accessibility script</w:t>
      </w:r>
    </w:p>
    <w:p>
      <w:pPr>
        <w:pStyle w:val="ListBullet"/>
        <w:spacing w:after="60"/>
      </w:pPr>
      <w:r>
        <w:t>Navigate by keyboard only; focus is visible, logical, trapped/released correctly and restored after dialogs.</w:t>
      </w:r>
    </w:p>
    <w:p>
      <w:pPr>
        <w:pStyle w:val="ListBullet"/>
        <w:spacing w:after="60"/>
      </w:pPr>
      <w:r>
        <w:t>Inspect headings, landmarks, labels, descriptions, tables, status messages and error association with a named screen reader/browser.</w:t>
      </w:r>
    </w:p>
    <w:p>
      <w:pPr>
        <w:pStyle w:val="ListBullet"/>
        <w:spacing w:after="60"/>
      </w:pPr>
      <w:r>
        <w:t>At 200% zoom and narrow reflow, no critical content/action is lost or requires two-dimensional scrolling unless intrinsically spatial with an equivalent route.</w:t>
      </w:r>
    </w:p>
    <w:p>
      <w:pPr>
        <w:pStyle w:val="ListBullet"/>
        <w:spacing w:after="60"/>
      </w:pPr>
      <w:r>
        <w:t>Touch targets, drag alternatives, timing, motion and colour-independent meaning meet the ratified standard.</w:t>
      </w:r>
    </w:p>
    <w:p>
      <w:pPr>
        <w:pStyle w:val="ListBullet"/>
        <w:spacing w:after="60"/>
      </w:pPr>
      <w:r>
        <w:t>Charts, canvases, maps and timelines provide equivalent accessible meaning and operation—not a reduced read-only summary.</w:t>
      </w:r>
    </w:p>
    <w:p>
      <w:pPr>
        <w:pStyle w:val="ListBullet"/>
        <w:spacing w:after="60"/>
      </w:pPr>
      <w:r>
        <w:t>Dynamic/offline/conflict updates are announced without interrupting or disorienting the active task.</w:t>
      </w:r>
    </w:p>
    <w:p>
      <w:pPr>
        <w:pStyle w:val="Heading2"/>
      </w:pPr>
      <w:r>
        <w:t>8.5 Observed usability script</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trPr>
        <w:tc>
          <w:tcPr>
            <w:tcW w:type="dxa" w:w="792"/>
            <w:shd w:fill="E8EEF5"/>
            <w:tcMar>
              <w:top w:w="80" w:type="dxa"/>
              <w:start w:w="120" w:type="dxa"/>
              <w:bottom w:w="80" w:type="dxa"/>
              <w:end w:w="120" w:type="dxa"/>
            </w:tcMar>
          </w:tcPr>
          <w:p>
            <w:r>
              <w:rPr>
                <w:b/>
              </w:rPr>
              <w:t>Step</w:t>
            </w:r>
          </w:p>
        </w:tc>
        <w:tc>
          <w:tcPr>
            <w:tcW w:type="dxa" w:w="8568"/>
            <w:shd w:fill="E8EEF5"/>
            <w:tcMar>
              <w:top w:w="80" w:type="dxa"/>
              <w:start w:w="120" w:type="dxa"/>
              <w:bottom w:w="80" w:type="dxa"/>
              <w:end w:w="120" w:type="dxa"/>
            </w:tcMar>
          </w:tcPr>
          <w:p>
            <w:r>
              <w:rPr>
                <w:b/>
              </w:rPr>
              <w:t>Action</w:t>
            </w:r>
          </w:p>
        </w:tc>
      </w:tr>
      <w:tr>
        <w:tc>
          <w:tcPr>
            <w:tcW w:type="dxa" w:w="792"/>
            <w:tcMar>
              <w:top w:w="80" w:type="dxa"/>
              <w:start w:w="120" w:type="dxa"/>
              <w:bottom w:w="80" w:type="dxa"/>
              <w:end w:w="120" w:type="dxa"/>
            </w:tcMar>
            <w:vAlign w:val="center"/>
          </w:tcPr>
          <w:p>
            <w:pPr>
              <w:spacing w:after="20" w:line="250" w:lineRule="auto"/>
            </w:pPr>
            <w:r>
              <w:t>1</w:t>
            </w:r>
          </w:p>
        </w:tc>
        <w:tc>
          <w:tcPr>
            <w:tcW w:type="dxa" w:w="8568"/>
            <w:tcMar>
              <w:top w:w="80" w:type="dxa"/>
              <w:start w:w="120" w:type="dxa"/>
              <w:bottom w:w="80" w:type="dxa"/>
              <w:end w:w="120" w:type="dxa"/>
            </w:tcMar>
            <w:vAlign w:val="center"/>
          </w:tcPr>
          <w:p>
            <w:pPr>
              <w:spacing w:after="20" w:line="250" w:lineRule="auto"/>
            </w:pPr>
            <w:r>
              <w:t>Give the representative user a goal, not click-by-click coaching.</w:t>
            </w:r>
          </w:p>
        </w:tc>
      </w:tr>
      <w:tr>
        <w:tc>
          <w:tcPr>
            <w:tcW w:type="dxa" w:w="792"/>
            <w:tcMar>
              <w:top w:w="80" w:type="dxa"/>
              <w:start w:w="120" w:type="dxa"/>
              <w:bottom w:w="80" w:type="dxa"/>
              <w:end w:w="120" w:type="dxa"/>
            </w:tcMar>
            <w:vAlign w:val="center"/>
            <w:shd w:fill="F7F8FA"/>
          </w:tcPr>
          <w:p>
            <w:pPr>
              <w:spacing w:after="20" w:line="250" w:lineRule="auto"/>
            </w:pPr>
            <w:r>
              <w:t>2</w:t>
            </w:r>
          </w:p>
        </w:tc>
        <w:tc>
          <w:tcPr>
            <w:tcW w:type="dxa" w:w="8568"/>
            <w:tcMar>
              <w:top w:w="80" w:type="dxa"/>
              <w:start w:w="120" w:type="dxa"/>
              <w:bottom w:w="80" w:type="dxa"/>
              <w:end w:w="120" w:type="dxa"/>
            </w:tcMar>
            <w:vAlign w:val="center"/>
            <w:shd w:fill="F7F8FA"/>
          </w:tcPr>
          <w:p>
            <w:pPr>
              <w:spacing w:after="20" w:line="250" w:lineRule="auto"/>
            </w:pPr>
            <w:r>
              <w:t>Record start/end, completion, wrong turns, errors, pauses, questions, workarounds and assistance.</w:t>
            </w:r>
          </w:p>
        </w:tc>
      </w:tr>
      <w:tr>
        <w:tc>
          <w:tcPr>
            <w:tcW w:type="dxa" w:w="792"/>
            <w:tcMar>
              <w:top w:w="80" w:type="dxa"/>
              <w:start w:w="120" w:type="dxa"/>
              <w:bottom w:w="80" w:type="dxa"/>
              <w:end w:w="120" w:type="dxa"/>
            </w:tcMar>
            <w:vAlign w:val="center"/>
          </w:tcPr>
          <w:p>
            <w:pPr>
              <w:spacing w:after="20" w:line="250" w:lineRule="auto"/>
            </w:pPr>
            <w:r>
              <w:t>3</w:t>
            </w:r>
          </w:p>
        </w:tc>
        <w:tc>
          <w:tcPr>
            <w:tcW w:type="dxa" w:w="8568"/>
            <w:tcMar>
              <w:top w:w="80" w:type="dxa"/>
              <w:start w:w="120" w:type="dxa"/>
              <w:bottom w:w="80" w:type="dxa"/>
              <w:end w:w="120" w:type="dxa"/>
            </w:tcMar>
            <w:vAlign w:val="center"/>
          </w:tcPr>
          <w:p>
            <w:pPr>
              <w:spacing w:after="20" w:line="250" w:lineRule="auto"/>
            </w:pPr>
            <w:r>
              <w:t>Ask the user to explain the current state, consequence and next action in their own words.</w:t>
            </w:r>
          </w:p>
        </w:tc>
      </w:tr>
      <w:tr>
        <w:tc>
          <w:tcPr>
            <w:tcW w:type="dxa" w:w="792"/>
            <w:tcMar>
              <w:top w:w="80" w:type="dxa"/>
              <w:start w:w="120" w:type="dxa"/>
              <w:bottom w:w="80" w:type="dxa"/>
              <w:end w:w="120" w:type="dxa"/>
            </w:tcMar>
            <w:vAlign w:val="center"/>
            <w:shd w:fill="F7F8FA"/>
          </w:tcPr>
          <w:p>
            <w:pPr>
              <w:spacing w:after="20" w:line="250" w:lineRule="auto"/>
            </w:pPr>
            <w:r>
              <w:t>4</w:t>
            </w:r>
          </w:p>
        </w:tc>
        <w:tc>
          <w:tcPr>
            <w:tcW w:type="dxa" w:w="8568"/>
            <w:tcMar>
              <w:top w:w="80" w:type="dxa"/>
              <w:start w:w="120" w:type="dxa"/>
              <w:bottom w:w="80" w:type="dxa"/>
              <w:end w:w="120" w:type="dxa"/>
            </w:tcMar>
            <w:vAlign w:val="center"/>
            <w:shd w:fill="F7F8FA"/>
          </w:tcPr>
          <w:p>
            <w:pPr>
              <w:spacing w:after="20" w:line="250" w:lineRule="auto"/>
            </w:pPr>
            <w:r>
              <w:t>Observe privacy, dignity and confidence under failure—not only speed on the happy path.</w:t>
            </w:r>
          </w:p>
        </w:tc>
      </w:tr>
      <w:tr>
        <w:tc>
          <w:tcPr>
            <w:tcW w:type="dxa" w:w="792"/>
            <w:tcMar>
              <w:top w:w="80" w:type="dxa"/>
              <w:start w:w="120" w:type="dxa"/>
              <w:bottom w:w="80" w:type="dxa"/>
              <w:end w:w="120" w:type="dxa"/>
            </w:tcMar>
            <w:vAlign w:val="center"/>
          </w:tcPr>
          <w:p>
            <w:pPr>
              <w:spacing w:after="20" w:line="250" w:lineRule="auto"/>
            </w:pPr>
            <w:r>
              <w:t>5</w:t>
            </w:r>
          </w:p>
        </w:tc>
        <w:tc>
          <w:tcPr>
            <w:tcW w:type="dxa" w:w="8568"/>
            <w:tcMar>
              <w:top w:w="80" w:type="dxa"/>
              <w:start w:w="120" w:type="dxa"/>
              <w:bottom w:w="80" w:type="dxa"/>
              <w:end w:w="120" w:type="dxa"/>
            </w:tcMar>
            <w:vAlign w:val="center"/>
          </w:tcPr>
          <w:p>
            <w:pPr>
              <w:spacing w:after="20" w:line="250" w:lineRule="auto"/>
            </w:pPr>
            <w:r>
              <w:t>Classify findings; correct and repeat the exact task on the new commit/candidate.</w:t>
            </w:r>
          </w:p>
        </w:tc>
      </w:tr>
    </w:tbl>
    <w:p>
      <w:pPr>
        <w:spacing w:after="0"/>
      </w:pPr>
    </w:p>
    <w:p>
      <w:pPr>
        <w:spacing w:after="0" w:line="20" w:lineRule="exact"/>
      </w:pPr>
      <w:r>
        <w:rPr>
          <w:sz w:val="2"/>
        </w:rPr>
        <w:br w:type="page"/>
      </w:r>
    </w:p>
    <w:p>
      <w:pPr>
        <w:pStyle w:val="Heading1"/>
      </w:pPr>
      <w:r>
        <w:t>9. Reliability, performance and operations review</w:t>
      </w:r>
    </w:p>
    <w:p>
      <w:pPr>
        <w:pStyle w:val="Heading2"/>
      </w:pPr>
      <w:r>
        <w:t>9.1 Performance and capacity</w:t>
      </w:r>
    </w:p>
    <w:p>
      <w:pPr>
        <w:pStyle w:val="ListBullet"/>
        <w:spacing w:after="60"/>
      </w:pPr>
      <w:r>
        <w:t>Use ratified journey-specific budgets set before the run; do not tune the threshold to the result.</w:t>
      </w:r>
    </w:p>
    <w:p>
      <w:pPr>
        <w:pStyle w:val="ListBullet"/>
        <w:spacing w:after="60"/>
      </w:pPr>
      <w:r>
        <w:t>Measure frontend interaction and render, API/worker/queue/provider percentiles, throughput, saturation, error and recovery.</w:t>
      </w:r>
    </w:p>
    <w:p>
      <w:pPr>
        <w:pStyle w:val="ListBullet"/>
        <w:spacing w:after="60"/>
      </w:pPr>
      <w:r>
        <w:t>Use representative volume, data shape, concurrency and burst—not a single-user toy path.</w:t>
      </w:r>
    </w:p>
    <w:p>
      <w:pPr>
        <w:pStyle w:val="ListBullet"/>
        <w:spacing w:after="60"/>
      </w:pPr>
      <w:r>
        <w:t>Prove backpressure, throttling and degradation protect event-day and safety-critical work.</w:t>
      </w:r>
    </w:p>
    <w:p>
      <w:pPr>
        <w:pStyle w:val="ListBullet"/>
        <w:spacing w:after="60"/>
      </w:pPr>
      <w:r>
        <w:t>Record headroom, provider quotas, fallback capacity and the point at which work must stop or scale.</w:t>
      </w:r>
    </w:p>
    <w:p>
      <w:pPr>
        <w:pStyle w:val="Heading2"/>
      </w:pPr>
      <w:r>
        <w:t>9.2 Offline, replay and reconciliation</w:t>
      </w:r>
    </w:p>
    <w:p>
      <w:pPr>
        <w:pStyle w:val="ListBullet"/>
        <w:spacing w:after="60"/>
      </w:pPr>
      <w:r>
        <w:t>Local success follows durable append; every record has device/session/event identity and replay key.</w:t>
      </w:r>
    </w:p>
    <w:p>
      <w:pPr>
        <w:pStyle w:val="ListBullet"/>
        <w:spacing w:after="60"/>
      </w:pPr>
      <w:r>
        <w:t>Inject reorder, duplicate, delay, clock skew, restart, lost device, stale snapshot and concurrent actions.</w:t>
      </w:r>
    </w:p>
    <w:p>
      <w:pPr>
        <w:pStyle w:val="ListBullet"/>
        <w:spacing w:after="60"/>
      </w:pPr>
      <w:r>
        <w:t>Accepted events remain; conflicts are surfaced and resolved by authority, never last-write-wins.</w:t>
      </w:r>
    </w:p>
    <w:p>
      <w:pPr>
        <w:pStyle w:val="ListBullet"/>
        <w:spacing w:after="60"/>
      </w:pPr>
      <w:r>
        <w:t>Reconcile source totals and record-level differences across every affected ledger.</w:t>
      </w:r>
    </w:p>
    <w:p>
      <w:pPr>
        <w:pStyle w:val="ListBullet"/>
        <w:spacing w:after="60"/>
      </w:pPr>
      <w:r>
        <w:t>Do not accept unexplained difference, netting, direct database repair or a close with unsynced devices.</w:t>
      </w:r>
    </w:p>
    <w:p>
      <w:pPr>
        <w:pStyle w:val="Heading2"/>
      </w:pPr>
      <w:r>
        <w:t>9.3 Failure, rollback and recovery</w:t>
      </w:r>
    </w:p>
    <w:p>
      <w:pPr>
        <w:pStyle w:val="ListBullet"/>
        <w:spacing w:after="60"/>
      </w:pPr>
      <w:r>
        <w:t>Inject each affected database, queue/worker, cache/search, object store, provider, network and deployment failure safely.</w:t>
      </w:r>
    </w:p>
    <w:p>
      <w:pPr>
        <w:pStyle w:val="ListBullet"/>
        <w:spacing w:after="60"/>
      </w:pPr>
      <w:r>
        <w:t>Verify preserved work, truthful UI, owned alert, runbook, escalation, fallback and recovery evidence.</w:t>
      </w:r>
    </w:p>
    <w:p>
      <w:pPr>
        <w:pStyle w:val="ListBullet"/>
        <w:spacing w:after="60"/>
      </w:pPr>
      <w:r>
        <w:t>Rehearse backup restore, rollback and forward-fix on exact versions.</w:t>
      </w:r>
    </w:p>
    <w:p>
      <w:pPr>
        <w:pStyle w:val="ListBullet"/>
        <w:spacing w:after="60"/>
      </w:pPr>
      <w:r>
        <w:t>Rollback preserves post-deploy accepted events and cannot revive revoked/deleted data.</w:t>
      </w:r>
    </w:p>
    <w:p>
      <w:pPr>
        <w:pStyle w:val="ListBullet"/>
        <w:spacing w:after="60"/>
      </w:pPr>
      <w:r>
        <w:t>Measure recovery against ratified RPO/RTO and name any actual data gap.</w:t>
      </w:r>
    </w:p>
    <w:p>
      <w:pPr>
        <w:pStyle w:val="Heading2"/>
      </w:pPr>
      <w:r>
        <w:t>9.4 Observability and support</w:t>
      </w:r>
    </w:p>
    <w:p>
      <w:pPr>
        <w:pStyle w:val="ListBullet"/>
        <w:spacing w:after="60"/>
      </w:pPr>
      <w:r>
        <w:t>Health is scoped and includes business journeys, queues, providers, devices and data freshness—not process uptime alone.</w:t>
      </w:r>
    </w:p>
    <w:p>
      <w:pPr>
        <w:pStyle w:val="ListBullet"/>
        <w:spacing w:after="60"/>
      </w:pPr>
      <w:r>
        <w:t>Missing or stale telemetry displays Unknown; it cannot look Green.</w:t>
      </w:r>
    </w:p>
    <w:p>
      <w:pPr>
        <w:pStyle w:val="ListBullet"/>
        <w:spacing w:after="60"/>
      </w:pPr>
      <w:r>
        <w:t>Material alerts dedupe, route, acknowledge, escalate and open the correct runbook.</w:t>
      </w:r>
    </w:p>
    <w:p>
      <w:pPr>
        <w:pStyle w:val="ListBullet"/>
        <w:spacing w:after="60"/>
      </w:pPr>
      <w:r>
        <w:t>Support access is least-privilege, audited, time-bound and sufficient for recovery.</w:t>
      </w:r>
    </w:p>
    <w:p>
      <w:pPr>
        <w:pStyle w:val="ListBullet"/>
        <w:spacing w:after="60"/>
      </w:pPr>
      <w:r>
        <w:t>Every dead letter, alert, incident and provider discrepancy has an owner and closure evidence.</w:t>
      </w:r>
    </w:p>
    <w:p>
      <w:pPr>
        <w:pStyle w:val="Heading1"/>
      </w:pPr>
      <w:r>
        <w:t>10. Specialist review protocols</w:t>
      </w:r>
    </w:p>
    <w:p>
      <w:pPr>
        <w:pStyle w:val="Heading2"/>
      </w:pPr>
      <w:r>
        <w:t>10.1 AI shadow</w:t>
      </w:r>
    </w:p>
    <w:p>
      <w:pPr>
        <w:pStyle w:val="ListBullet"/>
        <w:spacing w:after="60"/>
      </w:pPr>
      <w:r>
        <w:t>Bind model/provider, prompt/config, retrieved sources, policy/knowledge and output hashes.</w:t>
      </w:r>
    </w:p>
    <w:p>
      <w:pPr>
        <w:pStyle w:val="ListBullet"/>
        <w:spacing w:after="60"/>
      </w:pPr>
      <w:r>
        <w:t>Compare against versioned human-gold cases for facts, omissions, severity, authority, confidence and limitations.</w:t>
      </w:r>
    </w:p>
    <w:p>
      <w:pPr>
        <w:pStyle w:val="ListBullet"/>
        <w:spacing w:after="60"/>
      </w:pPr>
      <w:r>
        <w:t>Test hallucination, prompt injection, stale/contradictory/missing sources, sensitive leakage and provider outage.</w:t>
      </w:r>
    </w:p>
    <w:p>
      <w:pPr>
        <w:pStyle w:val="ListBullet"/>
        <w:spacing w:after="60"/>
      </w:pPr>
      <w:r>
        <w:t>Prove AI identity cannot approve, publish, message, export, execute, link identity or alter doctrine/ledgers.</w:t>
      </w:r>
    </w:p>
    <w:p>
      <w:pPr>
        <w:pStyle w:val="ListBullet"/>
        <w:spacing w:after="60"/>
      </w:pPr>
      <w:r>
        <w:t>AI remains labelled advisory; deterministic operation continues when unavailable.</w:t>
      </w:r>
    </w:p>
    <w:p>
      <w:pPr>
        <w:pStyle w:val="Heading2"/>
      </w:pPr>
      <w:r>
        <w:t>10.2 FaceGate</w:t>
      </w:r>
    </w:p>
    <w:p>
      <w:pPr>
        <w:pStyle w:val="ListBullet"/>
        <w:spacing w:after="60"/>
      </w:pPr>
      <w:r>
        <w:t>Confirm exact event/purpose/provider/model/consent/retention and four-key authority; default OFF.</w:t>
      </w:r>
    </w:p>
    <w:p>
      <w:pPr>
        <w:pStyle w:val="ListBullet"/>
        <w:spacing w:after="60"/>
      </w:pPr>
      <w:r>
        <w:t>Observe consent, refusal, withdrawal and equally usable QR/manual alternative.</w:t>
      </w:r>
    </w:p>
    <w:p>
      <w:pPr>
        <w:pStyle w:val="ListBullet"/>
        <w:spacing w:after="60"/>
      </w:pPr>
      <w:r>
        <w:t>Test capture quality, false/failed/multiple match, human review, subgroup/fairness evidence and provider outage.</w:t>
      </w:r>
    </w:p>
    <w:p>
      <w:pPr>
        <w:pStyle w:val="ListBullet"/>
        <w:spacing w:after="60"/>
      </w:pPr>
      <w:r>
        <w:t>Prove biometric material is isolated from Core/EDR/general telemetry/backups and FaceGate cannot admit a guest.</w:t>
      </w:r>
    </w:p>
    <w:p>
      <w:pPr>
        <w:pStyle w:val="ListBullet"/>
        <w:spacing w:after="60"/>
      </w:pPr>
      <w:r>
        <w:t>Withdrawal blocks matching immediately; provider/local deletion and fallback capacity are verified.</w:t>
      </w:r>
    </w:p>
    <w:p>
      <w:pPr>
        <w:pStyle w:val="Heading2"/>
      </w:pPr>
      <w:r>
        <w:t>10.3 Cross-event learning</w:t>
      </w:r>
    </w:p>
    <w:p>
      <w:pPr>
        <w:pStyle w:val="ListBullet"/>
        <w:spacing w:after="60"/>
      </w:pPr>
      <w:r>
        <w:t>Confirm exact client relationship, purpose, privacy tier, retention, cohort and release stage.</w:t>
      </w:r>
    </w:p>
    <w:p>
      <w:pPr>
        <w:pStyle w:val="ListBullet"/>
        <w:spacing w:after="60"/>
      </w:pPr>
      <w:r>
        <w:t>Test no silent/cross-client/biometric person link; wrong link reverses without deleting event history.</w:t>
      </w:r>
    </w:p>
    <w:p>
      <w:pPr>
        <w:pStyle w:val="ListBullet"/>
        <w:spacing w:after="60"/>
      </w:pPr>
      <w:r>
        <w:t>Prove Level 2/3 and named guests cannot be searched, counted, inferred, exported or sent to AI cross-client.</w:t>
      </w:r>
    </w:p>
    <w:p>
      <w:pPr>
        <w:pStyle w:val="ListBullet"/>
        <w:spacing w:after="60"/>
      </w:pPr>
      <w:r>
        <w:t>Test genuine evidence independence, one-event candidate, Curator separation, dissent and correction propagation.</w:t>
      </w:r>
    </w:p>
    <w:p>
      <w:pPr>
        <w:pStyle w:val="ListBullet"/>
        <w:spacing w:after="60"/>
      </w:pPr>
      <w:r>
        <w:t>Attack small cells, dominance, differencing, saved views and combined exports; historical learning remains a question, not event truth.</w:t>
      </w:r>
    </w:p>
    <w:p>
      <w:pPr>
        <w:spacing w:after="0" w:line="20" w:lineRule="exact"/>
      </w:pPr>
      <w:r>
        <w:rPr>
          <w:sz w:val="2"/>
        </w:rPr>
        <w:br w:type="page"/>
      </w:r>
    </w:p>
    <w:p>
      <w:pPr>
        <w:pStyle w:val="Heading1"/>
      </w:pPr>
      <w:r>
        <w:t>11. Defect severity and hard-fail policy</w:t>
      </w:r>
    </w:p>
    <w:tbl>
      <w:tblPr>
        <w:tblStyle w:val="TableGrid"/>
        <w:tblW w:type="dxa" w:w="9360"/>
        <w:jc w:val="left"/>
        <w:tblLayout w:type="fixed"/>
        <w:tblLook w:firstColumn="1" w:firstRow="1" w:lastColumn="0" w:lastRow="0" w:noHBand="0" w:noVBand="1" w:val="04A0"/>
        <w:tblInd w:w="120" w:type="dxa"/>
      </w:tblPr>
      <w:tblGrid>
        <w:gridCol w:w="1656"/>
        <w:gridCol w:w="5112"/>
        <w:gridCol w:w="2592"/>
      </w:tblGrid>
      <w:tr>
        <w:trPr>
          <w:tblHeader w:val="true"/>
        </w:trPr>
        <w:tc>
          <w:tcPr>
            <w:tcW w:type="dxa" w:w="1656"/>
            <w:shd w:fill="E8EEF5"/>
            <w:tcMar>
              <w:top w:w="80" w:type="dxa"/>
              <w:start w:w="120" w:type="dxa"/>
              <w:bottom w:w="80" w:type="dxa"/>
              <w:end w:w="120" w:type="dxa"/>
            </w:tcMar>
          </w:tcPr>
          <w:p>
            <w:r>
              <w:rPr>
                <w:b/>
              </w:rPr>
              <w:t>Class</w:t>
            </w:r>
          </w:p>
        </w:tc>
        <w:tc>
          <w:tcPr>
            <w:tcW w:type="dxa" w:w="5112"/>
            <w:shd w:fill="E8EEF5"/>
            <w:tcMar>
              <w:top w:w="80" w:type="dxa"/>
              <w:start w:w="120" w:type="dxa"/>
              <w:bottom w:w="80" w:type="dxa"/>
              <w:end w:w="120" w:type="dxa"/>
            </w:tcMar>
          </w:tcPr>
          <w:p>
            <w:r>
              <w:rPr>
                <w:b/>
              </w:rPr>
              <w:t>Definition</w:t>
            </w:r>
          </w:p>
        </w:tc>
        <w:tc>
          <w:tcPr>
            <w:tcW w:type="dxa" w:w="2592"/>
            <w:shd w:fill="E8EEF5"/>
            <w:tcMar>
              <w:top w:w="80" w:type="dxa"/>
              <w:start w:w="120" w:type="dxa"/>
              <w:bottom w:w="80" w:type="dxa"/>
              <w:end w:w="120" w:type="dxa"/>
            </w:tcMar>
          </w:tcPr>
          <w:p>
            <w:r>
              <w:rPr>
                <w:b/>
              </w:rPr>
              <w:t>Acceptance effect</w:t>
            </w:r>
          </w:p>
        </w:tc>
      </w:tr>
      <w:tr>
        <w:tc>
          <w:tcPr>
            <w:tcW w:type="dxa" w:w="1656"/>
            <w:tcMar>
              <w:top w:w="80" w:type="dxa"/>
              <w:start w:w="120" w:type="dxa"/>
              <w:bottom w:w="80" w:type="dxa"/>
              <w:end w:w="120" w:type="dxa"/>
            </w:tcMar>
            <w:vAlign w:val="center"/>
          </w:tcPr>
          <w:p>
            <w:pPr>
              <w:spacing w:after="20" w:line="250" w:lineRule="auto"/>
            </w:pPr>
            <w:r>
              <w:t>Critical</w:t>
            </w:r>
          </w:p>
        </w:tc>
        <w:tc>
          <w:tcPr>
            <w:tcW w:type="dxa" w:w="5112"/>
            <w:tcMar>
              <w:top w:w="80" w:type="dxa"/>
              <w:start w:w="120" w:type="dxa"/>
              <w:bottom w:w="80" w:type="dxa"/>
              <w:end w:w="120" w:type="dxa"/>
            </w:tcMar>
            <w:vAlign w:val="center"/>
          </w:tcPr>
          <w:p>
            <w:pPr>
              <w:spacing w:after="20" w:line="250" w:lineRule="auto"/>
            </w:pPr>
            <w:r>
              <w:t>Tenant/privacy/security breach; data loss/corruption; unsafe admission; hard-invariant or reserved-authority violation; unrecoverable critical journey.</w:t>
            </w:r>
          </w:p>
        </w:tc>
        <w:tc>
          <w:tcPr>
            <w:tcW w:type="dxa" w:w="2592"/>
            <w:tcMar>
              <w:top w:w="80" w:type="dxa"/>
              <w:start w:w="120" w:type="dxa"/>
              <w:bottom w:w="80" w:type="dxa"/>
              <w:end w:w="120" w:type="dxa"/>
            </w:tcMar>
            <w:vAlign w:val="center"/>
          </w:tcPr>
          <w:p>
            <w:pPr>
              <w:spacing w:after="20" w:line="250" w:lineRule="auto"/>
            </w:pPr>
            <w:r>
              <w:t>Reject immediately; stop dependent work.</w:t>
            </w:r>
          </w:p>
        </w:tc>
      </w:tr>
      <w:tr>
        <w:tc>
          <w:tcPr>
            <w:tcW w:type="dxa" w:w="1656"/>
            <w:tcMar>
              <w:top w:w="80" w:type="dxa"/>
              <w:start w:w="120" w:type="dxa"/>
              <w:bottom w:w="80" w:type="dxa"/>
              <w:end w:w="120" w:type="dxa"/>
            </w:tcMar>
            <w:vAlign w:val="center"/>
            <w:shd w:fill="F7F8FA"/>
          </w:tcPr>
          <w:p>
            <w:pPr>
              <w:spacing w:after="20" w:line="250" w:lineRule="auto"/>
            </w:pPr>
            <w:r>
              <w:t>High</w:t>
            </w:r>
          </w:p>
        </w:tc>
        <w:tc>
          <w:tcPr>
            <w:tcW w:type="dxa" w:w="5112"/>
            <w:tcMar>
              <w:top w:w="80" w:type="dxa"/>
              <w:start w:w="120" w:type="dxa"/>
              <w:bottom w:w="80" w:type="dxa"/>
              <w:end w:w="120" w:type="dxa"/>
            </w:tcMar>
            <w:vAlign w:val="center"/>
            <w:shd w:fill="F7F8FA"/>
          </w:tcPr>
          <w:p>
            <w:pPr>
              <w:spacing w:after="20" w:line="250" w:lineRule="auto"/>
            </w:pPr>
            <w:r>
              <w:t>Critical role journey blocked or misleading; material accessibility/reliability failure; serious but bounded privacy/security defect; rollback/support unready.</w:t>
            </w:r>
          </w:p>
        </w:tc>
        <w:tc>
          <w:tcPr>
            <w:tcW w:type="dxa" w:w="2592"/>
            <w:tcMar>
              <w:top w:w="80" w:type="dxa"/>
              <w:start w:w="120" w:type="dxa"/>
              <w:bottom w:w="80" w:type="dxa"/>
              <w:end w:w="120" w:type="dxa"/>
            </w:tcMar>
            <w:vAlign w:val="center"/>
            <w:shd w:fill="F7F8FA"/>
          </w:tcPr>
          <w:p>
            <w:pPr>
              <w:spacing w:after="20" w:line="250" w:lineRule="auto"/>
            </w:pPr>
            <w:r>
              <w:t>CORRECTION REQUIRED by default.</w:t>
            </w:r>
          </w:p>
        </w:tc>
      </w:tr>
      <w:tr>
        <w:tc>
          <w:tcPr>
            <w:tcW w:type="dxa" w:w="1656"/>
            <w:tcMar>
              <w:top w:w="80" w:type="dxa"/>
              <w:start w:w="120" w:type="dxa"/>
              <w:bottom w:w="80" w:type="dxa"/>
              <w:end w:w="120" w:type="dxa"/>
            </w:tcMar>
            <w:vAlign w:val="center"/>
          </w:tcPr>
          <w:p>
            <w:pPr>
              <w:spacing w:after="20" w:line="250" w:lineRule="auto"/>
            </w:pPr>
            <w:r>
              <w:t>Medium</w:t>
            </w:r>
          </w:p>
        </w:tc>
        <w:tc>
          <w:tcPr>
            <w:tcW w:type="dxa" w:w="5112"/>
            <w:tcMar>
              <w:top w:w="80" w:type="dxa"/>
              <w:start w:w="120" w:type="dxa"/>
              <w:bottom w:w="80" w:type="dxa"/>
              <w:end w:w="120" w:type="dxa"/>
            </w:tcMar>
            <w:vAlign w:val="center"/>
          </w:tcPr>
          <w:p>
            <w:pPr>
              <w:spacing w:after="20" w:line="250" w:lineRule="auto"/>
            </w:pPr>
            <w:r>
              <w:t>Non-critical function materially impaired with safe workaround and no invariant breach.</w:t>
            </w:r>
          </w:p>
        </w:tc>
        <w:tc>
          <w:tcPr>
            <w:tcW w:type="dxa" w:w="2592"/>
            <w:tcMar>
              <w:top w:w="80" w:type="dxa"/>
              <w:start w:w="120" w:type="dxa"/>
              <w:bottom w:w="80" w:type="dxa"/>
              <w:end w:w="120" w:type="dxa"/>
            </w:tcMar>
            <w:vAlign w:val="center"/>
          </w:tcPr>
          <w:p>
            <w:pPr>
              <w:spacing w:after="20" w:line="250" w:lineRule="auto"/>
            </w:pPr>
            <w:r>
              <w:t>Correct in prompt unless specification permits an owned bounded follow-up.</w:t>
            </w:r>
          </w:p>
        </w:tc>
      </w:tr>
      <w:tr>
        <w:tc>
          <w:tcPr>
            <w:tcW w:type="dxa" w:w="1656"/>
            <w:tcMar>
              <w:top w:w="80" w:type="dxa"/>
              <w:start w:w="120" w:type="dxa"/>
              <w:bottom w:w="80" w:type="dxa"/>
              <w:end w:w="120" w:type="dxa"/>
            </w:tcMar>
            <w:vAlign w:val="center"/>
            <w:shd w:fill="F7F8FA"/>
          </w:tcPr>
          <w:p>
            <w:pPr>
              <w:spacing w:after="20" w:line="250" w:lineRule="auto"/>
            </w:pPr>
            <w:r>
              <w:t>Low</w:t>
            </w:r>
          </w:p>
        </w:tc>
        <w:tc>
          <w:tcPr>
            <w:tcW w:type="dxa" w:w="5112"/>
            <w:tcMar>
              <w:top w:w="80" w:type="dxa"/>
              <w:start w:w="120" w:type="dxa"/>
              <w:bottom w:w="80" w:type="dxa"/>
              <w:end w:w="120" w:type="dxa"/>
            </w:tcMar>
            <w:vAlign w:val="center"/>
            <w:shd w:fill="F7F8FA"/>
          </w:tcPr>
          <w:p>
            <w:pPr>
              <w:spacing w:after="20" w:line="250" w:lineRule="auto"/>
            </w:pPr>
            <w:r>
              <w:t>Minor defect with no material task, truth, access, dignity or recovery impact.</w:t>
            </w:r>
          </w:p>
        </w:tc>
        <w:tc>
          <w:tcPr>
            <w:tcW w:type="dxa" w:w="2592"/>
            <w:tcMar>
              <w:top w:w="80" w:type="dxa"/>
              <w:start w:w="120" w:type="dxa"/>
              <w:bottom w:w="80" w:type="dxa"/>
              <w:end w:w="120" w:type="dxa"/>
            </w:tcMar>
            <w:vAlign w:val="center"/>
            <w:shd w:fill="F7F8FA"/>
          </w:tcPr>
          <w:p>
            <w:pPr>
              <w:spacing w:after="20" w:line="250" w:lineRule="auto"/>
            </w:pPr>
            <w:r>
              <w:t>Record and correct under agreed policy; cannot accumulate invisibly.</w:t>
            </w:r>
          </w:p>
        </w:tc>
      </w:tr>
      <w:tr>
        <w:tc>
          <w:tcPr>
            <w:tcW w:type="dxa" w:w="1656"/>
            <w:tcMar>
              <w:top w:w="80" w:type="dxa"/>
              <w:start w:w="120" w:type="dxa"/>
              <w:bottom w:w="80" w:type="dxa"/>
              <w:end w:w="120" w:type="dxa"/>
            </w:tcMar>
            <w:vAlign w:val="center"/>
          </w:tcPr>
          <w:p>
            <w:pPr>
              <w:spacing w:after="20" w:line="250" w:lineRule="auto"/>
            </w:pPr>
            <w:r>
              <w:t>Observation</w:t>
            </w:r>
          </w:p>
        </w:tc>
        <w:tc>
          <w:tcPr>
            <w:tcW w:type="dxa" w:w="5112"/>
            <w:tcMar>
              <w:top w:w="80" w:type="dxa"/>
              <w:start w:w="120" w:type="dxa"/>
              <w:bottom w:w="80" w:type="dxa"/>
              <w:end w:w="120" w:type="dxa"/>
            </w:tcMar>
            <w:vAlign w:val="center"/>
          </w:tcPr>
          <w:p>
            <w:pPr>
              <w:spacing w:after="20" w:line="250" w:lineRule="auto"/>
            </w:pPr>
            <w:r>
              <w:t>Usability/process/training insight not yet proven as a defect.</w:t>
            </w:r>
          </w:p>
        </w:tc>
        <w:tc>
          <w:tcPr>
            <w:tcW w:type="dxa" w:w="2592"/>
            <w:tcMar>
              <w:top w:w="80" w:type="dxa"/>
              <w:start w:w="120" w:type="dxa"/>
              <w:bottom w:w="80" w:type="dxa"/>
              <w:end w:w="120" w:type="dxa"/>
            </w:tcMar>
            <w:vAlign w:val="center"/>
          </w:tcPr>
          <w:p>
            <w:pPr>
              <w:spacing w:after="20" w:line="250" w:lineRule="auto"/>
            </w:pPr>
            <w:r>
              <w:t>Investigate; promote to defect if evidence supports.</w:t>
            </w:r>
          </w:p>
        </w:tc>
      </w:tr>
    </w:tbl>
    <w:p>
      <w:pPr>
        <w:spacing w:after="0"/>
      </w:pPr>
    </w:p>
    <w:p>
      <w:pPr>
        <w:pStyle w:val="Heading2"/>
      </w:pPr>
      <w:r>
        <w:t>11.1 Automatic hard fails</w:t>
      </w:r>
    </w:p>
    <w:p>
      <w:pPr>
        <w:pStyle w:val="ListBullet"/>
        <w:spacing w:after="60"/>
      </w:pPr>
      <w:r>
        <w:t>Cross-client/event access or inference.</w:t>
      </w:r>
    </w:p>
    <w:p>
      <w:pPr>
        <w:pStyle w:val="ListBullet"/>
        <w:spacing w:after="60"/>
      </w:pPr>
      <w:r>
        <w:t>Client-only permission/status/authority truth.</w:t>
      </w:r>
    </w:p>
    <w:p>
      <w:pPr>
        <w:pStyle w:val="ListBullet"/>
        <w:spacing w:after="60"/>
      </w:pPr>
      <w:r>
        <w:t>Silent identity merge or automatic protected decision.</w:t>
      </w:r>
    </w:p>
    <w:p>
      <w:pPr>
        <w:pStyle w:val="ListBullet"/>
        <w:spacing w:after="60"/>
      </w:pPr>
      <w:r>
        <w:t>PII in QR or biometric material outside its isolated boundary.</w:t>
      </w:r>
    </w:p>
    <w:p>
      <w:pPr>
        <w:pStyle w:val="ListBullet"/>
        <w:spacing w:after="60"/>
      </w:pPr>
      <w:r>
        <w:t>Accepted offline/business event lost, overwritten or unreconciled.</w:t>
      </w:r>
    </w:p>
    <w:p>
      <w:pPr>
        <w:pStyle w:val="ListBullet"/>
        <w:spacing w:after="60"/>
      </w:pPr>
      <w:r>
        <w:t>Green without valid evidence; Unknown/stale/failed hidden by aggregation.</w:t>
      </w:r>
    </w:p>
    <w:p>
      <w:pPr>
        <w:pStyle w:val="ListBullet"/>
        <w:spacing w:after="60"/>
      </w:pPr>
      <w:r>
        <w:t>Critical task inaccessible or dependent on hidden engineering operation.</w:t>
      </w:r>
    </w:p>
    <w:p>
      <w:pPr>
        <w:pStyle w:val="ListBullet"/>
        <w:spacing w:after="60"/>
      </w:pPr>
      <w:r>
        <w:t>Rollback/restore revives revoked, withdrawn or deleted data.</w:t>
      </w:r>
    </w:p>
    <w:p>
      <w:pPr>
        <w:pStyle w:val="ListBullet"/>
        <w:spacing w:after="60"/>
      </w:pPr>
      <w:r>
        <w:t>Cursor/implementer is sole accepter of material work.</w:t>
      </w:r>
    </w:p>
    <w:p>
      <w:pPr>
        <w:pStyle w:val="ListBullet"/>
        <w:spacing w:after="60"/>
      </w:pPr>
      <w:r>
        <w:t>Production or specialist capability enabled without exact authority.</w:t>
      </w:r>
    </w:p>
    <w:p>
      <w:pPr>
        <w:pStyle w:val="Heading1"/>
      </w:pPr>
      <w:r>
        <w:t>12. Correction and re-review loop</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trPr>
        <w:tc>
          <w:tcPr>
            <w:tcW w:type="dxa" w:w="792"/>
            <w:shd w:fill="E8EEF5"/>
            <w:tcMar>
              <w:top w:w="80" w:type="dxa"/>
              <w:start w:w="120" w:type="dxa"/>
              <w:bottom w:w="80" w:type="dxa"/>
              <w:end w:w="120" w:type="dxa"/>
            </w:tcMar>
          </w:tcPr>
          <w:p>
            <w:r>
              <w:rPr>
                <w:b/>
              </w:rPr>
              <w:t>Step</w:t>
            </w:r>
          </w:p>
        </w:tc>
        <w:tc>
          <w:tcPr>
            <w:tcW w:type="dxa" w:w="8568"/>
            <w:shd w:fill="E8EEF5"/>
            <w:tcMar>
              <w:top w:w="80" w:type="dxa"/>
              <w:start w:w="120" w:type="dxa"/>
              <w:bottom w:w="80" w:type="dxa"/>
              <w:end w:w="120" w:type="dxa"/>
            </w:tcMar>
          </w:tcPr>
          <w:p>
            <w:r>
              <w:rPr>
                <w:b/>
              </w:rPr>
              <w:t>Action</w:t>
            </w:r>
          </w:p>
        </w:tc>
      </w:tr>
      <w:tr>
        <w:tc>
          <w:tcPr>
            <w:tcW w:type="dxa" w:w="792"/>
            <w:tcMar>
              <w:top w:w="80" w:type="dxa"/>
              <w:start w:w="120" w:type="dxa"/>
              <w:bottom w:w="80" w:type="dxa"/>
              <w:end w:w="120" w:type="dxa"/>
            </w:tcMar>
            <w:vAlign w:val="center"/>
          </w:tcPr>
          <w:p>
            <w:pPr>
              <w:spacing w:after="20" w:line="250" w:lineRule="auto"/>
            </w:pPr>
            <w:r>
              <w:t>1</w:t>
            </w:r>
          </w:p>
        </w:tc>
        <w:tc>
          <w:tcPr>
            <w:tcW w:type="dxa" w:w="8568"/>
            <w:tcMar>
              <w:top w:w="80" w:type="dxa"/>
              <w:start w:w="120" w:type="dxa"/>
              <w:bottom w:w="80" w:type="dxa"/>
              <w:end w:w="120" w:type="dxa"/>
            </w:tcMar>
            <w:vAlign w:val="center"/>
          </w:tcPr>
          <w:p>
            <w:pPr>
              <w:spacing w:after="20" w:line="250" w:lineRule="auto"/>
            </w:pPr>
            <w:r>
              <w:t>Issue a Correction Notice against the same prompt and claimed commit; list each failed requirement and reproducible evidence.</w:t>
            </w:r>
          </w:p>
        </w:tc>
      </w:tr>
      <w:tr>
        <w:tc>
          <w:tcPr>
            <w:tcW w:type="dxa" w:w="792"/>
            <w:tcMar>
              <w:top w:w="80" w:type="dxa"/>
              <w:start w:w="120" w:type="dxa"/>
              <w:bottom w:w="80" w:type="dxa"/>
              <w:end w:w="120" w:type="dxa"/>
            </w:tcMar>
            <w:vAlign w:val="center"/>
            <w:shd w:fill="F7F8FA"/>
          </w:tcPr>
          <w:p>
            <w:pPr>
              <w:spacing w:after="20" w:line="250" w:lineRule="auto"/>
            </w:pPr>
            <w:r>
              <w:t>2</w:t>
            </w:r>
          </w:p>
        </w:tc>
        <w:tc>
          <w:tcPr>
            <w:tcW w:type="dxa" w:w="8568"/>
            <w:tcMar>
              <w:top w:w="80" w:type="dxa"/>
              <w:start w:w="120" w:type="dxa"/>
              <w:bottom w:w="80" w:type="dxa"/>
              <w:end w:w="120" w:type="dxa"/>
            </w:tcMar>
            <w:vAlign w:val="center"/>
            <w:shd w:fill="F7F8FA"/>
          </w:tcPr>
          <w:p>
            <w:pPr>
              <w:spacing w:after="20" w:line="250" w:lineRule="auto"/>
            </w:pPr>
            <w:r>
              <w:t>Classify candidate/contract/evidence impact. Do not prescribe a shortcut that narrows the requirement.</w:t>
            </w:r>
          </w:p>
        </w:tc>
      </w:tr>
      <w:tr>
        <w:tc>
          <w:tcPr>
            <w:tcW w:type="dxa" w:w="792"/>
            <w:tcMar>
              <w:top w:w="80" w:type="dxa"/>
              <w:start w:w="120" w:type="dxa"/>
              <w:bottom w:w="80" w:type="dxa"/>
              <w:end w:w="120" w:type="dxa"/>
            </w:tcMar>
            <w:vAlign w:val="center"/>
          </w:tcPr>
          <w:p>
            <w:pPr>
              <w:spacing w:after="20" w:line="250" w:lineRule="auto"/>
            </w:pPr>
            <w:r>
              <w:t>3</w:t>
            </w:r>
          </w:p>
        </w:tc>
        <w:tc>
          <w:tcPr>
            <w:tcW w:type="dxa" w:w="8568"/>
            <w:tcMar>
              <w:top w:w="80" w:type="dxa"/>
              <w:start w:w="120" w:type="dxa"/>
              <w:bottom w:w="80" w:type="dxa"/>
              <w:end w:w="120" w:type="dxa"/>
            </w:tcMar>
            <w:vAlign w:val="center"/>
          </w:tcPr>
          <w:p>
            <w:pPr>
              <w:spacing w:after="20" w:line="250" w:lineRule="auto"/>
            </w:pPr>
            <w:r>
              <w:t>Implementer corrects within the same prompt, reruns mandated checks, updates records and creates a new focused commit.</w:t>
            </w:r>
          </w:p>
        </w:tc>
      </w:tr>
      <w:tr>
        <w:tc>
          <w:tcPr>
            <w:tcW w:type="dxa" w:w="792"/>
            <w:tcMar>
              <w:top w:w="80" w:type="dxa"/>
              <w:start w:w="120" w:type="dxa"/>
              <w:bottom w:w="80" w:type="dxa"/>
              <w:end w:w="120" w:type="dxa"/>
            </w:tcMar>
            <w:vAlign w:val="center"/>
            <w:shd w:fill="F7F8FA"/>
          </w:tcPr>
          <w:p>
            <w:pPr>
              <w:spacing w:after="20" w:line="250" w:lineRule="auto"/>
            </w:pPr>
            <w:r>
              <w:t>4</w:t>
            </w:r>
          </w:p>
        </w:tc>
        <w:tc>
          <w:tcPr>
            <w:tcW w:type="dxa" w:w="8568"/>
            <w:tcMar>
              <w:top w:w="80" w:type="dxa"/>
              <w:start w:w="120" w:type="dxa"/>
              <w:bottom w:w="80" w:type="dxa"/>
              <w:end w:w="120" w:type="dxa"/>
            </w:tcMar>
            <w:vAlign w:val="center"/>
            <w:shd w:fill="F7F8FA"/>
          </w:tcPr>
          <w:p>
            <w:pPr>
              <w:spacing w:after="20" w:line="250" w:lineRule="auto"/>
            </w:pPr>
            <w:r>
              <w:t>Invalidate every affected test, browser observation, migration result, approval and downstream evidence.</w:t>
            </w:r>
          </w:p>
        </w:tc>
      </w:tr>
      <w:tr>
        <w:tc>
          <w:tcPr>
            <w:tcW w:type="dxa" w:w="792"/>
            <w:tcMar>
              <w:top w:w="80" w:type="dxa"/>
              <w:start w:w="120" w:type="dxa"/>
              <w:bottom w:w="80" w:type="dxa"/>
              <w:end w:w="120" w:type="dxa"/>
            </w:tcMar>
            <w:vAlign w:val="center"/>
          </w:tcPr>
          <w:p>
            <w:pPr>
              <w:spacing w:after="20" w:line="250" w:lineRule="auto"/>
            </w:pPr>
            <w:r>
              <w:t>5</w:t>
            </w:r>
          </w:p>
        </w:tc>
        <w:tc>
          <w:tcPr>
            <w:tcW w:type="dxa" w:w="8568"/>
            <w:tcMar>
              <w:top w:w="80" w:type="dxa"/>
              <w:start w:w="120" w:type="dxa"/>
              <w:bottom w:w="80" w:type="dxa"/>
              <w:end w:w="120" w:type="dxa"/>
            </w:tcMar>
            <w:vAlign w:val="center"/>
          </w:tcPr>
          <w:p>
            <w:pPr>
              <w:spacing w:after="20" w:line="250" w:lineRule="auto"/>
            </w:pPr>
            <w:r>
              <w:t>Reviewer inspects the new diff from the last accepted base and reruns direct plus regression evidence.</w:t>
            </w:r>
          </w:p>
        </w:tc>
      </w:tr>
      <w:tr>
        <w:tc>
          <w:tcPr>
            <w:tcW w:type="dxa" w:w="792"/>
            <w:tcMar>
              <w:top w:w="80" w:type="dxa"/>
              <w:start w:w="120" w:type="dxa"/>
              <w:bottom w:w="80" w:type="dxa"/>
              <w:end w:w="120" w:type="dxa"/>
            </w:tcMar>
            <w:vAlign w:val="center"/>
            <w:shd w:fill="F7F8FA"/>
          </w:tcPr>
          <w:p>
            <w:pPr>
              <w:spacing w:after="20" w:line="250" w:lineRule="auto"/>
            </w:pPr>
            <w:r>
              <w:t>6</w:t>
            </w:r>
          </w:p>
        </w:tc>
        <w:tc>
          <w:tcPr>
            <w:tcW w:type="dxa" w:w="8568"/>
            <w:tcMar>
              <w:top w:w="80" w:type="dxa"/>
              <w:start w:w="120" w:type="dxa"/>
              <w:bottom w:w="80" w:type="dxa"/>
              <w:end w:w="120" w:type="dxa"/>
            </w:tcMar>
            <w:vAlign w:val="center"/>
            <w:shd w:fill="F7F8FA"/>
          </w:tcPr>
          <w:p>
            <w:pPr>
              <w:spacing w:after="20" w:line="250" w:lineRule="auto"/>
            </w:pPr>
            <w:r>
              <w:t>Accept only the corrected full commit. Link the rejected claim; do not rewrite history.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No leapfrogging</w:t>
            </w:r>
          </w:p>
        </w:tc>
      </w:tr>
      <w:tr>
        <w:tc>
          <w:tcPr>
            <w:tcW w:type="dxa" w:w="9360"/>
            <w:tcMar>
              <w:top w:w="80" w:type="dxa"/>
              <w:start w:w="120" w:type="dxa"/>
              <w:bottom w:w="80" w:type="dxa"/>
              <w:end w:w="120" w:type="dxa"/>
            </w:tcMar>
            <w:vAlign w:val="center"/>
            <w:shd w:fill="FFF8E8"/>
          </w:tcPr>
          <w:p>
            <w:pPr>
              <w:spacing w:after="20" w:line="250" w:lineRule="auto"/>
            </w:pPr>
            <w:r>
              <w:t>A correction does not create permission to start the next prompt. The sequence resumes only after the current prompt’s corrected commit is independently ACCEPTED.</w:t>
            </w:r>
          </w:p>
        </w:tc>
      </w:tr>
    </w:tbl>
    <w:p>
      <w:pPr>
        <w:spacing w:after="0"/>
      </w:pPr>
    </w:p>
    <w:p>
      <w:pPr>
        <w:spacing w:after="0" w:line="20" w:lineRule="exact"/>
      </w:pPr>
      <w:r>
        <w:rPr>
          <w:sz w:val="2"/>
        </w:rPr>
        <w:br w:type="page"/>
      </w:r>
    </w:p>
    <w:p>
      <w:pPr>
        <w:pStyle w:val="Heading1"/>
      </w:pPr>
      <w:r>
        <w:t>13. Slice-specific acceptance overlays</w:t>
      </w:r>
    </w:p>
    <w:p>
      <w:r>
        <w:t>Apply the relevant overlay in addition to the universal protocol and the exact prompt/specification. These are high-risk lenses, not substitutes for the complete acceptance criteria.</w:t>
      </w:r>
    </w:p>
    <w:p>
      <w:pPr>
        <w:pStyle w:val="Heading2"/>
      </w:pPr>
      <w:r>
        <w:t>Slice 1 — Platform foundation</w:t>
      </w:r>
    </w:p>
    <w:p>
      <w:r>
        <w:t>Identity, tenancy, server-derived RBAC, audit, design system, client/event shell and deployment foundation.</w:t>
      </w:r>
    </w:p>
    <w:p>
      <w:pPr>
        <w:pStyle w:val="Heading3"/>
      </w:pPr>
      <w:r>
        <w:t>Reviewer must prove</w:t>
      </w:r>
    </w:p>
    <w:p>
      <w:pPr>
        <w:pStyle w:val="ListBullet"/>
        <w:spacing w:after="60"/>
      </w:pPr>
      <w:r>
        <w:t>Cross-client and cross-event isolation at route/service/repository/cache/UI boundaries.</w:t>
      </w:r>
    </w:p>
    <w:p>
      <w:pPr>
        <w:pStyle w:val="ListBullet"/>
        <w:spacing w:after="60"/>
      </w:pPr>
      <w:r>
        <w:t>OIDC/session recovery, permission catalogue, assignment lifecycle and denial audit.</w:t>
      </w:r>
    </w:p>
    <w:p>
      <w:pPr>
        <w:pStyle w:val="ListBullet"/>
        <w:spacing w:after="60"/>
      </w:pPr>
      <w:r>
        <w:t>Atomic mutation plus redacted audit; controlled audit search/export.</w:t>
      </w:r>
    </w:p>
    <w:p>
      <w:pPr>
        <w:pStyle w:val="ListBullet"/>
        <w:spacing w:after="60"/>
      </w:pPr>
      <w:r>
        <w:t>Accessible primitives, responsive shell, event switch and complete client/event/admin journeys.</w:t>
      </w:r>
    </w:p>
    <w:p>
      <w:pPr>
        <w:pStyle w:val="ListBullet"/>
        <w:spacing w:after="60"/>
      </w:pPr>
      <w:r>
        <w:t>Clean migration, staging deployment, rollback and independent architecture/security/accessibility review.</w:t>
      </w:r>
    </w:p>
    <w:p>
      <w:pPr>
        <w:pStyle w:val="Heading3"/>
      </w:pPr>
      <w:r>
        <w:t>Immediate rejection signals</w:t>
      </w:r>
    </w:p>
    <w:p>
      <w:pPr>
        <w:pStyle w:val="ListBullet"/>
        <w:spacing w:after="60"/>
      </w:pPr>
      <w:r>
        <w:t>A user can read or mutate another tenant/event.</w:t>
      </w:r>
    </w:p>
    <w:p>
      <w:pPr>
        <w:pStyle w:val="ListBullet"/>
        <w:spacing w:after="60"/>
      </w:pPr>
      <w:r>
        <w:t>Client-side permission or status is authoritative.</w:t>
      </w:r>
    </w:p>
    <w:p>
      <w:pPr>
        <w:pStyle w:val="ListBullet"/>
        <w:spacing w:after="60"/>
      </w:pPr>
      <w:r>
        <w:t>Audit can be skipped, edited or expose restricted values.</w:t>
      </w:r>
    </w:p>
    <w:p>
      <w:pPr>
        <w:pStyle w:val="ListBullet"/>
        <w:spacing w:after="60"/>
      </w:pPr>
      <w:r>
        <w:t>Critical frontend journey or state needs engineering help.</w:t>
      </w:r>
    </w:p>
    <w:p>
      <w:pPr>
        <w:pStyle w:val="ListBullet"/>
        <w:spacing w:after="60"/>
      </w:pPr>
      <w:r>
        <w:t>Staging/rollback cannot be reproduced from a clean checkout.</w:t>
      </w:r>
    </w:p>
    <w:p>
      <w:pPr>
        <w:pStyle w:val="Heading2"/>
      </w:pPr>
      <w:r>
        <w:t>Slice 2 — Event creation and guest intake</w:t>
      </w:r>
    </w:p>
    <w:p>
      <w:r>
        <w:t>Immutable raw intake, quarantine, mapping, validation, identity proposals, EventGuest promotion, households and reversible correction.</w:t>
      </w:r>
    </w:p>
    <w:p>
      <w:pPr>
        <w:pStyle w:val="Heading3"/>
      </w:pPr>
      <w:r>
        <w:t>Reviewer must prove</w:t>
      </w:r>
    </w:p>
    <w:p>
      <w:pPr>
        <w:pStyle w:val="ListBullet"/>
        <w:spacing w:after="60"/>
      </w:pPr>
      <w:r>
        <w:t>Private upload, malware boundary, CSV/XLSX parsing and deterministic reprocessing.</w:t>
      </w:r>
    </w:p>
    <w:p>
      <w:pPr>
        <w:pStyle w:val="ListBullet"/>
        <w:spacing w:after="60"/>
      </w:pPr>
      <w:r>
        <w:t>International normalisation without destructive source rewriting.</w:t>
      </w:r>
    </w:p>
    <w:p>
      <w:pPr>
        <w:pStyle w:val="ListBullet"/>
        <w:spacing w:after="60"/>
      </w:pPr>
      <w:r>
        <w:t>Exact/fuzzy matches remain proposals; authorised human confirmation and reversible PersonProfile link.</w:t>
      </w:r>
    </w:p>
    <w:p>
      <w:pPr>
        <w:pStyle w:val="ListBullet"/>
        <w:spacing w:after="60"/>
      </w:pPr>
      <w:r>
        <w:t>Atomic idempotent promotion and batch rollback; counts and history remain correct.</w:t>
      </w:r>
    </w:p>
    <w:p>
      <w:pPr>
        <w:pStyle w:val="ListBullet"/>
        <w:spacing w:after="60"/>
      </w:pPr>
      <w:r>
        <w:t>Complete intake, duplicate, candidate, household, directory, correction and retention UI.</w:t>
      </w:r>
    </w:p>
    <w:p>
      <w:pPr>
        <w:pStyle w:val="Heading3"/>
      </w:pPr>
      <w:r>
        <w:t>Immediate rejection signals</w:t>
      </w:r>
    </w:p>
    <w:p>
      <w:pPr>
        <w:pStyle w:val="ListBullet"/>
        <w:spacing w:after="60"/>
      </w:pPr>
      <w:r>
        <w:t>Malformed input corrupts canonical guests or counts.</w:t>
      </w:r>
    </w:p>
    <w:p>
      <w:pPr>
        <w:pStyle w:val="ListBullet"/>
        <w:spacing w:after="60"/>
      </w:pPr>
      <w:r>
        <w:t>A fuzzy/exact match silently merges identities.</w:t>
      </w:r>
    </w:p>
    <w:p>
      <w:pPr>
        <w:pStyle w:val="ListBullet"/>
        <w:spacing w:after="60"/>
      </w:pPr>
      <w:r>
        <w:t>Raw source or decision history is overwritten.</w:t>
      </w:r>
    </w:p>
    <w:p>
      <w:pPr>
        <w:pStyle w:val="ListBullet"/>
        <w:spacing w:after="60"/>
      </w:pPr>
      <w:r>
        <w:t>Sensitive data leaks through bulk views, exports or logs.</w:t>
      </w:r>
    </w:p>
    <w:p>
      <w:pPr>
        <w:pStyle w:val="ListBullet"/>
        <w:spacing w:after="60"/>
      </w:pPr>
      <w:r>
        <w:t>Promotion/rollback is partial, non-idempotent or unreconciled.</w:t>
      </w:r>
    </w:p>
    <w:p>
      <w:pPr>
        <w:pStyle w:val="Heading2"/>
      </w:pPr>
      <w:r>
        <w:t>Slice 3 — RSVP and guest self-service</w:t>
      </w:r>
    </w:p>
    <w:p>
      <w:r>
        <w:t>Signed guest access, versioned questionnaires, entitlement, household authority, sensitive answers, assistance and staff operations.</w:t>
      </w:r>
    </w:p>
    <w:p>
      <w:pPr>
        <w:pStyle w:val="Heading3"/>
      </w:pPr>
      <w:r>
        <w:t>Reviewer must prove</w:t>
      </w:r>
    </w:p>
    <w:p>
      <w:pPr>
        <w:pStyle w:val="ListBullet"/>
        <w:spacing w:after="60"/>
      </w:pPr>
      <w:r>
        <w:t>Opaque signed single-purpose link, rotation/revocation/expiry, narrow session and abuse controls.</w:t>
      </w:r>
    </w:p>
    <w:p>
      <w:pPr>
        <w:pStyle w:val="ListBullet"/>
        <w:spacing w:after="60"/>
      </w:pPr>
      <w:r>
        <w:t>Versioned branching/validation, autosave, immutable submission receipt and amendments.</w:t>
      </w:r>
    </w:p>
    <w:p>
      <w:pPr>
        <w:pStyle w:val="ListBullet"/>
        <w:spacing w:after="60"/>
      </w:pPr>
      <w:r>
        <w:t>Attendance/companion/household/headcount rules with explicit exception authority.</w:t>
      </w:r>
    </w:p>
    <w:p>
      <w:pPr>
        <w:pStyle w:val="ListBullet"/>
        <w:spacing w:after="60"/>
      </w:pPr>
      <w:r>
        <w:t>Low-bandwidth accessible guest journey and full staff form/policy/response/exception surfaces.</w:t>
      </w:r>
    </w:p>
    <w:p>
      <w:pPr>
        <w:pStyle w:val="ListBullet"/>
        <w:spacing w:after="60"/>
      </w:pPr>
      <w:r>
        <w:t>Privacy, retention, worker recovery, load and integrated reconciliation.</w:t>
      </w:r>
    </w:p>
    <w:p>
      <w:pPr>
        <w:pStyle w:val="Heading3"/>
      </w:pPr>
      <w:r>
        <w:t>Immediate rejection signals</w:t>
      </w:r>
    </w:p>
    <w:p>
      <w:pPr>
        <w:pStyle w:val="ListBullet"/>
        <w:spacing w:after="60"/>
      </w:pPr>
      <w:r>
        <w:t>Revoked/expired link can be replayed.</w:t>
      </w:r>
    </w:p>
    <w:p>
      <w:pPr>
        <w:pStyle w:val="ListBullet"/>
        <w:spacing w:after="60"/>
      </w:pPr>
      <w:r>
        <w:t>Guest can exceed entitlement or answer for unauthorised household members.</w:t>
      </w:r>
    </w:p>
    <w:p>
      <w:pPr>
        <w:pStyle w:val="ListBullet"/>
        <w:spacing w:after="60"/>
      </w:pPr>
      <w:r>
        <w:t>Autosave/submission claims success before durable acceptance.</w:t>
      </w:r>
    </w:p>
    <w:p>
      <w:pPr>
        <w:pStyle w:val="ListBullet"/>
        <w:spacing w:after="60"/>
      </w:pPr>
      <w:r>
        <w:t>Sensitive answers appear in broad views or telemetry.</w:t>
      </w:r>
    </w:p>
    <w:p>
      <w:pPr>
        <w:pStyle w:val="ListBullet"/>
        <w:spacing w:after="60"/>
      </w:pPr>
      <w:r>
        <w:t>Guest journey fails keyboard/screen reader/slow network.</w:t>
      </w:r>
    </w:p>
    <w:p>
      <w:pPr>
        <w:pStyle w:val="Heading2"/>
      </w:pPr>
      <w:r>
        <w:t>Slice 4 — Guest communications</w:t>
      </w:r>
    </w:p>
    <w:p>
      <w:r>
        <w:t>Consent and lawful contact, templates, audiences, campaigns, providers, inbound conversations, concierge and operational intelligence.</w:t>
      </w:r>
    </w:p>
    <w:p>
      <w:pPr>
        <w:pStyle w:val="Heading3"/>
      </w:pPr>
      <w:r>
        <w:t>Reviewer must prove</w:t>
      </w:r>
    </w:p>
    <w:p>
      <w:pPr>
        <w:pStyle w:val="ListBullet"/>
        <w:spacing w:after="60"/>
      </w:pPr>
      <w:r>
        <w:t>Consent/suppression/quiet-hours/frequency/fallback enforced before job creation.</w:t>
      </w:r>
    </w:p>
    <w:p>
      <w:pPr>
        <w:pStyle w:val="ListBullet"/>
        <w:spacing w:after="60"/>
      </w:pPr>
      <w:r>
        <w:t>Safe template variables, immutable audience snapshot, maker-checker and test sandbox.</w:t>
      </w:r>
    </w:p>
    <w:p>
      <w:pPr>
        <w:pStyle w:val="ListBullet"/>
        <w:spacing w:after="60"/>
      </w:pPr>
      <w:r>
        <w:t>Outbox/idempotent expansion/retry; authenticated webhooks and delivery projection.</w:t>
      </w:r>
    </w:p>
    <w:p>
      <w:pPr>
        <w:pStyle w:val="ListBullet"/>
        <w:spacing w:after="60"/>
      </w:pPr>
      <w:r>
        <w:t>Inbound identity resolution, unmatched queue, safe attachments, conversation and SLA/escalation.</w:t>
      </w:r>
    </w:p>
    <w:p>
      <w:pPr>
        <w:pStyle w:val="ListBullet"/>
        <w:spacing w:after="60"/>
      </w:pPr>
      <w:r>
        <w:t>Complete composer, approval, delivery, inbox, timeline, settings and intelligence UI.</w:t>
      </w:r>
    </w:p>
    <w:p>
      <w:pPr>
        <w:pStyle w:val="Heading3"/>
      </w:pPr>
      <w:r>
        <w:t>Immediate rejection signals</w:t>
      </w:r>
    </w:p>
    <w:p>
      <w:pPr>
        <w:pStyle w:val="ListBullet"/>
        <w:spacing w:after="60"/>
      </w:pPr>
      <w:r>
        <w:t>Opted-out/suppressed guest enters a send job.</w:t>
      </w:r>
    </w:p>
    <w:p>
      <w:pPr>
        <w:pStyle w:val="ListBullet"/>
        <w:spacing w:after="60"/>
      </w:pPr>
      <w:r>
        <w:t>Duplicate webhook/retry creates duplicate business effect.</w:t>
      </w:r>
    </w:p>
    <w:p>
      <w:pPr>
        <w:pStyle w:val="ListBullet"/>
        <w:spacing w:after="60"/>
      </w:pPr>
      <w:r>
        <w:t>Test or qualification contacts a real guest.</w:t>
      </w:r>
    </w:p>
    <w:p>
      <w:pPr>
        <w:pStyle w:val="ListBullet"/>
        <w:spacing w:after="60"/>
      </w:pPr>
      <w:r>
        <w:t>Inbound message is lost during provider delay/outage.</w:t>
      </w:r>
    </w:p>
    <w:p>
      <w:pPr>
        <w:pStyle w:val="ListBullet"/>
        <w:spacing w:after="60"/>
      </w:pPr>
      <w:r>
        <w:t>Template/audience approval hides exact recipients, variables or exclusions.</w:t>
      </w:r>
    </w:p>
    <w:p>
      <w:pPr>
        <w:pStyle w:val="Heading2"/>
      </w:pPr>
      <w:r>
        <w:t>Slice 5 — Venue layout</w:t>
      </w:r>
    </w:p>
    <w:p>
      <w:r>
        <w:t>Venue evidence, canonical geometry, layout objects, accessible routes, capacity, collaboration, validation, snapshots and publication.</w:t>
      </w:r>
    </w:p>
    <w:p>
      <w:pPr>
        <w:pStyle w:val="Heading3"/>
      </w:pPr>
      <w:r>
        <w:t>Reviewer must prove</w:t>
      </w:r>
    </w:p>
    <w:p>
      <w:pPr>
        <w:pStyle w:val="ListBullet"/>
        <w:spacing w:after="60"/>
      </w:pPr>
      <w:r>
        <w:t>One canonical serialisation and immutable version history.</w:t>
      </w:r>
    </w:p>
    <w:p>
      <w:pPr>
        <w:pStyle w:val="ListBullet"/>
        <w:spacing w:after="60"/>
      </w:pPr>
      <w:r>
        <w:t>Geometry, bounds, overlaps, capacity, clearance, accessible route and safe-area validation.</w:t>
      </w:r>
    </w:p>
    <w:p>
      <w:pPr>
        <w:pStyle w:val="ListBullet"/>
        <w:spacing w:after="60"/>
      </w:pPr>
      <w:r>
        <w:t>Autosave/lease/stale-editor/reconnect without invisible loss.</w:t>
      </w:r>
    </w:p>
    <w:p>
      <w:pPr>
        <w:pStyle w:val="ListBullet"/>
        <w:spacing w:after="60"/>
      </w:pPr>
      <w:r>
        <w:t>Layout Studio has responsive and keyboard-accessible equivalents for critical operations.</w:t>
      </w:r>
    </w:p>
    <w:p>
      <w:pPr>
        <w:pStyle w:val="ListBullet"/>
        <w:spacing w:after="60"/>
      </w:pPr>
      <w:r>
        <w:t>Approval, publication, semantic/spatial diff, restore and stable downstream contract.</w:t>
      </w:r>
    </w:p>
    <w:p>
      <w:pPr>
        <w:pStyle w:val="Heading3"/>
      </w:pPr>
      <w:r>
        <w:t>Immediate rejection signals</w:t>
      </w:r>
    </w:p>
    <w:p>
      <w:pPr>
        <w:pStyle w:val="ListBullet"/>
        <w:spacing w:after="60"/>
      </w:pPr>
      <w:r>
        <w:t>Canvas is the only way to perform a critical task.</w:t>
      </w:r>
    </w:p>
    <w:p>
      <w:pPr>
        <w:pStyle w:val="ListBullet"/>
        <w:spacing w:after="60"/>
      </w:pPr>
      <w:r>
        <w:t>Concurrent edit silently overwrites work.</w:t>
      </w:r>
    </w:p>
    <w:p>
      <w:pPr>
        <w:pStyle w:val="ListBullet"/>
        <w:spacing w:after="60"/>
      </w:pPr>
      <w:r>
        <w:t>Published history is mutated by restore.</w:t>
      </w:r>
    </w:p>
    <w:p>
      <w:pPr>
        <w:pStyle w:val="ListBullet"/>
        <w:spacing w:after="60"/>
      </w:pPr>
      <w:r>
        <w:t>Capacity or accessible-route failure is hidden/averaged away.</w:t>
      </w:r>
    </w:p>
    <w:p>
      <w:pPr>
        <w:pStyle w:val="ListBullet"/>
        <w:spacing w:after="60"/>
      </w:pPr>
      <w:r>
        <w:t>Downstream consumers use unversioned layout data.</w:t>
      </w:r>
    </w:p>
    <w:p>
      <w:pPr>
        <w:pStyle w:val="Heading2"/>
      </w:pPr>
      <w:r>
        <w:t>Slice 6 — Seating allocation</w:t>
      </w:r>
    </w:p>
    <w:p>
      <w:r>
        <w:t>Privacy-minimised inputs, constraints, reservations, deterministic solver, manual corrections, Seating Studio and immutable publication.</w:t>
      </w:r>
    </w:p>
    <w:p>
      <w:pPr>
        <w:pStyle w:val="Heading3"/>
      </w:pPr>
      <w:r>
        <w:t>Reviewer must prove</w:t>
      </w:r>
    </w:p>
    <w:p>
      <w:pPr>
        <w:pStyle w:val="ListBullet"/>
        <w:spacing w:after="60"/>
      </w:pPr>
      <w:r>
        <w:t>Hard versus weighted rules, source/evidence separation and capacity accounting.</w:t>
      </w:r>
    </w:p>
    <w:p>
      <w:pPr>
        <w:pStyle w:val="ListBullet"/>
        <w:spacing w:after="60"/>
      </w:pPr>
      <w:r>
        <w:t>Identical frozen input/version returns identical solver result and explanation.</w:t>
      </w:r>
    </w:p>
    <w:p>
      <w:pPr>
        <w:pStyle w:val="ListBullet"/>
        <w:spacing w:after="60"/>
      </w:pPr>
      <w:r>
        <w:t>Impossible case is surfaced with conflicts; no fabricated allocation.</w:t>
      </w:r>
    </w:p>
    <w:p>
      <w:pPr>
        <w:pStyle w:val="ListBullet"/>
        <w:spacing w:after="60"/>
      </w:pPr>
      <w:r>
        <w:t>Manual move/swap/unseat/lock retains reason, actor, before/after, approval and revalidation.</w:t>
      </w:r>
    </w:p>
    <w:p>
      <w:pPr>
        <w:pStyle w:val="ListBullet"/>
        <w:spacing w:after="60"/>
      </w:pPr>
      <w:r>
        <w:t>Accessible Seating Studio, performance at 500+ allocation and sealed holdout/release rehearsal.</w:t>
      </w:r>
    </w:p>
    <w:p>
      <w:pPr>
        <w:pStyle w:val="Heading3"/>
      </w:pPr>
      <w:r>
        <w:t>Immediate rejection signals</w:t>
      </w:r>
    </w:p>
    <w:p>
      <w:pPr>
        <w:pStyle w:val="ListBullet"/>
        <w:spacing w:after="60"/>
      </w:pPr>
      <w:r>
        <w:t>Solver violates a hard constraint without explicit authorised exception.</w:t>
      </w:r>
    </w:p>
    <w:p>
      <w:pPr>
        <w:pStyle w:val="ListBullet"/>
        <w:spacing w:after="60"/>
      </w:pPr>
      <w:r>
        <w:t>Same input produces unexplained different result.</w:t>
      </w:r>
    </w:p>
    <w:p>
      <w:pPr>
        <w:pStyle w:val="ListBullet"/>
        <w:spacing w:after="60"/>
      </w:pPr>
      <w:r>
        <w:t>Manual edit bypasses audit/revalidation.</w:t>
      </w:r>
    </w:p>
    <w:p>
      <w:pPr>
        <w:pStyle w:val="ListBullet"/>
        <w:spacing w:after="60"/>
      </w:pPr>
      <w:r>
        <w:t>Sensitive guest rationale leaks into solver/UI/export.</w:t>
      </w:r>
    </w:p>
    <w:p>
      <w:pPr>
        <w:pStyle w:val="ListBullet"/>
        <w:spacing w:after="60"/>
      </w:pPr>
      <w:r>
        <w:t>Published seating is overwritten rather than superseded.</w:t>
      </w:r>
    </w:p>
    <w:p>
      <w:pPr>
        <w:pStyle w:val="Heading2"/>
      </w:pPr>
      <w:r>
        <w:t>Slice 7 — Credentials and QR</w:t>
      </w:r>
    </w:p>
    <w:p>
      <w:r>
        <w:t>Template governance, opaque tokens, rendering, eligibility, issue/delivery/revoke/replace, source staleness and scanner-resolution contract.</w:t>
      </w:r>
    </w:p>
    <w:p>
      <w:pPr>
        <w:pStyle w:val="Heading3"/>
      </w:pPr>
      <w:r>
        <w:t>Reviewer must prove</w:t>
      </w:r>
    </w:p>
    <w:p>
      <w:pPr>
        <w:pStyle w:val="ListBullet"/>
        <w:spacing w:after="60"/>
      </w:pPr>
      <w:r>
        <w:t>QR payload has no PII and resists enumeration/tamper/replay.</w:t>
      </w:r>
    </w:p>
    <w:p>
      <w:pPr>
        <w:pStyle w:val="ListBullet"/>
        <w:spacing w:after="60"/>
      </w:pPr>
      <w:r>
        <w:t>Key rotation, expiry, revocation and replacement behave online and offline as specified.</w:t>
      </w:r>
    </w:p>
    <w:p>
      <w:pPr>
        <w:pStyle w:val="ListBullet"/>
        <w:spacing w:after="60"/>
      </w:pPr>
      <w:r>
        <w:t>Rendering is sandboxed/deterministic; print/card/QR physical quality passes.</w:t>
      </w:r>
    </w:p>
    <w:p>
      <w:pPr>
        <w:pStyle w:val="ListBullet"/>
        <w:spacing w:after="60"/>
      </w:pPr>
      <w:r>
        <w:t>Eligibility and seating dependencies invalidate stale credentials safely.</w:t>
      </w:r>
    </w:p>
    <w:p>
      <w:pPr>
        <w:pStyle w:val="ListBullet"/>
        <w:spacing w:after="60"/>
      </w:pPr>
      <w:r>
        <w:t>Credential admin, batch, delivery, detail, recovery and security UI is complete.</w:t>
      </w:r>
    </w:p>
    <w:p>
      <w:pPr>
        <w:pStyle w:val="Heading3"/>
      </w:pPr>
      <w:r>
        <w:t>Immediate rejection signals</w:t>
      </w:r>
    </w:p>
    <w:p>
      <w:pPr>
        <w:pStyle w:val="ListBullet"/>
        <w:spacing w:after="60"/>
      </w:pPr>
      <w:r>
        <w:t>QR contains personal information or predictable identifier.</w:t>
      </w:r>
    </w:p>
    <w:p>
      <w:pPr>
        <w:pStyle w:val="ListBullet"/>
        <w:spacing w:after="60"/>
      </w:pPr>
      <w:r>
        <w:t>Revoked credential remains usable beyond ratified offline policy.</w:t>
      </w:r>
    </w:p>
    <w:p>
      <w:pPr>
        <w:pStyle w:val="ListBullet"/>
        <w:spacing w:after="60"/>
      </w:pPr>
      <w:r>
        <w:t>Regeneration creates two current credentials.</w:t>
      </w:r>
    </w:p>
    <w:p>
      <w:pPr>
        <w:pStyle w:val="ListBullet"/>
        <w:spacing w:after="60"/>
      </w:pPr>
      <w:r>
        <w:t>Rendering executes untrusted content or exposes storage.</w:t>
      </w:r>
    </w:p>
    <w:p>
      <w:pPr>
        <w:pStyle w:val="ListBullet"/>
        <w:spacing w:after="60"/>
      </w:pPr>
      <w:r>
        <w:t>Slice 8 receives an ambiguous credential-resolution contract.</w:t>
      </w:r>
    </w:p>
    <w:p>
      <w:pPr>
        <w:pStyle w:val="Heading2"/>
      </w:pPr>
      <w:r>
        <w:t>Slice 8 — EDR and check-in</w:t>
      </w:r>
    </w:p>
    <w:p>
      <w:r>
        <w:t>Event-day snapshot, device trust, encrypted offline runtime, admission ledger, sync/conflicts, command, close and reconciliation.</w:t>
      </w:r>
    </w:p>
    <w:p>
      <w:pPr>
        <w:pStyle w:val="Heading3"/>
      </w:pPr>
      <w:r>
        <w:t>Reviewer must prove</w:t>
      </w:r>
    </w:p>
    <w:p>
      <w:pPr>
        <w:pStyle w:val="ListBullet"/>
        <w:spacing w:after="60"/>
      </w:pPr>
      <w:r>
        <w:t>EDR is sole admission write authority; snapshot is immutable and superseded, not edited.</w:t>
      </w:r>
    </w:p>
    <w:p>
      <w:pPr>
        <w:pStyle w:val="ListBullet"/>
        <w:spacing w:after="60"/>
      </w:pPr>
      <w:r>
        <w:t>Trusted provisioned devices, sessions, lost-device containment and encrypted local store.</w:t>
      </w:r>
    </w:p>
    <w:p>
      <w:pPr>
        <w:pStyle w:val="ListBullet"/>
        <w:spacing w:after="60"/>
      </w:pPr>
      <w:r>
        <w:t>Append-before-success offline outbox; idempotent replay; gaps/conflicts/dead letters visible.</w:t>
      </w:r>
    </w:p>
    <w:p>
      <w:pPr>
        <w:pStyle w:val="ListBullet"/>
        <w:spacing w:after="60"/>
      </w:pPr>
      <w:r>
        <w:t>Scan/lookup/household/walk-in/referral/re-entry/capacity journeys on approved devices.</w:t>
      </w:r>
    </w:p>
    <w:p>
      <w:pPr>
        <w:pStyle w:val="ListBullet"/>
        <w:spacing w:after="60"/>
      </w:pPr>
      <w:r>
        <w:t>Director-only close, nine-device simulation, reconciliation and sealed outcome import.</w:t>
      </w:r>
    </w:p>
    <w:p>
      <w:pPr>
        <w:pStyle w:val="Heading3"/>
      </w:pPr>
      <w:r>
        <w:t>Immediate rejection signals</w:t>
      </w:r>
    </w:p>
    <w:p>
      <w:pPr>
        <w:pStyle w:val="ListBullet"/>
        <w:spacing w:after="60"/>
      </w:pPr>
      <w:r>
        <w:t>Accepted local event is lost or silently overwritten.</w:t>
      </w:r>
    </w:p>
    <w:p>
      <w:pPr>
        <w:pStyle w:val="ListBullet"/>
        <w:spacing w:after="60"/>
      </w:pPr>
      <w:r>
        <w:t>FaceGate/credential service writes attendance.</w:t>
      </w:r>
    </w:p>
    <w:p>
      <w:pPr>
        <w:pStyle w:val="ListBullet"/>
        <w:spacing w:after="60"/>
      </w:pPr>
      <w:r>
        <w:t>Non-Director closes runtime.</w:t>
      </w:r>
    </w:p>
    <w:p>
      <w:pPr>
        <w:pStyle w:val="ListBullet"/>
        <w:spacing w:after="60"/>
      </w:pPr>
      <w:r>
        <w:t>Last-write-wins hides concurrent admissions.</w:t>
      </w:r>
    </w:p>
    <w:p>
      <w:pPr>
        <w:pStyle w:val="ListBullet"/>
        <w:spacing w:after="60"/>
      </w:pPr>
      <w:r>
        <w:t>Unsynced devices or unresolved conflicts remain at close.</w:t>
      </w:r>
    </w:p>
    <w:p>
      <w:pPr>
        <w:pStyle w:val="Heading2"/>
      </w:pPr>
      <w:r>
        <w:t>Slice 9 — Standards, readiness and operational intelligence</w:t>
      </w:r>
    </w:p>
    <w:p>
      <w:r>
        <w:t>Versioned knowledge, applicability, standards plans, evidence, readiness, findings, recommendations, human decisions and outcomes.</w:t>
      </w:r>
    </w:p>
    <w:p>
      <w:pPr>
        <w:pStyle w:val="Heading3"/>
      </w:pPr>
      <w:r>
        <w:t>Reviewer must prove</w:t>
      </w:r>
    </w:p>
    <w:p>
      <w:pPr>
        <w:pStyle w:val="ListBullet"/>
        <w:spacing w:after="60"/>
      </w:pPr>
      <w:r>
        <w:t>Only approved current knowledge drives production; applicability is deterministic and explainable.</w:t>
      </w:r>
    </w:p>
    <w:p>
      <w:pPr>
        <w:pStyle w:val="ListBullet"/>
        <w:spacing w:after="60"/>
      </w:pPr>
      <w:r>
        <w:t>Standards plan has observable expectation, owner, checkpoint, evidence and coverage.</w:t>
      </w:r>
    </w:p>
    <w:p>
      <w:pPr>
        <w:pStyle w:val="ListBullet"/>
        <w:spacing w:after="60"/>
      </w:pPr>
      <w:r>
        <w:t>Green derives from valid evidence; Unknown/stale/contradicted/Exception remain distinct.</w:t>
      </w:r>
    </w:p>
    <w:p>
      <w:pPr>
        <w:pStyle w:val="ListBullet"/>
        <w:spacing w:after="60"/>
      </w:pPr>
      <w:r>
        <w:t>Findings/recommendations/alerts show provenance, confidence, authority, latest safe action and expiry.</w:t>
      </w:r>
    </w:p>
    <w:p>
      <w:pPr>
        <w:pStyle w:val="ListBullet"/>
        <w:spacing w:after="60"/>
      </w:pPr>
      <w:r>
        <w:t>Decision/action/outcome remain separate; AI shadow is grounded and powerless.</w:t>
      </w:r>
    </w:p>
    <w:p>
      <w:pPr>
        <w:pStyle w:val="Heading3"/>
      </w:pPr>
      <w:r>
        <w:t>Immediate rejection signals</w:t>
      </w:r>
    </w:p>
    <w:p>
      <w:pPr>
        <w:pStyle w:val="ListBullet"/>
        <w:spacing w:after="60"/>
      </w:pPr>
      <w:r>
        <w:t>User directly selects Green.</w:t>
      </w:r>
    </w:p>
    <w:p>
      <w:pPr>
        <w:pStyle w:val="ListBullet"/>
        <w:spacing w:after="60"/>
      </w:pPr>
      <w:r>
        <w:t>Missing data becomes false/zero or a confident conclusion.</w:t>
      </w:r>
    </w:p>
    <w:p>
      <w:pPr>
        <w:pStyle w:val="ListBullet"/>
        <w:spacing w:after="60"/>
      </w:pPr>
      <w:r>
        <w:t>Recommendation executes itself or AI gains authority.</w:t>
      </w:r>
    </w:p>
    <w:p>
      <w:pPr>
        <w:pStyle w:val="ListBullet"/>
        <w:spacing w:after="60"/>
      </w:pPr>
      <w:r>
        <w:t>Acknowledgement is treated as action/resolution.</w:t>
      </w:r>
    </w:p>
    <w:p>
      <w:pPr>
        <w:pStyle w:val="ListBullet"/>
        <w:spacing w:after="60"/>
      </w:pPr>
      <w:r>
        <w:t>Current event facts are overwritten by generic knowledge.</w:t>
      </w:r>
    </w:p>
    <w:p>
      <w:pPr>
        <w:pStyle w:val="Heading2"/>
      </w:pPr>
      <w:r>
        <w:t>Slice 10 — FaceGate gated integration</w:t>
      </w:r>
    </w:p>
    <w:p>
      <w:r>
        <w:t>Isolated optional biometric capability with consent, fairness, human review, signed EDR assertion, fallback and verified deletion.</w:t>
      </w:r>
    </w:p>
    <w:p>
      <w:pPr>
        <w:pStyle w:val="Heading3"/>
      </w:pPr>
      <w:r>
        <w:t>Reviewer must prove</w:t>
      </w:r>
    </w:p>
    <w:p>
      <w:pPr>
        <w:pStyle w:val="ListBullet"/>
        <w:spacing w:after="60"/>
      </w:pPr>
      <w:r>
        <w:t>Four-key/event-specific enablement and immediate kill switch; default OFF.</w:t>
      </w:r>
    </w:p>
    <w:p>
      <w:pPr>
        <w:pStyle w:val="ListBullet"/>
        <w:spacing w:after="60"/>
      </w:pPr>
      <w:r>
        <w:t>Freely chosen consent/refusal/withdrawal and equal QR/manual route.</w:t>
      </w:r>
    </w:p>
    <w:p>
      <w:pPr>
        <w:pStyle w:val="ListBullet"/>
        <w:spacing w:after="60"/>
      </w:pPr>
      <w:r>
        <w:t>Capture/liveness/provider boundary, match thresholds, false/failed/multiple-match review and fairness evidence.</w:t>
      </w:r>
    </w:p>
    <w:p>
      <w:pPr>
        <w:pStyle w:val="ListBullet"/>
        <w:spacing w:after="60"/>
      </w:pPr>
      <w:r>
        <w:t>No biometric payload/provider reference in Core, EDR, general audit, logs, analytics or backups.</w:t>
      </w:r>
    </w:p>
    <w:p>
      <w:pPr>
        <w:pStyle w:val="ListBullet"/>
        <w:spacing w:after="60"/>
      </w:pPr>
      <w:r>
        <w:t>FaceGate issues assertion only; EDR decides; withdrawal blocks future matching and deletion is verified.</w:t>
      </w:r>
    </w:p>
    <w:p>
      <w:pPr>
        <w:pStyle w:val="Heading3"/>
      </w:pPr>
      <w:r>
        <w:t>Immediate rejection signals</w:t>
      </w:r>
    </w:p>
    <w:p>
      <w:pPr>
        <w:pStyle w:val="ListBullet"/>
        <w:spacing w:after="60"/>
      </w:pPr>
      <w:r>
        <w:t>Biometric use is coercive or lacks current legal/privacy/security/event authority.</w:t>
      </w:r>
    </w:p>
    <w:p>
      <w:pPr>
        <w:pStyle w:val="ListBullet"/>
        <w:spacing w:after="60"/>
      </w:pPr>
      <w:r>
        <w:t>FaceGate writes admission or becomes required for access.</w:t>
      </w:r>
    </w:p>
    <w:p>
      <w:pPr>
        <w:pStyle w:val="ListBullet"/>
        <w:spacing w:after="60"/>
      </w:pPr>
      <w:r>
        <w:t>Biometric material crosses into Core/EDR/general telemetry.</w:t>
      </w:r>
    </w:p>
    <w:p>
      <w:pPr>
        <w:pStyle w:val="ListBullet"/>
        <w:spacing w:after="60"/>
      </w:pPr>
      <w:r>
        <w:t>Withdrawal does not stop matching immediately.</w:t>
      </w:r>
    </w:p>
    <w:p>
      <w:pPr>
        <w:pStyle w:val="ListBullet"/>
        <w:spacing w:after="60"/>
      </w:pPr>
      <w:r>
        <w:t>Provider/local deletion or fallback capacity is unproven.</w:t>
      </w:r>
    </w:p>
    <w:p>
      <w:pPr>
        <w:pStyle w:val="Heading2"/>
      </w:pPr>
      <w:r>
        <w:t>Slice 11 — Cross-event knowledge and learning</w:t>
      </w:r>
    </w:p>
    <w:p>
      <w:r>
        <w:t>Governed reusable venue/vendor/pattern knowledge, optional person memory, privacy-safe portfolio intelligence and controlled knowledge proposals.</w:t>
      </w:r>
    </w:p>
    <w:p>
      <w:pPr>
        <w:pStyle w:val="Heading3"/>
      </w:pPr>
      <w:r>
        <w:t>Reviewer must prove</w:t>
      </w:r>
    </w:p>
    <w:p>
      <w:pPr>
        <w:pStyle w:val="ListBullet"/>
        <w:spacing w:after="60"/>
      </w:pPr>
      <w:r>
        <w:t>EventGuest remains operational identity; PersonProfile is optional, human-confirmed and reversible.</w:t>
      </w:r>
    </w:p>
    <w:p>
      <w:pPr>
        <w:pStyle w:val="ListBullet"/>
        <w:spacing w:after="60"/>
      </w:pPr>
      <w:r>
        <w:t>Level 2/3 and named guest data never enter cross-client query, aggregation, export or AI context.</w:t>
      </w:r>
    </w:p>
    <w:p>
      <w:pPr>
        <w:pStyle w:val="ListBullet"/>
        <w:spacing w:after="60"/>
      </w:pPr>
      <w:r>
        <w:t>One event creates a candidate; independent corroboration and Curator separation precede approval.</w:t>
      </w:r>
    </w:p>
    <w:p>
      <w:pPr>
        <w:pStyle w:val="ListBullet"/>
        <w:spacing w:after="60"/>
      </w:pPr>
      <w:r>
        <w:t>Cohort/small-cell/dominance/differencing controls resist re-identification.</w:t>
      </w:r>
    </w:p>
    <w:p>
      <w:pPr>
        <w:pStyle w:val="ListBullet"/>
        <w:spacing w:after="60"/>
      </w:pPr>
      <w:r>
        <w:t>Historical learning creates questions/recommendations; no automatic event fact or doctrine publication.</w:t>
      </w:r>
    </w:p>
    <w:p>
      <w:pPr>
        <w:pStyle w:val="Heading3"/>
      </w:pPr>
      <w:r>
        <w:t>Immediate rejection signals</w:t>
      </w:r>
    </w:p>
    <w:p>
      <w:pPr>
        <w:pStyle w:val="ListBullet"/>
        <w:spacing w:after="60"/>
      </w:pPr>
      <w:r>
        <w:t>Silent identity link, automatic merge or biometric identity input.</w:t>
      </w:r>
    </w:p>
    <w:p>
      <w:pPr>
        <w:pStyle w:val="ListBullet"/>
        <w:spacing w:after="60"/>
      </w:pPr>
      <w:r>
        <w:t>Private client narrative or named guest appears cross-client.</w:t>
      </w:r>
    </w:p>
    <w:p>
      <w:pPr>
        <w:pStyle w:val="ListBullet"/>
        <w:spacing w:after="60"/>
      </w:pPr>
      <w:r>
        <w:t>One event/AI output becomes approved reusable evidence.</w:t>
      </w:r>
    </w:p>
    <w:p>
      <w:pPr>
        <w:pStyle w:val="ListBullet"/>
        <w:spacing w:after="60"/>
      </w:pPr>
      <w:r>
        <w:t>Incomparable vendors/venues receive a misleading ranking.</w:t>
      </w:r>
    </w:p>
    <w:p>
      <w:pPr>
        <w:pStyle w:val="ListBullet"/>
        <w:spacing w:after="60"/>
      </w:pPr>
      <w:r>
        <w:t>Correction/deletion fails to propagate or returns after rebuild/restore.</w:t>
      </w:r>
    </w:p>
    <w:p>
      <w:pPr>
        <w:pStyle w:val="Heading2"/>
      </w:pPr>
      <w:r>
        <w:t>Slice 12 — Whole-system validation and release</w:t>
      </w:r>
    </w:p>
    <w:p>
      <w:r>
        <w:t>Immutable release candidate, exact evidence, whole-system journeys, reference event, disaster drills, supervised pilot and bounded production decision.</w:t>
      </w:r>
    </w:p>
    <w:p>
      <w:pPr>
        <w:pStyle w:val="Heading3"/>
      </w:pPr>
      <w:r>
        <w:t>Reviewer must prove</w:t>
      </w:r>
    </w:p>
    <w:p>
      <w:pPr>
        <w:pStyle w:val="ListBullet"/>
        <w:spacing w:after="60"/>
      </w:pPr>
      <w:r>
        <w:t>All Slice 1-11 criteria retain current exact-candidate evidence; no orphan requirement.</w:t>
      </w:r>
    </w:p>
    <w:p>
      <w:pPr>
        <w:pStyle w:val="ListBullet"/>
        <w:spacing w:after="60"/>
      </w:pPr>
      <w:r>
        <w:t>Complete frontend route/state/device/accessibility/usability qualification.</w:t>
      </w:r>
    </w:p>
    <w:p>
      <w:pPr>
        <w:pStyle w:val="ListBullet"/>
        <w:spacing w:after="60"/>
      </w:pPr>
      <w:r>
        <w:t>600-guest Lagos reference event, nine-device offline fleet, failure drills and full ledger reconciliation.</w:t>
      </w:r>
    </w:p>
    <w:p>
      <w:pPr>
        <w:pStyle w:val="ListBullet"/>
        <w:spacing w:after="60"/>
      </w:pPr>
      <w:r>
        <w:t>Security/privacy/deletion, backup/restore/rollback, SLO/alerts/runbooks/support and specialist gates.</w:t>
      </w:r>
    </w:p>
    <w:p>
      <w:pPr>
        <w:pStyle w:val="ListBullet"/>
        <w:spacing w:after="60"/>
      </w:pPr>
      <w:r>
        <w:t>Supervised pilot observations/incidents/reconciliation; G0-G6; exact CEO stage and rollback authority.</w:t>
      </w:r>
    </w:p>
    <w:p>
      <w:pPr>
        <w:pStyle w:val="Heading3"/>
      </w:pPr>
      <w:r>
        <w:t>Immediate rejection signals</w:t>
      </w:r>
    </w:p>
    <w:p>
      <w:pPr>
        <w:pStyle w:val="ListBullet"/>
        <w:spacing w:after="60"/>
      </w:pPr>
      <w:r>
        <w:t>Evidence belongs to another candidate or critical failure is averaged into Green.</w:t>
      </w:r>
    </w:p>
    <w:p>
      <w:pPr>
        <w:pStyle w:val="ListBullet"/>
        <w:spacing w:after="60"/>
      </w:pPr>
      <w:r>
        <w:t>Observed role journey uses DB/script/engineering shortcut.</w:t>
      </w:r>
    </w:p>
    <w:p>
      <w:pPr>
        <w:pStyle w:val="ListBullet"/>
        <w:spacing w:after="60"/>
      </w:pPr>
      <w:r>
        <w:t>Any ledger difference, Critical defect or hard invariant remains unresolved.</w:t>
      </w:r>
    </w:p>
    <w:p>
      <w:pPr>
        <w:pStyle w:val="ListBullet"/>
        <w:spacing w:after="60"/>
      </w:pPr>
      <w:r>
        <w:t>General release silently enables AI/FaceGate/cross-event capability.</w:t>
      </w:r>
    </w:p>
    <w:p>
      <w:pPr>
        <w:pStyle w:val="ListBullet"/>
        <w:spacing w:after="60"/>
      </w:pPr>
      <w:r>
        <w:t>Production scope/stage/conditions/rollback/support are ambiguous.</w:t>
      </w:r>
    </w:p>
    <w:p>
      <w:pPr>
        <w:spacing w:after="0" w:line="20" w:lineRule="exact"/>
      </w:pPr>
      <w:r>
        <w:rPr>
          <w:sz w:val="2"/>
        </w:rPr>
        <w:br w:type="page"/>
      </w:r>
    </w:p>
    <w:p>
      <w:pPr>
        <w:pStyle w:val="Heading1"/>
      </w:pPr>
      <w:r>
        <w:t>14. Slice exit acceptance</w:t>
      </w:r>
    </w:p>
    <w:p>
      <w:pPr>
        <w:pStyle w:val="ListBullet"/>
        <w:spacing w:after="60"/>
      </w:pPr>
      <w:r>
        <w:t>Every prompt in the slice is ACCEPTED or explicitly superseded by an accepted correction; none is skipped.</w:t>
      </w:r>
    </w:p>
    <w:p>
      <w:pPr>
        <w:pStyle w:val="ListBullet"/>
        <w:spacing w:after="60"/>
      </w:pPr>
      <w:r>
        <w:t>All items brought forward are closed or legitimately owned by a named future gate; nothing required for this slice exit remains.</w:t>
      </w:r>
    </w:p>
    <w:p>
      <w:pPr>
        <w:pStyle w:val="ListBullet"/>
        <w:spacing w:after="60"/>
      </w:pPr>
      <w:r>
        <w:t>Traceability has no orphan requirement, schema/API/event/UI surface, migration, flag, test or evidence.</w:t>
      </w:r>
    </w:p>
    <w:p>
      <w:pPr>
        <w:pStyle w:val="ListBullet"/>
        <w:spacing w:after="60"/>
      </w:pPr>
      <w:r>
        <w:t>Full slice regression passes from clean checkout/data; migrations, deployment/disablement and rollback are rehearsed.</w:t>
      </w:r>
    </w:p>
    <w:p>
      <w:pPr>
        <w:pStyle w:val="ListBullet"/>
        <w:spacing w:after="60"/>
      </w:pPr>
      <w:r>
        <w:t>Independent architecture, security/privacy, product/accessibility and domain-owner reviews are complete as required.</w:t>
      </w:r>
    </w:p>
    <w:p>
      <w:pPr>
        <w:pStyle w:val="ListBullet"/>
        <w:spacing w:after="60"/>
      </w:pPr>
      <w:r>
        <w:t>Current-state report, build ledger, ADRs, decisions, runbooks, limitations and downstream handoff contract are frozen.</w:t>
      </w:r>
    </w:p>
    <w:p>
      <w:pPr>
        <w:pStyle w:val="ListBullet"/>
        <w:spacing w:after="60"/>
      </w:pPr>
      <w:r>
        <w:t>Slice exit commit is exact, clean and reproducible; acceptance dossier states what the next slice may rely upon.</w:t>
      </w:r>
    </w:p>
    <w:p>
      <w:pPr>
        <w:pStyle w:val="Heading2"/>
      </w:pPr>
      <w:r>
        <w:t>14.1 Slice exit certificate</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E8EEF5"/>
            <w:tcMar>
              <w:top w:w="80" w:type="dxa"/>
              <w:start w:w="120" w:type="dxa"/>
              <w:bottom w:w="80" w:type="dxa"/>
              <w:end w:w="120" w:type="dxa"/>
            </w:tcMar>
          </w:tcPr>
          <w:p>
            <w:r>
              <w:rPr>
                <w:b/>
              </w:rPr>
              <w:t>Field</w:t>
            </w:r>
          </w:p>
        </w:tc>
        <w:tc>
          <w:tcPr>
            <w:tcW w:type="dxa" w:w="6840"/>
            <w:shd w:fill="E8EEF5"/>
            <w:tcMar>
              <w:top w:w="80" w:type="dxa"/>
              <w:start w:w="120" w:type="dxa"/>
              <w:bottom w:w="80" w:type="dxa"/>
              <w:end w:w="120" w:type="dxa"/>
            </w:tcMar>
          </w:tcPr>
          <w:p>
            <w:r>
              <w:rPr>
                <w:b/>
              </w:rPr>
              <w:t>Record</w:t>
            </w:r>
          </w:p>
        </w:tc>
      </w:tr>
      <w:tr>
        <w:tc>
          <w:tcPr>
            <w:tcW w:type="dxa" w:w="2520"/>
            <w:tcMar>
              <w:top w:w="80" w:type="dxa"/>
              <w:start w:w="120" w:type="dxa"/>
              <w:bottom w:w="80" w:type="dxa"/>
              <w:end w:w="120" w:type="dxa"/>
            </w:tcMar>
            <w:vAlign w:val="center"/>
          </w:tcPr>
          <w:p>
            <w:pPr>
              <w:spacing w:after="20" w:line="250" w:lineRule="auto"/>
            </w:pPr>
            <w:r>
              <w:t>Slice / title</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First/last accepted prompt</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Exit commit</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Clean-room run</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Frontend/browser evidence</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Security/privacy evidence</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Migration/rollback evidence</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Open defects/risks</w:t>
            </w:r>
          </w:p>
        </w:tc>
        <w:tc>
          <w:tcPr>
            <w:tcW w:type="dxa" w:w="6840"/>
            <w:tcMar>
              <w:top w:w="80" w:type="dxa"/>
              <w:start w:w="120" w:type="dxa"/>
              <w:bottom w:w="80" w:type="dxa"/>
              <w:end w:w="120" w:type="dxa"/>
            </w:tcMar>
            <w:vAlign w:val="center"/>
            <w:shd w:fill="F7F8FA"/>
          </w:tcPr>
          <w:p>
            <w:pPr>
              <w:spacing w:after="20" w:line="250" w:lineRule="auto"/>
            </w:pPr>
            <w:r>
              <w:t>NONE / details: ____________________________</w:t>
            </w:r>
          </w:p>
        </w:tc>
      </w:tr>
      <w:tr>
        <w:tc>
          <w:tcPr>
            <w:tcW w:type="dxa" w:w="2520"/>
            <w:tcMar>
              <w:top w:w="80" w:type="dxa"/>
              <w:start w:w="120" w:type="dxa"/>
              <w:bottom w:w="80" w:type="dxa"/>
              <w:end w:w="120" w:type="dxa"/>
            </w:tcMar>
            <w:vAlign w:val="center"/>
          </w:tcPr>
          <w:p>
            <w:pPr>
              <w:spacing w:after="20" w:line="250" w:lineRule="auto"/>
            </w:pPr>
            <w:r>
              <w:t>Brought forward</w:t>
            </w:r>
          </w:p>
        </w:tc>
        <w:tc>
          <w:tcPr>
            <w:tcW w:type="dxa" w:w="6840"/>
            <w:tcMar>
              <w:top w:w="80" w:type="dxa"/>
              <w:start w:w="120" w:type="dxa"/>
              <w:bottom w:w="80" w:type="dxa"/>
              <w:end w:w="120" w:type="dxa"/>
            </w:tcMar>
            <w:vAlign w:val="center"/>
          </w:tcPr>
          <w:p>
            <w:pPr>
              <w:spacing w:after="20" w:line="250" w:lineRule="auto"/>
            </w:pPr>
            <w:r>
              <w:t>NONE / exact authorised items: ____________________________</w:t>
            </w:r>
          </w:p>
        </w:tc>
      </w:tr>
      <w:tr>
        <w:tc>
          <w:tcPr>
            <w:tcW w:type="dxa" w:w="2520"/>
            <w:tcMar>
              <w:top w:w="80" w:type="dxa"/>
              <w:start w:w="120" w:type="dxa"/>
              <w:bottom w:w="80" w:type="dxa"/>
              <w:end w:w="120" w:type="dxa"/>
            </w:tcMar>
            <w:vAlign w:val="center"/>
            <w:shd w:fill="F7F8FA"/>
          </w:tcPr>
          <w:p>
            <w:pPr>
              <w:spacing w:after="20" w:line="250" w:lineRule="auto"/>
            </w:pPr>
            <w:r>
              <w:t>Reviewers</w:t>
            </w:r>
          </w:p>
        </w:tc>
        <w:tc>
          <w:tcPr>
            <w:tcW w:type="dxa" w:w="6840"/>
            <w:tcMar>
              <w:top w:w="80" w:type="dxa"/>
              <w:start w:w="120" w:type="dxa"/>
              <w:bottom w:w="80" w:type="dxa"/>
              <w:end w:w="120" w:type="dxa"/>
            </w:tcMar>
            <w:vAlign w:val="center"/>
            <w:shd w:fill="F7F8FA"/>
          </w:tcPr>
          <w:p>
            <w:pPr>
              <w:spacing w:after="20" w:line="250" w:lineRule="auto"/>
            </w:pPr>
            <w:r>
              <w:t>Architecture: ____ Security: ____ Privacy: ____ Product/A11y: ____ Domain: ____</w:t>
            </w:r>
          </w:p>
        </w:tc>
      </w:tr>
      <w:tr>
        <w:tc>
          <w:tcPr>
            <w:tcW w:type="dxa" w:w="2520"/>
            <w:tcMar>
              <w:top w:w="80" w:type="dxa"/>
              <w:start w:w="120" w:type="dxa"/>
              <w:bottom w:w="80" w:type="dxa"/>
              <w:end w:w="120" w:type="dxa"/>
            </w:tcMar>
            <w:vAlign w:val="center"/>
          </w:tcPr>
          <w:p>
            <w:pPr>
              <w:spacing w:after="20" w:line="250" w:lineRule="auto"/>
            </w:pPr>
            <w:r>
              <w:t>Decision</w:t>
            </w:r>
          </w:p>
        </w:tc>
        <w:tc>
          <w:tcPr>
            <w:tcW w:type="dxa" w:w="6840"/>
            <w:tcMar>
              <w:top w:w="80" w:type="dxa"/>
              <w:start w:w="120" w:type="dxa"/>
              <w:bottom w:w="80" w:type="dxa"/>
              <w:end w:w="120" w:type="dxa"/>
            </w:tcMar>
            <w:vAlign w:val="center"/>
          </w:tcPr>
          <w:p>
            <w:pPr>
              <w:spacing w:after="20" w:line="250" w:lineRule="auto"/>
            </w:pPr>
            <w:r>
              <w:t>ACCEPTED / CORRECTION REQUIRED / BLOCKED</w:t>
            </w:r>
          </w:p>
        </w:tc>
      </w:tr>
      <w:tr>
        <w:tc>
          <w:tcPr>
            <w:tcW w:type="dxa" w:w="2520"/>
            <w:tcMar>
              <w:top w:w="80" w:type="dxa"/>
              <w:start w:w="120" w:type="dxa"/>
              <w:bottom w:w="80" w:type="dxa"/>
              <w:end w:w="120" w:type="dxa"/>
            </w:tcMar>
            <w:vAlign w:val="center"/>
            <w:shd w:fill="F7F8FA"/>
          </w:tcPr>
          <w:p>
            <w:pPr>
              <w:spacing w:after="20" w:line="250" w:lineRule="auto"/>
            </w:pPr>
            <w:r>
              <w:t>Acceptance Lead/date</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p>
      <w:pPr>
        <w:pStyle w:val="Heading1"/>
      </w:pPr>
      <w:r>
        <w:t>15. Clean-room acceptance procedure</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trPr>
        <w:tc>
          <w:tcPr>
            <w:tcW w:type="dxa" w:w="792"/>
            <w:shd w:fill="E8EEF5"/>
            <w:tcMar>
              <w:top w:w="80" w:type="dxa"/>
              <w:start w:w="120" w:type="dxa"/>
              <w:bottom w:w="80" w:type="dxa"/>
              <w:end w:w="120" w:type="dxa"/>
            </w:tcMar>
          </w:tcPr>
          <w:p>
            <w:r>
              <w:rPr>
                <w:b/>
              </w:rPr>
              <w:t>Step</w:t>
            </w:r>
          </w:p>
        </w:tc>
        <w:tc>
          <w:tcPr>
            <w:tcW w:type="dxa" w:w="8568"/>
            <w:shd w:fill="E8EEF5"/>
            <w:tcMar>
              <w:top w:w="80" w:type="dxa"/>
              <w:start w:w="120" w:type="dxa"/>
              <w:bottom w:w="80" w:type="dxa"/>
              <w:end w:w="120" w:type="dxa"/>
            </w:tcMar>
          </w:tcPr>
          <w:p>
            <w:r>
              <w:rPr>
                <w:b/>
              </w:rPr>
              <w:t>Action</w:t>
            </w:r>
          </w:p>
        </w:tc>
      </w:tr>
      <w:tr>
        <w:tc>
          <w:tcPr>
            <w:tcW w:type="dxa" w:w="792"/>
            <w:tcMar>
              <w:top w:w="80" w:type="dxa"/>
              <w:start w:w="120" w:type="dxa"/>
              <w:bottom w:w="80" w:type="dxa"/>
              <w:end w:w="120" w:type="dxa"/>
            </w:tcMar>
            <w:vAlign w:val="center"/>
          </w:tcPr>
          <w:p>
            <w:pPr>
              <w:spacing w:after="20" w:line="250" w:lineRule="auto"/>
            </w:pPr>
            <w:r>
              <w:t>1</w:t>
            </w:r>
          </w:p>
        </w:tc>
        <w:tc>
          <w:tcPr>
            <w:tcW w:type="dxa" w:w="8568"/>
            <w:tcMar>
              <w:top w:w="80" w:type="dxa"/>
              <w:start w:w="120" w:type="dxa"/>
              <w:bottom w:w="80" w:type="dxa"/>
              <w:end w:w="120" w:type="dxa"/>
            </w:tcMar>
            <w:vAlign w:val="center"/>
          </w:tcPr>
          <w:p>
            <w:pPr>
              <w:spacing w:after="20" w:line="250" w:lineRule="auto"/>
            </w:pPr>
            <w:r>
              <w:t>Start from the claimed full commit in a fresh workspace with only documented prerequisites.</w:t>
            </w:r>
          </w:p>
        </w:tc>
      </w:tr>
      <w:tr>
        <w:tc>
          <w:tcPr>
            <w:tcW w:type="dxa" w:w="792"/>
            <w:tcMar>
              <w:top w:w="80" w:type="dxa"/>
              <w:start w:w="120" w:type="dxa"/>
              <w:bottom w:w="80" w:type="dxa"/>
              <w:end w:w="120" w:type="dxa"/>
            </w:tcMar>
            <w:vAlign w:val="center"/>
            <w:shd w:fill="F7F8FA"/>
          </w:tcPr>
          <w:p>
            <w:pPr>
              <w:spacing w:after="20" w:line="250" w:lineRule="auto"/>
            </w:pPr>
            <w:r>
              <w:t>2</w:t>
            </w:r>
          </w:p>
        </w:tc>
        <w:tc>
          <w:tcPr>
            <w:tcW w:type="dxa" w:w="8568"/>
            <w:tcMar>
              <w:top w:w="80" w:type="dxa"/>
              <w:start w:w="120" w:type="dxa"/>
              <w:bottom w:w="80" w:type="dxa"/>
              <w:end w:w="120" w:type="dxa"/>
            </w:tcMar>
            <w:vAlign w:val="center"/>
            <w:shd w:fill="F7F8FA"/>
          </w:tcPr>
          <w:p>
            <w:pPr>
              <w:spacing w:after="20" w:line="250" w:lineRule="auto"/>
            </w:pPr>
            <w:r>
              <w:t>Provision the specified environment and dependencies from locked versions; verify no local secret/config assumption.</w:t>
            </w:r>
          </w:p>
        </w:tc>
      </w:tr>
      <w:tr>
        <w:tc>
          <w:tcPr>
            <w:tcW w:type="dxa" w:w="792"/>
            <w:tcMar>
              <w:top w:w="80" w:type="dxa"/>
              <w:start w:w="120" w:type="dxa"/>
              <w:bottom w:w="80" w:type="dxa"/>
              <w:end w:w="120" w:type="dxa"/>
            </w:tcMar>
            <w:vAlign w:val="center"/>
          </w:tcPr>
          <w:p>
            <w:pPr>
              <w:spacing w:after="20" w:line="250" w:lineRule="auto"/>
            </w:pPr>
            <w:r>
              <w:t>3</w:t>
            </w:r>
          </w:p>
        </w:tc>
        <w:tc>
          <w:tcPr>
            <w:tcW w:type="dxa" w:w="8568"/>
            <w:tcMar>
              <w:top w:w="80" w:type="dxa"/>
              <w:start w:w="120" w:type="dxa"/>
              <w:bottom w:w="80" w:type="dxa"/>
              <w:end w:w="120" w:type="dxa"/>
            </w:tcMar>
            <w:vAlign w:val="center"/>
          </w:tcPr>
          <w:p>
            <w:pPr>
              <w:spacing w:after="20" w:line="250" w:lineRule="auto"/>
            </w:pPr>
            <w:r>
              <w:t>Create/migrate a fresh database and other stores; seed the exact synthetic/reference dataset and checksum.</w:t>
            </w:r>
          </w:p>
        </w:tc>
      </w:tr>
      <w:tr>
        <w:tc>
          <w:tcPr>
            <w:tcW w:type="dxa" w:w="792"/>
            <w:tcMar>
              <w:top w:w="80" w:type="dxa"/>
              <w:start w:w="120" w:type="dxa"/>
              <w:bottom w:w="80" w:type="dxa"/>
              <w:end w:w="120" w:type="dxa"/>
            </w:tcMar>
            <w:vAlign w:val="center"/>
            <w:shd w:fill="F7F8FA"/>
          </w:tcPr>
          <w:p>
            <w:pPr>
              <w:spacing w:after="20" w:line="250" w:lineRule="auto"/>
            </w:pPr>
            <w:r>
              <w:t>4</w:t>
            </w:r>
          </w:p>
        </w:tc>
        <w:tc>
          <w:tcPr>
            <w:tcW w:type="dxa" w:w="8568"/>
            <w:tcMar>
              <w:top w:w="80" w:type="dxa"/>
              <w:start w:w="120" w:type="dxa"/>
              <w:bottom w:w="80" w:type="dxa"/>
              <w:end w:w="120" w:type="dxa"/>
            </w:tcMar>
            <w:vAlign w:val="center"/>
            <w:shd w:fill="F7F8FA"/>
          </w:tcPr>
          <w:p>
            <w:pPr>
              <w:spacing w:after="20" w:line="250" w:lineRule="auto"/>
            </w:pPr>
            <w:r>
              <w:t>Build all applications/workers; run format, lint, type, schema, unit, property, contract, integration and browser suites.</w:t>
            </w:r>
          </w:p>
        </w:tc>
      </w:tr>
      <w:tr>
        <w:tc>
          <w:tcPr>
            <w:tcW w:type="dxa" w:w="792"/>
            <w:tcMar>
              <w:top w:w="80" w:type="dxa"/>
              <w:start w:w="120" w:type="dxa"/>
              <w:bottom w:w="80" w:type="dxa"/>
              <w:end w:w="120" w:type="dxa"/>
            </w:tcMar>
            <w:vAlign w:val="center"/>
          </w:tcPr>
          <w:p>
            <w:pPr>
              <w:spacing w:after="20" w:line="250" w:lineRule="auto"/>
            </w:pPr>
            <w:r>
              <w:t>5</w:t>
            </w:r>
          </w:p>
        </w:tc>
        <w:tc>
          <w:tcPr>
            <w:tcW w:type="dxa" w:w="8568"/>
            <w:tcMar>
              <w:top w:w="80" w:type="dxa"/>
              <w:start w:w="120" w:type="dxa"/>
              <w:bottom w:w="80" w:type="dxa"/>
              <w:end w:w="120" w:type="dxa"/>
            </w:tcMar>
            <w:vAlign w:val="center"/>
          </w:tcPr>
          <w:p>
            <w:pPr>
              <w:spacing w:after="20" w:line="250" w:lineRule="auto"/>
            </w:pPr>
            <w:r>
              <w:t>Exercise the slice’s representative role journeys and negative scope/permission/privacy cases.</w:t>
            </w:r>
          </w:p>
        </w:tc>
      </w:tr>
      <w:tr>
        <w:tc>
          <w:tcPr>
            <w:tcW w:type="dxa" w:w="792"/>
            <w:tcMar>
              <w:top w:w="80" w:type="dxa"/>
              <w:start w:w="120" w:type="dxa"/>
              <w:bottom w:w="80" w:type="dxa"/>
              <w:end w:w="120" w:type="dxa"/>
            </w:tcMar>
            <w:vAlign w:val="center"/>
            <w:shd w:fill="F7F8FA"/>
          </w:tcPr>
          <w:p>
            <w:pPr>
              <w:spacing w:after="20" w:line="250" w:lineRule="auto"/>
            </w:pPr>
            <w:r>
              <w:t>6</w:t>
            </w:r>
          </w:p>
        </w:tc>
        <w:tc>
          <w:tcPr>
            <w:tcW w:type="dxa" w:w="8568"/>
            <w:tcMar>
              <w:top w:w="80" w:type="dxa"/>
              <w:start w:w="120" w:type="dxa"/>
              <w:bottom w:w="80" w:type="dxa"/>
              <w:end w:w="120" w:type="dxa"/>
            </w:tcMar>
            <w:vAlign w:val="center"/>
            <w:shd w:fill="F7F8FA"/>
          </w:tcPr>
          <w:p>
            <w:pPr>
              <w:spacing w:after="20" w:line="250" w:lineRule="auto"/>
            </w:pPr>
            <w:r>
              <w:t>Run failure, restart, replay, projection rebuild, rollback/forward and cleanup relevant to the slice.</w:t>
            </w:r>
          </w:p>
        </w:tc>
      </w:tr>
      <w:tr>
        <w:tc>
          <w:tcPr>
            <w:tcW w:type="dxa" w:w="792"/>
            <w:tcMar>
              <w:top w:w="80" w:type="dxa"/>
              <w:start w:w="120" w:type="dxa"/>
              <w:bottom w:w="80" w:type="dxa"/>
              <w:end w:w="120" w:type="dxa"/>
            </w:tcMar>
            <w:vAlign w:val="center"/>
          </w:tcPr>
          <w:p>
            <w:pPr>
              <w:spacing w:after="20" w:line="250" w:lineRule="auto"/>
            </w:pPr>
            <w:r>
              <w:t>7</w:t>
            </w:r>
          </w:p>
        </w:tc>
        <w:tc>
          <w:tcPr>
            <w:tcW w:type="dxa" w:w="8568"/>
            <w:tcMar>
              <w:top w:w="80" w:type="dxa"/>
              <w:start w:w="120" w:type="dxa"/>
              <w:bottom w:w="80" w:type="dxa"/>
              <w:end w:w="120" w:type="dxa"/>
            </w:tcMar>
            <w:vAlign w:val="center"/>
          </w:tcPr>
          <w:p>
            <w:pPr>
              <w:spacing w:after="20" w:line="250" w:lineRule="auto"/>
            </w:pPr>
            <w:r>
              <w:t>Compare canonical ledgers, artifacts and evidence to expected results.</w:t>
            </w:r>
          </w:p>
        </w:tc>
      </w:tr>
      <w:tr>
        <w:tc>
          <w:tcPr>
            <w:tcW w:type="dxa" w:w="792"/>
            <w:tcMar>
              <w:top w:w="80" w:type="dxa"/>
              <w:start w:w="120" w:type="dxa"/>
              <w:bottom w:w="80" w:type="dxa"/>
              <w:end w:w="120" w:type="dxa"/>
            </w:tcMar>
            <w:vAlign w:val="center"/>
            <w:shd w:fill="F7F8FA"/>
          </w:tcPr>
          <w:p>
            <w:pPr>
              <w:spacing w:after="20" w:line="250" w:lineRule="auto"/>
            </w:pPr>
            <w:r>
              <w:t>8</w:t>
            </w:r>
          </w:p>
        </w:tc>
        <w:tc>
          <w:tcPr>
            <w:tcW w:type="dxa" w:w="8568"/>
            <w:tcMar>
              <w:top w:w="80" w:type="dxa"/>
              <w:start w:w="120" w:type="dxa"/>
              <w:bottom w:w="80" w:type="dxa"/>
              <w:end w:w="120" w:type="dxa"/>
            </w:tcMar>
            <w:vAlign w:val="center"/>
            <w:shd w:fill="F7F8FA"/>
          </w:tcPr>
          <w:p>
            <w:pPr>
              <w:spacing w:after="20" w:line="250" w:lineRule="auto"/>
            </w:pPr>
            <w:r>
              <w:t>Record exact commands, durations, versions, outputs and reviewer; destroy test data under policy.</w:t>
            </w:r>
          </w:p>
        </w:tc>
      </w:tr>
    </w:tbl>
    <w:p>
      <w:pPr>
        <w:spacing w:after="0"/>
      </w:pPr>
    </w:p>
    <w:p>
      <w:pPr>
        <w:spacing w:after="0" w:line="20" w:lineRule="exact"/>
      </w:pPr>
      <w:r>
        <w:rPr>
          <w:sz w:val="2"/>
        </w:rPr>
        <w:br w:type="page"/>
      </w:r>
    </w:p>
    <w:p>
      <w:pPr>
        <w:pStyle w:val="Heading1"/>
      </w:pPr>
      <w:r>
        <w:t>16. Slice 12 and G0-G6 release review</w:t>
      </w:r>
    </w:p>
    <w:tbl>
      <w:tblPr>
        <w:tblStyle w:val="TableGrid"/>
        <w:tblW w:type="dxa" w:w="9360"/>
        <w:jc w:val="left"/>
        <w:tblLayout w:type="fixed"/>
        <w:tblLook w:firstColumn="1" w:firstRow="1" w:lastColumn="0" w:lastRow="0" w:noHBand="0" w:noVBand="1" w:val="04A0"/>
        <w:tblInd w:w="120" w:type="dxa"/>
      </w:tblPr>
      <w:tblGrid>
        <w:gridCol w:w="893"/>
        <w:gridCol w:w="5328"/>
        <w:gridCol w:w="3139"/>
      </w:tblGrid>
      <w:tr>
        <w:trPr>
          <w:tblHeader w:val="true"/>
        </w:trPr>
        <w:tc>
          <w:tcPr>
            <w:tcW w:type="dxa" w:w="893"/>
            <w:shd w:fill="E8EEF5"/>
            <w:tcMar>
              <w:top w:w="80" w:type="dxa"/>
              <w:start w:w="120" w:type="dxa"/>
              <w:bottom w:w="80" w:type="dxa"/>
              <w:end w:w="120" w:type="dxa"/>
            </w:tcMar>
          </w:tcPr>
          <w:p>
            <w:r>
              <w:rPr>
                <w:b/>
              </w:rPr>
              <w:t>Gate</w:t>
            </w:r>
          </w:p>
        </w:tc>
        <w:tc>
          <w:tcPr>
            <w:tcW w:type="dxa" w:w="5328"/>
            <w:shd w:fill="E8EEF5"/>
            <w:tcMar>
              <w:top w:w="80" w:type="dxa"/>
              <w:start w:w="120" w:type="dxa"/>
              <w:bottom w:w="80" w:type="dxa"/>
              <w:end w:w="120" w:type="dxa"/>
            </w:tcMar>
          </w:tcPr>
          <w:p>
            <w:r>
              <w:rPr>
                <w:b/>
              </w:rPr>
              <w:t>Independent proof</w:t>
            </w:r>
          </w:p>
        </w:tc>
        <w:tc>
          <w:tcPr>
            <w:tcW w:type="dxa" w:w="3139"/>
            <w:shd w:fill="E8EEF5"/>
            <w:tcMar>
              <w:top w:w="80" w:type="dxa"/>
              <w:start w:w="120" w:type="dxa"/>
              <w:bottom w:w="80" w:type="dxa"/>
              <w:end w:w="120" w:type="dxa"/>
            </w:tcMar>
          </w:tcPr>
          <w:p>
            <w:r>
              <w:rPr>
                <w:b/>
              </w:rPr>
              <w:t>Hard stop</w:t>
            </w:r>
          </w:p>
        </w:tc>
      </w:tr>
      <w:tr>
        <w:tc>
          <w:tcPr>
            <w:tcW w:type="dxa" w:w="893"/>
            <w:tcMar>
              <w:top w:w="80" w:type="dxa"/>
              <w:start w:w="120" w:type="dxa"/>
              <w:bottom w:w="80" w:type="dxa"/>
              <w:end w:w="120" w:type="dxa"/>
            </w:tcMar>
            <w:vAlign w:val="center"/>
          </w:tcPr>
          <w:p>
            <w:pPr>
              <w:spacing w:after="20" w:line="250" w:lineRule="auto"/>
            </w:pPr>
            <w:r>
              <w:t>G0 Blueprint ratified</w:t>
            </w:r>
          </w:p>
        </w:tc>
        <w:tc>
          <w:tcPr>
            <w:tcW w:type="dxa" w:w="5328"/>
            <w:tcMar>
              <w:top w:w="80" w:type="dxa"/>
              <w:start w:w="120" w:type="dxa"/>
              <w:bottom w:w="80" w:type="dxa"/>
              <w:end w:w="120" w:type="dxa"/>
            </w:tcMar>
            <w:vAlign w:val="center"/>
          </w:tcPr>
          <w:p>
            <w:pPr>
              <w:spacing w:after="20" w:line="250" w:lineRule="auto"/>
            </w:pPr>
            <w:r>
              <w:t>CEO approval and current architecture decision record.</w:t>
            </w:r>
          </w:p>
        </w:tc>
        <w:tc>
          <w:tcPr>
            <w:tcW w:type="dxa" w:w="3139"/>
            <w:tcMar>
              <w:top w:w="80" w:type="dxa"/>
              <w:start w:w="120" w:type="dxa"/>
              <w:bottom w:w="80" w:type="dxa"/>
              <w:end w:w="120" w:type="dxa"/>
            </w:tcMar>
            <w:vAlign w:val="center"/>
          </w:tcPr>
          <w:p>
            <w:pPr>
              <w:spacing w:after="20" w:line="250" w:lineRule="auto"/>
            </w:pPr>
            <w:r>
              <w:t>Blueprint/ADR changed without ratification.</w:t>
            </w:r>
          </w:p>
        </w:tc>
      </w:tr>
      <w:tr>
        <w:tc>
          <w:tcPr>
            <w:tcW w:type="dxa" w:w="893"/>
            <w:tcMar>
              <w:top w:w="80" w:type="dxa"/>
              <w:start w:w="120" w:type="dxa"/>
              <w:bottom w:w="80" w:type="dxa"/>
              <w:end w:w="120" w:type="dxa"/>
            </w:tcMar>
            <w:vAlign w:val="center"/>
            <w:shd w:fill="F7F8FA"/>
          </w:tcPr>
          <w:p>
            <w:pPr>
              <w:spacing w:after="20" w:line="250" w:lineRule="auto"/>
            </w:pPr>
            <w:r>
              <w:t>G1 Foundation safe</w:t>
            </w:r>
          </w:p>
        </w:tc>
        <w:tc>
          <w:tcPr>
            <w:tcW w:type="dxa" w:w="5328"/>
            <w:tcMar>
              <w:top w:w="80" w:type="dxa"/>
              <w:start w:w="120" w:type="dxa"/>
              <w:bottom w:w="80" w:type="dxa"/>
              <w:end w:w="120" w:type="dxa"/>
            </w:tcMar>
            <w:vAlign w:val="center"/>
            <w:shd w:fill="F7F8FA"/>
          </w:tcPr>
          <w:p>
            <w:pPr>
              <w:spacing w:after="20" w:line="250" w:lineRule="auto"/>
            </w:pPr>
            <w:r>
              <w:t>Isolation, permissions, audit, migrations, secrets and deployment/rollback.</w:t>
            </w:r>
          </w:p>
        </w:tc>
        <w:tc>
          <w:tcPr>
            <w:tcW w:type="dxa" w:w="3139"/>
            <w:tcMar>
              <w:top w:w="80" w:type="dxa"/>
              <w:start w:w="120" w:type="dxa"/>
              <w:bottom w:w="80" w:type="dxa"/>
              <w:end w:w="120" w:type="dxa"/>
            </w:tcMar>
            <w:vAlign w:val="center"/>
            <w:shd w:fill="F7F8FA"/>
          </w:tcPr>
          <w:p>
            <w:pPr>
              <w:spacing w:after="20" w:line="250" w:lineRule="auto"/>
            </w:pPr>
            <w:r>
              <w:t>Any foundation hard fail or stale evidence.</w:t>
            </w:r>
          </w:p>
        </w:tc>
      </w:tr>
      <w:tr>
        <w:tc>
          <w:tcPr>
            <w:tcW w:type="dxa" w:w="893"/>
            <w:tcMar>
              <w:top w:w="80" w:type="dxa"/>
              <w:start w:w="120" w:type="dxa"/>
              <w:bottom w:w="80" w:type="dxa"/>
              <w:end w:w="120" w:type="dxa"/>
            </w:tcMar>
            <w:vAlign w:val="center"/>
          </w:tcPr>
          <w:p>
            <w:pPr>
              <w:spacing w:after="20" w:line="250" w:lineRule="auto"/>
            </w:pPr>
            <w:r>
              <w:t>G2 Domain acceptance</w:t>
            </w:r>
          </w:p>
        </w:tc>
        <w:tc>
          <w:tcPr>
            <w:tcW w:type="dxa" w:w="5328"/>
            <w:tcMar>
              <w:top w:w="80" w:type="dxa"/>
              <w:start w:w="120" w:type="dxa"/>
              <w:bottom w:w="80" w:type="dxa"/>
              <w:end w:w="120" w:type="dxa"/>
            </w:tcMar>
            <w:vAlign w:val="center"/>
          </w:tcPr>
          <w:p>
            <w:pPr>
              <w:spacing w:after="20" w:line="250" w:lineRule="auto"/>
            </w:pPr>
            <w:r>
              <w:t>Every Slice 1-11 frontend/backend exit and handoff accepted.</w:t>
            </w:r>
          </w:p>
        </w:tc>
        <w:tc>
          <w:tcPr>
            <w:tcW w:type="dxa" w:w="3139"/>
            <w:tcMar>
              <w:top w:w="80" w:type="dxa"/>
              <w:start w:w="120" w:type="dxa"/>
              <w:bottom w:w="80" w:type="dxa"/>
              <w:end w:w="120" w:type="dxa"/>
            </w:tcMar>
            <w:vAlign w:val="center"/>
          </w:tcPr>
          <w:p>
            <w:pPr>
              <w:spacing w:after="20" w:line="250" w:lineRule="auto"/>
            </w:pPr>
            <w:r>
              <w:t>Skipped prompt, orphan criterion or unresolved slice gate.</w:t>
            </w:r>
          </w:p>
        </w:tc>
      </w:tr>
      <w:tr>
        <w:tc>
          <w:tcPr>
            <w:tcW w:type="dxa" w:w="893"/>
            <w:tcMar>
              <w:top w:w="80" w:type="dxa"/>
              <w:start w:w="120" w:type="dxa"/>
              <w:bottom w:w="80" w:type="dxa"/>
              <w:end w:w="120" w:type="dxa"/>
            </w:tcMar>
            <w:vAlign w:val="center"/>
            <w:shd w:fill="F7F8FA"/>
          </w:tcPr>
          <w:p>
            <w:pPr>
              <w:spacing w:after="20" w:line="250" w:lineRule="auto"/>
            </w:pPr>
            <w:r>
              <w:t>G3 Reference event</w:t>
            </w:r>
          </w:p>
        </w:tc>
        <w:tc>
          <w:tcPr>
            <w:tcW w:type="dxa" w:w="5328"/>
            <w:tcMar>
              <w:top w:w="80" w:type="dxa"/>
              <w:start w:w="120" w:type="dxa"/>
              <w:bottom w:w="80" w:type="dxa"/>
              <w:end w:w="120" w:type="dxa"/>
            </w:tcMar>
            <w:vAlign w:val="center"/>
            <w:shd w:fill="F7F8FA"/>
          </w:tcPr>
          <w:p>
            <w:pPr>
              <w:spacing w:after="20" w:line="250" w:lineRule="auto"/>
            </w:pPr>
            <w:r>
              <w:t>600 guests, target load, nine devices/offline, failures, recovery and all ledgers reconciled.</w:t>
            </w:r>
          </w:p>
        </w:tc>
        <w:tc>
          <w:tcPr>
            <w:tcW w:type="dxa" w:w="3139"/>
            <w:tcMar>
              <w:top w:w="80" w:type="dxa"/>
              <w:start w:w="120" w:type="dxa"/>
              <w:bottom w:w="80" w:type="dxa"/>
              <w:end w:w="120" w:type="dxa"/>
            </w:tcMar>
            <w:vAlign w:val="center"/>
            <w:shd w:fill="F7F8FA"/>
          </w:tcPr>
          <w:p>
            <w:pPr>
              <w:spacing w:after="20" w:line="250" w:lineRule="auto"/>
            </w:pPr>
            <w:r>
              <w:t>Hidden intervention, lost event or unexplained difference.</w:t>
            </w:r>
          </w:p>
        </w:tc>
      </w:tr>
      <w:tr>
        <w:tc>
          <w:tcPr>
            <w:tcW w:type="dxa" w:w="893"/>
            <w:tcMar>
              <w:top w:w="80" w:type="dxa"/>
              <w:start w:w="120" w:type="dxa"/>
              <w:bottom w:w="80" w:type="dxa"/>
              <w:end w:w="120" w:type="dxa"/>
            </w:tcMar>
            <w:vAlign w:val="center"/>
          </w:tcPr>
          <w:p>
            <w:pPr>
              <w:spacing w:after="20" w:line="250" w:lineRule="auto"/>
            </w:pPr>
            <w:r>
              <w:t>G4 AI shadow</w:t>
            </w:r>
          </w:p>
        </w:tc>
        <w:tc>
          <w:tcPr>
            <w:tcW w:type="dxa" w:w="5328"/>
            <w:tcMar>
              <w:top w:w="80" w:type="dxa"/>
              <w:start w:w="120" w:type="dxa"/>
              <w:bottom w:w="80" w:type="dxa"/>
              <w:end w:w="120" w:type="dxa"/>
            </w:tcMar>
            <w:vAlign w:val="center"/>
          </w:tcPr>
          <w:p>
            <w:pPr>
              <w:spacing w:after="20" w:line="250" w:lineRule="auto"/>
            </w:pPr>
            <w:r>
              <w:t>Grounding, accuracy/calibration, privacy, safety and zero execution authority.</w:t>
            </w:r>
          </w:p>
        </w:tc>
        <w:tc>
          <w:tcPr>
            <w:tcW w:type="dxa" w:w="3139"/>
            <w:tcMar>
              <w:top w:w="80" w:type="dxa"/>
              <w:start w:w="120" w:type="dxa"/>
              <w:bottom w:w="80" w:type="dxa"/>
              <w:end w:w="120" w:type="dxa"/>
            </w:tcMar>
            <w:vAlign w:val="center"/>
          </w:tcPr>
          <w:p>
            <w:pPr>
              <w:spacing w:after="20" w:line="250" w:lineRule="auto"/>
            </w:pPr>
            <w:r>
              <w:t>AI capability or evidence exceeds approved stage.</w:t>
            </w:r>
          </w:p>
        </w:tc>
      </w:tr>
      <w:tr>
        <w:tc>
          <w:tcPr>
            <w:tcW w:type="dxa" w:w="893"/>
            <w:tcMar>
              <w:top w:w="80" w:type="dxa"/>
              <w:start w:w="120" w:type="dxa"/>
              <w:bottom w:w="80" w:type="dxa"/>
              <w:end w:w="120" w:type="dxa"/>
            </w:tcMar>
            <w:vAlign w:val="center"/>
            <w:shd w:fill="F7F8FA"/>
          </w:tcPr>
          <w:p>
            <w:pPr>
              <w:spacing w:after="20" w:line="250" w:lineRule="auto"/>
            </w:pPr>
            <w:r>
              <w:t>G5 Supervised pilot</w:t>
            </w:r>
          </w:p>
        </w:tc>
        <w:tc>
          <w:tcPr>
            <w:tcW w:type="dxa" w:w="5328"/>
            <w:tcMar>
              <w:top w:w="80" w:type="dxa"/>
              <w:start w:w="120" w:type="dxa"/>
              <w:bottom w:w="80" w:type="dxa"/>
              <w:end w:w="120" w:type="dxa"/>
            </w:tcMar>
            <w:vAlign w:val="center"/>
            <w:shd w:fill="F7F8FA"/>
          </w:tcPr>
          <w:p>
            <w:pPr>
              <w:spacing w:after="20" w:line="250" w:lineRule="auto"/>
            </w:pPr>
            <w:r>
              <w:t>Exact candidate/scope, observed roles, incidents, stop/fallback, close and reconciliation.</w:t>
            </w:r>
          </w:p>
        </w:tc>
        <w:tc>
          <w:tcPr>
            <w:tcW w:type="dxa" w:w="3139"/>
            <w:tcMar>
              <w:top w:w="80" w:type="dxa"/>
              <w:start w:w="120" w:type="dxa"/>
              <w:bottom w:w="80" w:type="dxa"/>
              <w:end w:w="120" w:type="dxa"/>
            </w:tcMar>
            <w:vAlign w:val="center"/>
            <w:shd w:fill="F7F8FA"/>
          </w:tcPr>
          <w:p>
            <w:pPr>
              <w:spacing w:after="20" w:line="250" w:lineRule="auto"/>
            </w:pPr>
            <w:r>
              <w:t>Hotfix without new candidate/replay; open material finding.</w:t>
            </w:r>
          </w:p>
        </w:tc>
      </w:tr>
      <w:tr>
        <w:tc>
          <w:tcPr>
            <w:tcW w:type="dxa" w:w="893"/>
            <w:tcMar>
              <w:top w:w="80" w:type="dxa"/>
              <w:start w:w="120" w:type="dxa"/>
              <w:bottom w:w="80" w:type="dxa"/>
              <w:end w:w="120" w:type="dxa"/>
            </w:tcMar>
            <w:vAlign w:val="center"/>
          </w:tcPr>
          <w:p>
            <w:pPr>
              <w:spacing w:after="20" w:line="250" w:lineRule="auto"/>
            </w:pPr>
            <w:r>
              <w:t>G6 Production authorisation</w:t>
            </w:r>
          </w:p>
        </w:tc>
        <w:tc>
          <w:tcPr>
            <w:tcW w:type="dxa" w:w="5328"/>
            <w:tcMar>
              <w:top w:w="80" w:type="dxa"/>
              <w:start w:w="120" w:type="dxa"/>
              <w:bottom w:w="80" w:type="dxa"/>
              <w:end w:w="120" w:type="dxa"/>
            </w:tcMar>
            <w:vAlign w:val="center"/>
          </w:tcPr>
          <w:p>
            <w:pPr>
              <w:spacing w:after="20" w:line="250" w:lineRule="auto"/>
            </w:pPr>
            <w:r>
              <w:t>CEO exact scope/stage/conditions/expiry, support, monitoring, rollback and specialist states.</w:t>
            </w:r>
          </w:p>
        </w:tc>
        <w:tc>
          <w:tcPr>
            <w:tcW w:type="dxa" w:w="3139"/>
            <w:tcMar>
              <w:top w:w="80" w:type="dxa"/>
              <w:start w:w="120" w:type="dxa"/>
              <w:bottom w:w="80" w:type="dxa"/>
              <w:end w:w="120" w:type="dxa"/>
            </w:tcMar>
            <w:vAlign w:val="center"/>
          </w:tcPr>
          <w:p>
            <w:pPr>
              <w:spacing w:after="20" w:line="250" w:lineRule="auto"/>
            </w:pPr>
            <w:r>
              <w:t>Ambiguous/broad authority or unready recovery/support.</w:t>
            </w:r>
          </w:p>
        </w:tc>
      </w:tr>
    </w:tbl>
    <w:p>
      <w:pPr>
        <w:spacing w:after="0"/>
      </w:pPr>
    </w:p>
    <w:p>
      <w:pPr>
        <w:pStyle w:val="Heading2"/>
      </w:pPr>
      <w:r>
        <w:t>16.1 Final reviewer questions</w:t>
      </w:r>
    </w:p>
    <w:p>
      <w:pPr>
        <w:pStyle w:val="ListBullet"/>
        <w:spacing w:after="60"/>
      </w:pPr>
      <w:r>
        <w:t>Can each intended role complete the full lifecycle safely through the frontend?</w:t>
      </w:r>
    </w:p>
    <w:p>
      <w:pPr>
        <w:pStyle w:val="ListBullet"/>
        <w:spacing w:after="60"/>
      </w:pPr>
      <w:r>
        <w:t>Can every consequential state be traced to canonical data, evidence and human authority?</w:t>
      </w:r>
    </w:p>
    <w:p>
      <w:pPr>
        <w:pStyle w:val="ListBullet"/>
        <w:spacing w:after="60"/>
      </w:pPr>
      <w:r>
        <w:t>Does the exact release candidate survive load, offline operation, provider/system failure, restore and rollback without hidden loss?</w:t>
      </w:r>
    </w:p>
    <w:p>
      <w:pPr>
        <w:pStyle w:val="ListBullet"/>
        <w:spacing w:after="60"/>
      </w:pPr>
      <w:r>
        <w:t>Are privacy, retention, rights and deletion true after rebuild/restore and across providers?</w:t>
      </w:r>
    </w:p>
    <w:p>
      <w:pPr>
        <w:pStyle w:val="ListBullet"/>
        <w:spacing w:after="60"/>
      </w:pPr>
      <w:r>
        <w:t>Are all defects, observations, incidents, differences and residual risks visible, owned and correctly authorised?</w:t>
      </w:r>
    </w:p>
    <w:p>
      <w:pPr>
        <w:pStyle w:val="ListBullet"/>
        <w:spacing w:after="60"/>
      </w:pPr>
      <w:r>
        <w:t>Are AI, FaceGate and cross-event stages exact and independently gated?</w:t>
      </w:r>
    </w:p>
    <w:p>
      <w:pPr>
        <w:pStyle w:val="ListBullet"/>
        <w:spacing w:after="60"/>
      </w:pPr>
      <w:r>
        <w:t>Can operations detect, support, stop and reverse the released stage?</w:t>
      </w:r>
    </w:p>
    <w:p>
      <w:pPr>
        <w:pStyle w:val="ListBullet"/>
        <w:spacing w:after="60"/>
      </w:pPr>
      <w:r>
        <w:t>Does the CEO decision bind one exact candidate and scope rather than confer general permission?</w:t>
      </w:r>
    </w:p>
    <w:p>
      <w:pPr>
        <w:spacing w:after="0" w:line="20" w:lineRule="exact"/>
      </w:pPr>
      <w:r>
        <w:rPr>
          <w:sz w:val="2"/>
        </w:rPr>
        <w:br w:type="page"/>
      </w:r>
    </w:p>
    <w:p>
      <w:pPr>
        <w:pStyle w:val="Heading1"/>
      </w:pPr>
      <w:r>
        <w:t>Appendix A — Prompt Acceptance Certificate</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E8EEF5"/>
            <w:tcMar>
              <w:top w:w="80" w:type="dxa"/>
              <w:start w:w="120" w:type="dxa"/>
              <w:bottom w:w="80" w:type="dxa"/>
              <w:end w:w="120" w:type="dxa"/>
            </w:tcMar>
          </w:tcPr>
          <w:p>
            <w:r>
              <w:rPr>
                <w:b/>
              </w:rPr>
              <w:t>Field</w:t>
            </w:r>
          </w:p>
        </w:tc>
        <w:tc>
          <w:tcPr>
            <w:tcW w:type="dxa" w:w="6840"/>
            <w:shd w:fill="E8EEF5"/>
            <w:tcMar>
              <w:top w:w="80" w:type="dxa"/>
              <w:start w:w="120" w:type="dxa"/>
              <w:bottom w:w="80" w:type="dxa"/>
              <w:end w:w="120" w:type="dxa"/>
            </w:tcMar>
          </w:tcPr>
          <w:p>
            <w:r>
              <w:rPr>
                <w:b/>
              </w:rPr>
              <w:t>Record</w:t>
            </w:r>
          </w:p>
        </w:tc>
      </w:tr>
      <w:tr>
        <w:tc>
          <w:tcPr>
            <w:tcW w:type="dxa" w:w="2520"/>
            <w:tcMar>
              <w:top w:w="80" w:type="dxa"/>
              <w:start w:w="120" w:type="dxa"/>
              <w:bottom w:w="80" w:type="dxa"/>
              <w:end w:w="120" w:type="dxa"/>
            </w:tcMar>
            <w:vAlign w:val="center"/>
          </w:tcPr>
          <w:p>
            <w:pPr>
              <w:spacing w:after="20" w:line="250" w:lineRule="auto"/>
            </w:pPr>
            <w:r>
              <w:t>Prompt ID/title</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Controlling clauses</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Accepted base</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Claimed commit</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Reviewed diff</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Automated evidence</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Browser/role/device evidence</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Negative/failure evidence</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Migration/data/reconciliation</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Security/privacy/accessibility</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Findings</w:t>
            </w:r>
          </w:p>
        </w:tc>
        <w:tc>
          <w:tcPr>
            <w:tcW w:type="dxa" w:w="6840"/>
            <w:tcMar>
              <w:top w:w="80" w:type="dxa"/>
              <w:start w:w="120" w:type="dxa"/>
              <w:bottom w:w="80" w:type="dxa"/>
              <w:end w:w="120" w:type="dxa"/>
            </w:tcMar>
            <w:vAlign w:val="center"/>
          </w:tcPr>
          <w:p>
            <w:pPr>
              <w:spacing w:after="20" w:line="250" w:lineRule="auto"/>
            </w:pPr>
            <w:r>
              <w:t>NONE / IDs: ____________________________</w:t>
            </w:r>
          </w:p>
        </w:tc>
      </w:tr>
      <w:tr>
        <w:tc>
          <w:tcPr>
            <w:tcW w:type="dxa" w:w="2520"/>
            <w:tcMar>
              <w:top w:w="80" w:type="dxa"/>
              <w:start w:w="120" w:type="dxa"/>
              <w:bottom w:w="80" w:type="dxa"/>
              <w:end w:w="120" w:type="dxa"/>
            </w:tcMar>
            <w:vAlign w:val="center"/>
            <w:shd w:fill="F7F8FA"/>
          </w:tcPr>
          <w:p>
            <w:pPr>
              <w:spacing w:after="20" w:line="250" w:lineRule="auto"/>
            </w:pPr>
            <w:r>
              <w:t>Items brought forward</w:t>
            </w:r>
          </w:p>
        </w:tc>
        <w:tc>
          <w:tcPr>
            <w:tcW w:type="dxa" w:w="6840"/>
            <w:tcMar>
              <w:top w:w="80" w:type="dxa"/>
              <w:start w:w="120" w:type="dxa"/>
              <w:bottom w:w="80" w:type="dxa"/>
              <w:end w:w="120" w:type="dxa"/>
            </w:tcMar>
            <w:vAlign w:val="center"/>
            <w:shd w:fill="F7F8FA"/>
          </w:tcPr>
          <w:p>
            <w:pPr>
              <w:spacing w:after="20" w:line="250" w:lineRule="auto"/>
            </w:pPr>
            <w:r>
              <w:t>NONE / authorised details: ____________________________</w:t>
            </w:r>
          </w:p>
        </w:tc>
      </w:tr>
      <w:tr>
        <w:tc>
          <w:tcPr>
            <w:tcW w:type="dxa" w:w="2520"/>
            <w:tcMar>
              <w:top w:w="80" w:type="dxa"/>
              <w:start w:w="120" w:type="dxa"/>
              <w:bottom w:w="80" w:type="dxa"/>
              <w:end w:w="120" w:type="dxa"/>
            </w:tcMar>
            <w:vAlign w:val="center"/>
          </w:tcPr>
          <w:p>
            <w:pPr>
              <w:spacing w:after="20" w:line="250" w:lineRule="auto"/>
            </w:pPr>
            <w:r>
              <w:t>Decision</w:t>
            </w:r>
          </w:p>
        </w:tc>
        <w:tc>
          <w:tcPr>
            <w:tcW w:type="dxa" w:w="6840"/>
            <w:tcMar>
              <w:top w:w="80" w:type="dxa"/>
              <w:start w:w="120" w:type="dxa"/>
              <w:bottom w:w="80" w:type="dxa"/>
              <w:end w:w="120" w:type="dxa"/>
            </w:tcMar>
            <w:vAlign w:val="center"/>
          </w:tcPr>
          <w:p>
            <w:pPr>
              <w:spacing w:after="20" w:line="250" w:lineRule="auto"/>
            </w:pPr>
            <w:r>
              <w:t>ACCEPTED / CORRECTION REQUIRED / BLOCKED</w:t>
            </w:r>
          </w:p>
        </w:tc>
      </w:tr>
      <w:tr>
        <w:tc>
          <w:tcPr>
            <w:tcW w:type="dxa" w:w="2520"/>
            <w:tcMar>
              <w:top w:w="80" w:type="dxa"/>
              <w:start w:w="120" w:type="dxa"/>
              <w:bottom w:w="80" w:type="dxa"/>
              <w:end w:w="120" w:type="dxa"/>
            </w:tcMar>
            <w:vAlign w:val="center"/>
            <w:shd w:fill="F7F8FA"/>
          </w:tcPr>
          <w:p>
            <w:pPr>
              <w:spacing w:after="20" w:line="250" w:lineRule="auto"/>
            </w:pPr>
            <w:r>
              <w:t>Accepted full commit</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r>
        <w:tc>
          <w:tcPr>
            <w:tcW w:type="dxa" w:w="2520"/>
            <w:tcMar>
              <w:top w:w="80" w:type="dxa"/>
              <w:start w:w="120" w:type="dxa"/>
              <w:bottom w:w="80" w:type="dxa"/>
              <w:end w:w="120" w:type="dxa"/>
            </w:tcMar>
            <w:vAlign w:val="center"/>
          </w:tcPr>
          <w:p>
            <w:pPr>
              <w:spacing w:after="20" w:line="250" w:lineRule="auto"/>
            </w:pPr>
            <w:r>
              <w:t>Reviewer/date</w:t>
            </w:r>
          </w:p>
        </w:tc>
        <w:tc>
          <w:tcPr>
            <w:tcW w:type="dxa" w:w="6840"/>
            <w:tcMar>
              <w:top w:w="80" w:type="dxa"/>
              <w:start w:w="120" w:type="dxa"/>
              <w:bottom w:w="80" w:type="dxa"/>
              <w:end w:w="120" w:type="dxa"/>
            </w:tcMar>
            <w:vAlign w:val="center"/>
          </w:tcPr>
          <w:p>
            <w:pPr>
              <w:spacing w:after="20" w:line="250" w:lineRule="auto"/>
            </w:pPr>
            <w:r>
              <w:t>____________________________</w:t>
            </w:r>
          </w:p>
        </w:tc>
      </w:tr>
      <w:tr>
        <w:tc>
          <w:tcPr>
            <w:tcW w:type="dxa" w:w="2520"/>
            <w:tcMar>
              <w:top w:w="80" w:type="dxa"/>
              <w:start w:w="120" w:type="dxa"/>
              <w:bottom w:w="80" w:type="dxa"/>
              <w:end w:w="120" w:type="dxa"/>
            </w:tcMar>
            <w:vAlign w:val="center"/>
            <w:shd w:fill="F7F8FA"/>
          </w:tcPr>
          <w:p>
            <w:pPr>
              <w:spacing w:after="20" w:line="250" w:lineRule="auto"/>
            </w:pPr>
            <w:r>
              <w:t>Next authorised action</w:t>
            </w:r>
          </w:p>
        </w:tc>
        <w:tc>
          <w:tcPr>
            <w:tcW w:type="dxa" w:w="6840"/>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Required acceptance statement</w:t>
            </w:r>
          </w:p>
        </w:tc>
      </w:tr>
      <w:tr>
        <w:tc>
          <w:tcPr>
            <w:tcW w:type="dxa" w:w="9360"/>
            <w:tcMar>
              <w:top w:w="80" w:type="dxa"/>
              <w:start w:w="120" w:type="dxa"/>
              <w:bottom w:w="80" w:type="dxa"/>
              <w:end w:w="120" w:type="dxa"/>
            </w:tcMar>
            <w:vAlign w:val="center"/>
            <w:shd w:fill="FFF8E8"/>
          </w:tcPr>
          <w:p>
            <w:pPr>
              <w:spacing w:after="20" w:line="250" w:lineRule="auto"/>
            </w:pPr>
            <w:r>
              <w:t>I independently reviewed the exact subject above against the controlling specification and prompt. The recorded evidence is reproducible and current. My decision does not expand scope, waive a hard invariant or authorise production.</w:t>
            </w:r>
          </w:p>
        </w:tc>
      </w:tr>
    </w:tbl>
    <w:p>
      <w:pPr>
        <w:spacing w:after="0"/>
      </w:pPr>
    </w:p>
    <w:p>
      <w:pPr>
        <w:spacing w:after="0" w:line="20" w:lineRule="exact"/>
      </w:pPr>
      <w:r>
        <w:rPr>
          <w:sz w:val="2"/>
        </w:rPr>
        <w:br w:type="page"/>
      </w:r>
    </w:p>
    <w:p>
      <w:pPr>
        <w:pStyle w:val="Heading1"/>
      </w:pPr>
      <w:r>
        <w:t>Appendix B — Correction Notice</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trPr>
        <w:tc>
          <w:tcPr>
            <w:tcW w:type="dxa" w:w="2592"/>
            <w:shd w:fill="E8EEF5"/>
            <w:tcMar>
              <w:top w:w="80" w:type="dxa"/>
              <w:start w:w="120" w:type="dxa"/>
              <w:bottom w:w="80" w:type="dxa"/>
              <w:end w:w="120" w:type="dxa"/>
            </w:tcMar>
          </w:tcPr>
          <w:p>
            <w:r>
              <w:rPr>
                <w:b/>
              </w:rPr>
              <w:t>Field</w:t>
            </w:r>
          </w:p>
        </w:tc>
        <w:tc>
          <w:tcPr>
            <w:tcW w:type="dxa" w:w="6768"/>
            <w:shd w:fill="E8EEF5"/>
            <w:tcMar>
              <w:top w:w="80" w:type="dxa"/>
              <w:start w:w="120" w:type="dxa"/>
              <w:bottom w:w="80" w:type="dxa"/>
              <w:end w:w="120" w:type="dxa"/>
            </w:tcMar>
          </w:tcPr>
          <w:p>
            <w:r>
              <w:rPr>
                <w:b/>
              </w:rPr>
              <w:t>Record</w:t>
            </w:r>
          </w:p>
        </w:tc>
      </w:tr>
      <w:tr>
        <w:tc>
          <w:tcPr>
            <w:tcW w:type="dxa" w:w="2592"/>
            <w:tcMar>
              <w:top w:w="80" w:type="dxa"/>
              <w:start w:w="120" w:type="dxa"/>
              <w:bottom w:w="80" w:type="dxa"/>
              <w:end w:w="120" w:type="dxa"/>
            </w:tcMar>
            <w:vAlign w:val="center"/>
          </w:tcPr>
          <w:p>
            <w:pPr>
              <w:spacing w:after="20" w:line="250" w:lineRule="auto"/>
            </w:pPr>
            <w:r>
              <w:t>Prompt / claimed commit</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Finding ID/severity</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Failed requirement/law</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Expected behavior</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Observed behavior</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Reproduction/evidence</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Affected data/journey/scope</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Security/privacy/authority impact</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Candidate/evidence invalidation</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Required correction</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Regression scope</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Owner/target</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Status</w:t>
            </w:r>
          </w:p>
        </w:tc>
        <w:tc>
          <w:tcPr>
            <w:tcW w:type="dxa" w:w="6768"/>
            <w:tcMar>
              <w:top w:w="80" w:type="dxa"/>
              <w:start w:w="120" w:type="dxa"/>
              <w:bottom w:w="80" w:type="dxa"/>
              <w:end w:w="120" w:type="dxa"/>
            </w:tcMar>
            <w:vAlign w:val="center"/>
          </w:tcPr>
          <w:p>
            <w:pPr>
              <w:spacing w:after="20" w:line="250" w:lineRule="auto"/>
            </w:pPr>
            <w:r>
              <w:t>OPEN / READY FOR RE-REVIEW / CLOSED</w:t>
            </w:r>
          </w:p>
        </w:tc>
      </w:tr>
      <w:tr>
        <w:tc>
          <w:tcPr>
            <w:tcW w:type="dxa" w:w="2592"/>
            <w:tcMar>
              <w:top w:w="80" w:type="dxa"/>
              <w:start w:w="120" w:type="dxa"/>
              <w:bottom w:w="80" w:type="dxa"/>
              <w:end w:w="120" w:type="dxa"/>
            </w:tcMar>
            <w:vAlign w:val="center"/>
            <w:shd w:fill="F7F8FA"/>
          </w:tcPr>
          <w:p>
            <w:pPr>
              <w:spacing w:after="20" w:line="250" w:lineRule="auto"/>
            </w:pPr>
            <w:r>
              <w:t>Reviewer/date</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p>
      <w:pPr>
        <w:pStyle w:val="Heading1"/>
      </w:pPr>
      <w:r>
        <w:t>Appendix C — Blocked Decision Request</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trPr>
        <w:tc>
          <w:tcPr>
            <w:tcW w:type="dxa" w:w="2592"/>
            <w:shd w:fill="E8EEF5"/>
            <w:tcMar>
              <w:top w:w="80" w:type="dxa"/>
              <w:start w:w="120" w:type="dxa"/>
              <w:bottom w:w="80" w:type="dxa"/>
              <w:end w:w="120" w:type="dxa"/>
            </w:tcMar>
          </w:tcPr>
          <w:p>
            <w:r>
              <w:rPr>
                <w:b/>
              </w:rPr>
              <w:t>Field</w:t>
            </w:r>
          </w:p>
        </w:tc>
        <w:tc>
          <w:tcPr>
            <w:tcW w:type="dxa" w:w="6768"/>
            <w:shd w:fill="E8EEF5"/>
            <w:tcMar>
              <w:top w:w="80" w:type="dxa"/>
              <w:start w:w="120" w:type="dxa"/>
              <w:bottom w:w="80" w:type="dxa"/>
              <w:end w:w="120" w:type="dxa"/>
            </w:tcMar>
          </w:tcPr>
          <w:p>
            <w:r>
              <w:rPr>
                <w:b/>
              </w:rPr>
              <w:t>Record</w:t>
            </w:r>
          </w:p>
        </w:tc>
      </w:tr>
      <w:tr>
        <w:tc>
          <w:tcPr>
            <w:tcW w:type="dxa" w:w="2592"/>
            <w:tcMar>
              <w:top w:w="80" w:type="dxa"/>
              <w:start w:w="120" w:type="dxa"/>
              <w:bottom w:w="80" w:type="dxa"/>
              <w:end w:w="120" w:type="dxa"/>
            </w:tcMar>
            <w:vAlign w:val="center"/>
          </w:tcPr>
          <w:p>
            <w:pPr>
              <w:spacing w:after="20" w:line="250" w:lineRule="auto"/>
            </w:pPr>
            <w:r>
              <w:t>Prompt</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Blocking question</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Why implementation cannot safely continue</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Controlling clauses</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Options and consequences</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Recommended default</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Required authority</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Interim safe state/flags</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Decision and rationale</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Scope/version/effective date</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Review trigger/expiry</w:t>
            </w:r>
          </w:p>
        </w:tc>
        <w:tc>
          <w:tcPr>
            <w:tcW w:type="dxa" w:w="6768"/>
            <w:tcMar>
              <w:top w:w="80" w:type="dxa"/>
              <w:start w:w="120" w:type="dxa"/>
              <w:bottom w:w="80" w:type="dxa"/>
              <w:end w:w="120" w:type="dxa"/>
            </w:tcMar>
            <w:vAlign w:val="center"/>
          </w:tcPr>
          <w:p>
            <w:pPr>
              <w:spacing w:after="20" w:line="250" w:lineRule="auto"/>
            </w:pPr>
            <w:r>
              <w:t>____________________________</w:t>
            </w:r>
          </w:p>
        </w:tc>
      </w:tr>
    </w:tbl>
    <w:p>
      <w:pPr>
        <w:spacing w:after="0"/>
      </w:pPr>
    </w:p>
    <w:p>
      <w:pPr>
        <w:spacing w:after="0" w:line="20" w:lineRule="exact"/>
      </w:pPr>
      <w:r>
        <w:rPr>
          <w:sz w:val="2"/>
        </w:rPr>
        <w:br w:type="page"/>
      </w:r>
    </w:p>
    <w:p>
      <w:pPr>
        <w:pStyle w:val="Heading1"/>
      </w:pPr>
      <w:r>
        <w:t>Appendix D — Observed Frontend Task Record</w:t>
      </w:r>
    </w:p>
    <w:tbl>
      <w:tblPr>
        <w:tblStyle w:val="TableGrid"/>
        <w:tblW w:type="dxa" w:w="9360"/>
        <w:jc w:val="left"/>
        <w:tblLayout w:type="fixed"/>
        <w:tblLook w:firstColumn="1" w:firstRow="1" w:lastColumn="0" w:lastRow="0" w:noHBand="0" w:noVBand="1" w:val="04A0"/>
        <w:tblInd w:w="120" w:type="dxa"/>
      </w:tblPr>
      <w:tblGrid>
        <w:gridCol w:w="2664"/>
        <w:gridCol w:w="6696"/>
      </w:tblGrid>
      <w:tr>
        <w:trPr>
          <w:tblHeader w:val="true"/>
        </w:trPr>
        <w:tc>
          <w:tcPr>
            <w:tcW w:type="dxa" w:w="2664"/>
            <w:shd w:fill="E8EEF5"/>
            <w:tcMar>
              <w:top w:w="80" w:type="dxa"/>
              <w:start w:w="120" w:type="dxa"/>
              <w:bottom w:w="80" w:type="dxa"/>
              <w:end w:w="120" w:type="dxa"/>
            </w:tcMar>
          </w:tcPr>
          <w:p>
            <w:r>
              <w:rPr>
                <w:b/>
              </w:rPr>
              <w:t>Field</w:t>
            </w:r>
          </w:p>
        </w:tc>
        <w:tc>
          <w:tcPr>
            <w:tcW w:type="dxa" w:w="6696"/>
            <w:shd w:fill="E8EEF5"/>
            <w:tcMar>
              <w:top w:w="80" w:type="dxa"/>
              <w:start w:w="120" w:type="dxa"/>
              <w:bottom w:w="80" w:type="dxa"/>
              <w:end w:w="120" w:type="dxa"/>
            </w:tcMar>
          </w:tcPr>
          <w:p>
            <w:r>
              <w:rPr>
                <w:b/>
              </w:rPr>
              <w:t>Record</w:t>
            </w:r>
          </w:p>
        </w:tc>
      </w:tr>
      <w:tr>
        <w:tc>
          <w:tcPr>
            <w:tcW w:type="dxa" w:w="2664"/>
            <w:tcMar>
              <w:top w:w="80" w:type="dxa"/>
              <w:start w:w="120" w:type="dxa"/>
              <w:bottom w:w="80" w:type="dxa"/>
              <w:end w:w="120" w:type="dxa"/>
            </w:tcMar>
            <w:vAlign w:val="center"/>
          </w:tcPr>
          <w:p>
            <w:pPr>
              <w:spacing w:after="20" w:line="250" w:lineRule="auto"/>
            </w:pPr>
            <w:r>
              <w:t>Candidate/commit</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Role and task</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Device/browser/viewport</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Assistive/input method</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Network/data state</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Start/end/completion</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Errors/pauses/wrong turns</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User explanation of state/next step</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Assistance/workaround</w:t>
            </w:r>
          </w:p>
        </w:tc>
        <w:tc>
          <w:tcPr>
            <w:tcW w:type="dxa" w:w="6696"/>
            <w:tcMar>
              <w:top w:w="80" w:type="dxa"/>
              <w:start w:w="120" w:type="dxa"/>
              <w:bottom w:w="80" w:type="dxa"/>
              <w:end w:w="120" w:type="dxa"/>
            </w:tcMar>
            <w:vAlign w:val="center"/>
          </w:tcPr>
          <w:p>
            <w:pPr>
              <w:spacing w:after="20" w:line="250" w:lineRule="auto"/>
            </w:pPr>
            <w:r>
              <w:t>NONE / details: ____________________________</w:t>
            </w:r>
          </w:p>
        </w:tc>
      </w:tr>
      <w:tr>
        <w:tc>
          <w:tcPr>
            <w:tcW w:type="dxa" w:w="2664"/>
            <w:tcMar>
              <w:top w:w="80" w:type="dxa"/>
              <w:start w:w="120" w:type="dxa"/>
              <w:bottom w:w="80" w:type="dxa"/>
              <w:end w:w="120" w:type="dxa"/>
            </w:tcMar>
            <w:vAlign w:val="center"/>
            <w:shd w:fill="F7F8FA"/>
          </w:tcPr>
          <w:p>
            <w:pPr>
              <w:spacing w:after="20" w:line="250" w:lineRule="auto"/>
            </w:pPr>
            <w:r>
              <w:t>Privacy/dignity/safety observation</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Finding/severity</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Correction/retest</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Observer/date</w:t>
            </w:r>
          </w:p>
        </w:tc>
        <w:tc>
          <w:tcPr>
            <w:tcW w:type="dxa" w:w="6696"/>
            <w:tcMar>
              <w:top w:w="80" w:type="dxa"/>
              <w:start w:w="120" w:type="dxa"/>
              <w:bottom w:w="80" w:type="dxa"/>
              <w:end w:w="120" w:type="dxa"/>
            </w:tcMar>
            <w:vAlign w:val="center"/>
          </w:tcPr>
          <w:p>
            <w:pPr>
              <w:spacing w:after="20" w:line="250" w:lineRule="auto"/>
            </w:pPr>
            <w:r>
              <w:t>____________________________</w:t>
            </w:r>
          </w:p>
        </w:tc>
      </w:tr>
    </w:tbl>
    <w:p>
      <w:pPr>
        <w:spacing w:after="0"/>
      </w:pPr>
    </w:p>
    <w:p>
      <w:pPr>
        <w:pStyle w:val="Heading1"/>
      </w:pPr>
      <w:r>
        <w:t>Appendix E — Reconciliation Review Record</w:t>
      </w:r>
    </w:p>
    <w:tbl>
      <w:tblPr>
        <w:tblStyle w:val="TableGrid"/>
        <w:tblW w:type="dxa" w:w="9360"/>
        <w:jc w:val="left"/>
        <w:tblLayout w:type="fixed"/>
        <w:tblLook w:firstColumn="1" w:firstRow="1" w:lastColumn="0" w:lastRow="0" w:noHBand="0" w:noVBand="1" w:val="04A0"/>
        <w:tblInd w:w="120" w:type="dxa"/>
      </w:tblPr>
      <w:tblGrid>
        <w:gridCol w:w="1800"/>
        <w:gridCol w:w="1440"/>
        <w:gridCol w:w="1440"/>
        <w:gridCol w:w="2952"/>
        <w:gridCol w:w="1728"/>
      </w:tblGrid>
      <w:tr>
        <w:trPr>
          <w:tblHeader w:val="true"/>
        </w:trPr>
        <w:tc>
          <w:tcPr>
            <w:tcW w:type="dxa" w:w="1800"/>
            <w:shd w:fill="E8EEF5"/>
            <w:tcMar>
              <w:top w:w="80" w:type="dxa"/>
              <w:start w:w="120" w:type="dxa"/>
              <w:bottom w:w="80" w:type="dxa"/>
              <w:end w:w="120" w:type="dxa"/>
            </w:tcMar>
          </w:tcPr>
          <w:p>
            <w:r>
              <w:rPr>
                <w:b/>
              </w:rPr>
              <w:t>Ledger/source</w:t>
            </w:r>
          </w:p>
        </w:tc>
        <w:tc>
          <w:tcPr>
            <w:tcW w:type="dxa" w:w="1440"/>
            <w:shd w:fill="E8EEF5"/>
            <w:tcMar>
              <w:top w:w="80" w:type="dxa"/>
              <w:start w:w="120" w:type="dxa"/>
              <w:bottom w:w="80" w:type="dxa"/>
              <w:end w:w="120" w:type="dxa"/>
            </w:tcMar>
          </w:tcPr>
          <w:p>
            <w:r>
              <w:rPr>
                <w:b/>
              </w:rPr>
              <w:t>Expected</w:t>
            </w:r>
          </w:p>
        </w:tc>
        <w:tc>
          <w:tcPr>
            <w:tcW w:type="dxa" w:w="1440"/>
            <w:shd w:fill="E8EEF5"/>
            <w:tcMar>
              <w:top w:w="80" w:type="dxa"/>
              <w:start w:w="120" w:type="dxa"/>
              <w:bottom w:w="80" w:type="dxa"/>
              <w:end w:w="120" w:type="dxa"/>
            </w:tcMar>
          </w:tcPr>
          <w:p>
            <w:r>
              <w:rPr>
                <w:b/>
              </w:rPr>
              <w:t>Actual</w:t>
            </w:r>
          </w:p>
        </w:tc>
        <w:tc>
          <w:tcPr>
            <w:tcW w:type="dxa" w:w="2952"/>
            <w:shd w:fill="E8EEF5"/>
            <w:tcMar>
              <w:top w:w="80" w:type="dxa"/>
              <w:start w:w="120" w:type="dxa"/>
              <w:bottom w:w="80" w:type="dxa"/>
              <w:end w:w="120" w:type="dxa"/>
            </w:tcMar>
          </w:tcPr>
          <w:p>
            <w:r>
              <w:rPr>
                <w:b/>
              </w:rPr>
              <w:t>Difference/cause</w:t>
            </w:r>
          </w:p>
        </w:tc>
        <w:tc>
          <w:tcPr>
            <w:tcW w:type="dxa" w:w="1728"/>
            <w:shd w:fill="E8EEF5"/>
            <w:tcMar>
              <w:top w:w="80" w:type="dxa"/>
              <w:start w:w="120" w:type="dxa"/>
              <w:bottom w:w="80" w:type="dxa"/>
              <w:end w:w="120" w:type="dxa"/>
            </w:tcMar>
          </w:tcPr>
          <w:p>
            <w:r>
              <w:rPr>
                <w:b/>
              </w:rPr>
              <w:t>Owner/status</w:t>
            </w:r>
          </w:p>
        </w:tc>
      </w:tr>
      <w:tr>
        <w:tc>
          <w:tcPr>
            <w:tcW w:type="dxa" w:w="1800"/>
            <w:tcMar>
              <w:top w:w="80" w:type="dxa"/>
              <w:start w:w="120" w:type="dxa"/>
              <w:bottom w:w="80" w:type="dxa"/>
              <w:end w:w="120" w:type="dxa"/>
            </w:tcMar>
            <w:vAlign w:val="center"/>
          </w:tcPr>
          <w:p>
            <w:pPr>
              <w:spacing w:after="20" w:line="250" w:lineRule="auto"/>
            </w:pPr>
            <w:r>
              <w:t>Guest lifecycle</w:t>
            </w:r>
          </w:p>
        </w:tc>
        <w:tc>
          <w:tcPr>
            <w:tcW w:type="dxa" w:w="1440"/>
            <w:tcMar>
              <w:top w:w="80" w:type="dxa"/>
              <w:start w:w="120" w:type="dxa"/>
              <w:bottom w:w="80" w:type="dxa"/>
              <w:end w:w="120" w:type="dxa"/>
            </w:tcMar>
            <w:vAlign w:val="center"/>
          </w:tcPr>
          <w:p>
            <w:pPr>
              <w:spacing w:after="20" w:line="250" w:lineRule="auto"/>
            </w:pPr>
            <w:r/>
          </w:p>
        </w:tc>
        <w:tc>
          <w:tcPr>
            <w:tcW w:type="dxa" w:w="1440"/>
            <w:tcMar>
              <w:top w:w="80" w:type="dxa"/>
              <w:start w:w="120" w:type="dxa"/>
              <w:bottom w:w="80" w:type="dxa"/>
              <w:end w:w="120" w:type="dxa"/>
            </w:tcMar>
            <w:vAlign w:val="center"/>
          </w:tcPr>
          <w:p>
            <w:pPr>
              <w:spacing w:after="20" w:line="250" w:lineRule="auto"/>
            </w:pPr>
            <w:r/>
          </w:p>
        </w:tc>
        <w:tc>
          <w:tcPr>
            <w:tcW w:type="dxa" w:w="2952"/>
            <w:tcMar>
              <w:top w:w="80" w:type="dxa"/>
              <w:start w:w="120" w:type="dxa"/>
              <w:bottom w:w="80" w:type="dxa"/>
              <w:end w:w="120" w:type="dxa"/>
            </w:tcMar>
            <w:vAlign w:val="center"/>
          </w:tcPr>
          <w:p>
            <w:pPr>
              <w:spacing w:after="20" w:line="250" w:lineRule="auto"/>
            </w:pPr>
            <w:r/>
          </w:p>
        </w:tc>
        <w:tc>
          <w:tcPr>
            <w:tcW w:type="dxa" w:w="1728"/>
            <w:tcMar>
              <w:top w:w="80" w:type="dxa"/>
              <w:start w:w="120" w:type="dxa"/>
              <w:bottom w:w="80" w:type="dxa"/>
              <w:end w:w="120" w:type="dxa"/>
            </w:tcMar>
            <w:vAlign w:val="center"/>
          </w:tcPr>
          <w:p>
            <w:pPr>
              <w:spacing w:after="20" w:line="250" w:lineRule="auto"/>
            </w:pPr>
            <w:r/>
          </w:p>
        </w:tc>
      </w:tr>
      <w:tr>
        <w:tc>
          <w:tcPr>
            <w:tcW w:type="dxa" w:w="1800"/>
            <w:tcMar>
              <w:top w:w="80" w:type="dxa"/>
              <w:start w:w="120" w:type="dxa"/>
              <w:bottom w:w="80" w:type="dxa"/>
              <w:end w:w="120" w:type="dxa"/>
            </w:tcMar>
            <w:vAlign w:val="center"/>
            <w:shd w:fill="F7F8FA"/>
          </w:tcPr>
          <w:p>
            <w:pPr>
              <w:spacing w:after="20" w:line="250" w:lineRule="auto"/>
            </w:pPr>
            <w:r>
              <w:t>RSVP/headcount</w:t>
            </w:r>
          </w:p>
        </w:tc>
        <w:tc>
          <w:tcPr>
            <w:tcW w:type="dxa" w:w="1440"/>
            <w:tcMar>
              <w:top w:w="80" w:type="dxa"/>
              <w:start w:w="120" w:type="dxa"/>
              <w:bottom w:w="80" w:type="dxa"/>
              <w:end w:w="120" w:type="dxa"/>
            </w:tcMar>
            <w:vAlign w:val="center"/>
            <w:shd w:fill="F7F8FA"/>
          </w:tcPr>
          <w:p>
            <w:pPr>
              <w:spacing w:after="20" w:line="250" w:lineRule="auto"/>
            </w:pPr>
            <w:r/>
          </w:p>
        </w:tc>
        <w:tc>
          <w:tcPr>
            <w:tcW w:type="dxa" w:w="1440"/>
            <w:tcMar>
              <w:top w:w="80" w:type="dxa"/>
              <w:start w:w="120" w:type="dxa"/>
              <w:bottom w:w="80" w:type="dxa"/>
              <w:end w:w="120" w:type="dxa"/>
            </w:tcMar>
            <w:vAlign w:val="center"/>
            <w:shd w:fill="F7F8FA"/>
          </w:tcPr>
          <w:p>
            <w:pPr>
              <w:spacing w:after="20" w:line="250" w:lineRule="auto"/>
            </w:pPr>
            <w:r/>
          </w:p>
        </w:tc>
        <w:tc>
          <w:tcPr>
            <w:tcW w:type="dxa" w:w="2952"/>
            <w:tcMar>
              <w:top w:w="80" w:type="dxa"/>
              <w:start w:w="120" w:type="dxa"/>
              <w:bottom w:w="80" w:type="dxa"/>
              <w:end w:w="120" w:type="dxa"/>
            </w:tcMar>
            <w:vAlign w:val="center"/>
            <w:shd w:fill="F7F8FA"/>
          </w:tcPr>
          <w:p>
            <w:pPr>
              <w:spacing w:after="20" w:line="250" w:lineRule="auto"/>
            </w:pPr>
            <w:r/>
          </w:p>
        </w:tc>
        <w:tc>
          <w:tcPr>
            <w:tcW w:type="dxa" w:w="1728"/>
            <w:tcMar>
              <w:top w:w="80" w:type="dxa"/>
              <w:start w:w="120" w:type="dxa"/>
              <w:bottom w:w="80" w:type="dxa"/>
              <w:end w:w="120" w:type="dxa"/>
            </w:tcMar>
            <w:vAlign w:val="center"/>
            <w:shd w:fill="F7F8FA"/>
          </w:tcPr>
          <w:p>
            <w:pPr>
              <w:spacing w:after="20" w:line="250" w:lineRule="auto"/>
            </w:pPr>
            <w:r/>
          </w:p>
        </w:tc>
      </w:tr>
      <w:tr>
        <w:tc>
          <w:tcPr>
            <w:tcW w:type="dxa" w:w="1800"/>
            <w:tcMar>
              <w:top w:w="80" w:type="dxa"/>
              <w:start w:w="120" w:type="dxa"/>
              <w:bottom w:w="80" w:type="dxa"/>
              <w:end w:w="120" w:type="dxa"/>
            </w:tcMar>
            <w:vAlign w:val="center"/>
          </w:tcPr>
          <w:p>
            <w:pPr>
              <w:spacing w:after="20" w:line="250" w:lineRule="auto"/>
            </w:pPr>
            <w:r>
              <w:t>Communications/providers</w:t>
            </w:r>
          </w:p>
        </w:tc>
        <w:tc>
          <w:tcPr>
            <w:tcW w:type="dxa" w:w="1440"/>
            <w:tcMar>
              <w:top w:w="80" w:type="dxa"/>
              <w:start w:w="120" w:type="dxa"/>
              <w:bottom w:w="80" w:type="dxa"/>
              <w:end w:w="120" w:type="dxa"/>
            </w:tcMar>
            <w:vAlign w:val="center"/>
          </w:tcPr>
          <w:p>
            <w:pPr>
              <w:spacing w:after="20" w:line="250" w:lineRule="auto"/>
            </w:pPr>
            <w:r/>
          </w:p>
        </w:tc>
        <w:tc>
          <w:tcPr>
            <w:tcW w:type="dxa" w:w="1440"/>
            <w:tcMar>
              <w:top w:w="80" w:type="dxa"/>
              <w:start w:w="120" w:type="dxa"/>
              <w:bottom w:w="80" w:type="dxa"/>
              <w:end w:w="120" w:type="dxa"/>
            </w:tcMar>
            <w:vAlign w:val="center"/>
          </w:tcPr>
          <w:p>
            <w:pPr>
              <w:spacing w:after="20" w:line="250" w:lineRule="auto"/>
            </w:pPr>
            <w:r/>
          </w:p>
        </w:tc>
        <w:tc>
          <w:tcPr>
            <w:tcW w:type="dxa" w:w="2952"/>
            <w:tcMar>
              <w:top w:w="80" w:type="dxa"/>
              <w:start w:w="120" w:type="dxa"/>
              <w:bottom w:w="80" w:type="dxa"/>
              <w:end w:w="120" w:type="dxa"/>
            </w:tcMar>
            <w:vAlign w:val="center"/>
          </w:tcPr>
          <w:p>
            <w:pPr>
              <w:spacing w:after="20" w:line="250" w:lineRule="auto"/>
            </w:pPr>
            <w:r/>
          </w:p>
        </w:tc>
        <w:tc>
          <w:tcPr>
            <w:tcW w:type="dxa" w:w="1728"/>
            <w:tcMar>
              <w:top w:w="80" w:type="dxa"/>
              <w:start w:w="120" w:type="dxa"/>
              <w:bottom w:w="80" w:type="dxa"/>
              <w:end w:w="120" w:type="dxa"/>
            </w:tcMar>
            <w:vAlign w:val="center"/>
          </w:tcPr>
          <w:p>
            <w:pPr>
              <w:spacing w:after="20" w:line="250" w:lineRule="auto"/>
            </w:pPr>
            <w:r/>
          </w:p>
        </w:tc>
      </w:tr>
      <w:tr>
        <w:tc>
          <w:tcPr>
            <w:tcW w:type="dxa" w:w="1800"/>
            <w:tcMar>
              <w:top w:w="80" w:type="dxa"/>
              <w:start w:w="120" w:type="dxa"/>
              <w:bottom w:w="80" w:type="dxa"/>
              <w:end w:w="120" w:type="dxa"/>
            </w:tcMar>
            <w:vAlign w:val="center"/>
            <w:shd w:fill="F7F8FA"/>
          </w:tcPr>
          <w:p>
            <w:pPr>
              <w:spacing w:after="20" w:line="250" w:lineRule="auto"/>
            </w:pPr>
            <w:r>
              <w:t>Seating</w:t>
            </w:r>
          </w:p>
        </w:tc>
        <w:tc>
          <w:tcPr>
            <w:tcW w:type="dxa" w:w="1440"/>
            <w:tcMar>
              <w:top w:w="80" w:type="dxa"/>
              <w:start w:w="120" w:type="dxa"/>
              <w:bottom w:w="80" w:type="dxa"/>
              <w:end w:w="120" w:type="dxa"/>
            </w:tcMar>
            <w:vAlign w:val="center"/>
            <w:shd w:fill="F7F8FA"/>
          </w:tcPr>
          <w:p>
            <w:pPr>
              <w:spacing w:after="20" w:line="250" w:lineRule="auto"/>
            </w:pPr>
            <w:r/>
          </w:p>
        </w:tc>
        <w:tc>
          <w:tcPr>
            <w:tcW w:type="dxa" w:w="1440"/>
            <w:tcMar>
              <w:top w:w="80" w:type="dxa"/>
              <w:start w:w="120" w:type="dxa"/>
              <w:bottom w:w="80" w:type="dxa"/>
              <w:end w:w="120" w:type="dxa"/>
            </w:tcMar>
            <w:vAlign w:val="center"/>
            <w:shd w:fill="F7F8FA"/>
          </w:tcPr>
          <w:p>
            <w:pPr>
              <w:spacing w:after="20" w:line="250" w:lineRule="auto"/>
            </w:pPr>
            <w:r/>
          </w:p>
        </w:tc>
        <w:tc>
          <w:tcPr>
            <w:tcW w:type="dxa" w:w="2952"/>
            <w:tcMar>
              <w:top w:w="80" w:type="dxa"/>
              <w:start w:w="120" w:type="dxa"/>
              <w:bottom w:w="80" w:type="dxa"/>
              <w:end w:w="120" w:type="dxa"/>
            </w:tcMar>
            <w:vAlign w:val="center"/>
            <w:shd w:fill="F7F8FA"/>
          </w:tcPr>
          <w:p>
            <w:pPr>
              <w:spacing w:after="20" w:line="250" w:lineRule="auto"/>
            </w:pPr>
            <w:r/>
          </w:p>
        </w:tc>
        <w:tc>
          <w:tcPr>
            <w:tcW w:type="dxa" w:w="1728"/>
            <w:tcMar>
              <w:top w:w="80" w:type="dxa"/>
              <w:start w:w="120" w:type="dxa"/>
              <w:bottom w:w="80" w:type="dxa"/>
              <w:end w:w="120" w:type="dxa"/>
            </w:tcMar>
            <w:vAlign w:val="center"/>
            <w:shd w:fill="F7F8FA"/>
          </w:tcPr>
          <w:p>
            <w:pPr>
              <w:spacing w:after="20" w:line="250" w:lineRule="auto"/>
            </w:pPr>
            <w:r/>
          </w:p>
        </w:tc>
      </w:tr>
      <w:tr>
        <w:tc>
          <w:tcPr>
            <w:tcW w:type="dxa" w:w="1800"/>
            <w:tcMar>
              <w:top w:w="80" w:type="dxa"/>
              <w:start w:w="120" w:type="dxa"/>
              <w:bottom w:w="80" w:type="dxa"/>
              <w:end w:w="120" w:type="dxa"/>
            </w:tcMar>
            <w:vAlign w:val="center"/>
          </w:tcPr>
          <w:p>
            <w:pPr>
              <w:spacing w:after="20" w:line="250" w:lineRule="auto"/>
            </w:pPr>
            <w:r>
              <w:t>Credentials</w:t>
            </w:r>
          </w:p>
        </w:tc>
        <w:tc>
          <w:tcPr>
            <w:tcW w:type="dxa" w:w="1440"/>
            <w:tcMar>
              <w:top w:w="80" w:type="dxa"/>
              <w:start w:w="120" w:type="dxa"/>
              <w:bottom w:w="80" w:type="dxa"/>
              <w:end w:w="120" w:type="dxa"/>
            </w:tcMar>
            <w:vAlign w:val="center"/>
          </w:tcPr>
          <w:p>
            <w:pPr>
              <w:spacing w:after="20" w:line="250" w:lineRule="auto"/>
            </w:pPr>
            <w:r/>
          </w:p>
        </w:tc>
        <w:tc>
          <w:tcPr>
            <w:tcW w:type="dxa" w:w="1440"/>
            <w:tcMar>
              <w:top w:w="80" w:type="dxa"/>
              <w:start w:w="120" w:type="dxa"/>
              <w:bottom w:w="80" w:type="dxa"/>
              <w:end w:w="120" w:type="dxa"/>
            </w:tcMar>
            <w:vAlign w:val="center"/>
          </w:tcPr>
          <w:p>
            <w:pPr>
              <w:spacing w:after="20" w:line="250" w:lineRule="auto"/>
            </w:pPr>
            <w:r/>
          </w:p>
        </w:tc>
        <w:tc>
          <w:tcPr>
            <w:tcW w:type="dxa" w:w="2952"/>
            <w:tcMar>
              <w:top w:w="80" w:type="dxa"/>
              <w:start w:w="120" w:type="dxa"/>
              <w:bottom w:w="80" w:type="dxa"/>
              <w:end w:w="120" w:type="dxa"/>
            </w:tcMar>
            <w:vAlign w:val="center"/>
          </w:tcPr>
          <w:p>
            <w:pPr>
              <w:spacing w:after="20" w:line="250" w:lineRule="auto"/>
            </w:pPr>
            <w:r/>
          </w:p>
        </w:tc>
        <w:tc>
          <w:tcPr>
            <w:tcW w:type="dxa" w:w="1728"/>
            <w:tcMar>
              <w:top w:w="80" w:type="dxa"/>
              <w:start w:w="120" w:type="dxa"/>
              <w:bottom w:w="80" w:type="dxa"/>
              <w:end w:w="120" w:type="dxa"/>
            </w:tcMar>
            <w:vAlign w:val="center"/>
          </w:tcPr>
          <w:p>
            <w:pPr>
              <w:spacing w:after="20" w:line="250" w:lineRule="auto"/>
            </w:pPr>
            <w:r/>
          </w:p>
        </w:tc>
      </w:tr>
      <w:tr>
        <w:tc>
          <w:tcPr>
            <w:tcW w:type="dxa" w:w="1800"/>
            <w:tcMar>
              <w:top w:w="80" w:type="dxa"/>
              <w:start w:w="120" w:type="dxa"/>
              <w:bottom w:w="80" w:type="dxa"/>
              <w:end w:w="120" w:type="dxa"/>
            </w:tcMar>
            <w:vAlign w:val="center"/>
            <w:shd w:fill="F7F8FA"/>
          </w:tcPr>
          <w:p>
            <w:pPr>
              <w:spacing w:after="20" w:line="250" w:lineRule="auto"/>
            </w:pPr>
            <w:r>
              <w:t>EDR/devices</w:t>
            </w:r>
          </w:p>
        </w:tc>
        <w:tc>
          <w:tcPr>
            <w:tcW w:type="dxa" w:w="1440"/>
            <w:tcMar>
              <w:top w:w="80" w:type="dxa"/>
              <w:start w:w="120" w:type="dxa"/>
              <w:bottom w:w="80" w:type="dxa"/>
              <w:end w:w="120" w:type="dxa"/>
            </w:tcMar>
            <w:vAlign w:val="center"/>
            <w:shd w:fill="F7F8FA"/>
          </w:tcPr>
          <w:p>
            <w:pPr>
              <w:spacing w:after="20" w:line="250" w:lineRule="auto"/>
            </w:pPr>
            <w:r/>
          </w:p>
        </w:tc>
        <w:tc>
          <w:tcPr>
            <w:tcW w:type="dxa" w:w="1440"/>
            <w:tcMar>
              <w:top w:w="80" w:type="dxa"/>
              <w:start w:w="120" w:type="dxa"/>
              <w:bottom w:w="80" w:type="dxa"/>
              <w:end w:w="120" w:type="dxa"/>
            </w:tcMar>
            <w:vAlign w:val="center"/>
            <w:shd w:fill="F7F8FA"/>
          </w:tcPr>
          <w:p>
            <w:pPr>
              <w:spacing w:after="20" w:line="250" w:lineRule="auto"/>
            </w:pPr>
            <w:r/>
          </w:p>
        </w:tc>
        <w:tc>
          <w:tcPr>
            <w:tcW w:type="dxa" w:w="2952"/>
            <w:tcMar>
              <w:top w:w="80" w:type="dxa"/>
              <w:start w:w="120" w:type="dxa"/>
              <w:bottom w:w="80" w:type="dxa"/>
              <w:end w:w="120" w:type="dxa"/>
            </w:tcMar>
            <w:vAlign w:val="center"/>
            <w:shd w:fill="F7F8FA"/>
          </w:tcPr>
          <w:p>
            <w:pPr>
              <w:spacing w:after="20" w:line="250" w:lineRule="auto"/>
            </w:pPr>
            <w:r/>
          </w:p>
        </w:tc>
        <w:tc>
          <w:tcPr>
            <w:tcW w:type="dxa" w:w="1728"/>
            <w:tcMar>
              <w:top w:w="80" w:type="dxa"/>
              <w:start w:w="120" w:type="dxa"/>
              <w:bottom w:w="80" w:type="dxa"/>
              <w:end w:w="120" w:type="dxa"/>
            </w:tcMar>
            <w:vAlign w:val="center"/>
            <w:shd w:fill="F7F8FA"/>
          </w:tcPr>
          <w:p>
            <w:pPr>
              <w:spacing w:after="20" w:line="250" w:lineRule="auto"/>
            </w:pPr>
            <w:r/>
          </w:p>
        </w:tc>
      </w:tr>
      <w:tr>
        <w:tc>
          <w:tcPr>
            <w:tcW w:type="dxa" w:w="1800"/>
            <w:tcMar>
              <w:top w:w="80" w:type="dxa"/>
              <w:start w:w="120" w:type="dxa"/>
              <w:bottom w:w="80" w:type="dxa"/>
              <w:end w:w="120" w:type="dxa"/>
            </w:tcMar>
            <w:vAlign w:val="center"/>
          </w:tcPr>
          <w:p>
            <w:pPr>
              <w:spacing w:after="20" w:line="250" w:lineRule="auto"/>
            </w:pPr>
            <w:r>
              <w:t>Standards/intelligence</w:t>
            </w:r>
          </w:p>
        </w:tc>
        <w:tc>
          <w:tcPr>
            <w:tcW w:type="dxa" w:w="1440"/>
            <w:tcMar>
              <w:top w:w="80" w:type="dxa"/>
              <w:start w:w="120" w:type="dxa"/>
              <w:bottom w:w="80" w:type="dxa"/>
              <w:end w:w="120" w:type="dxa"/>
            </w:tcMar>
            <w:vAlign w:val="center"/>
          </w:tcPr>
          <w:p>
            <w:pPr>
              <w:spacing w:after="20" w:line="250" w:lineRule="auto"/>
            </w:pPr>
            <w:r/>
          </w:p>
        </w:tc>
        <w:tc>
          <w:tcPr>
            <w:tcW w:type="dxa" w:w="1440"/>
            <w:tcMar>
              <w:top w:w="80" w:type="dxa"/>
              <w:start w:w="120" w:type="dxa"/>
              <w:bottom w:w="80" w:type="dxa"/>
              <w:end w:w="120" w:type="dxa"/>
            </w:tcMar>
            <w:vAlign w:val="center"/>
          </w:tcPr>
          <w:p>
            <w:pPr>
              <w:spacing w:after="20" w:line="250" w:lineRule="auto"/>
            </w:pPr>
            <w:r/>
          </w:p>
        </w:tc>
        <w:tc>
          <w:tcPr>
            <w:tcW w:type="dxa" w:w="2952"/>
            <w:tcMar>
              <w:top w:w="80" w:type="dxa"/>
              <w:start w:w="120" w:type="dxa"/>
              <w:bottom w:w="80" w:type="dxa"/>
              <w:end w:w="120" w:type="dxa"/>
            </w:tcMar>
            <w:vAlign w:val="center"/>
          </w:tcPr>
          <w:p>
            <w:pPr>
              <w:spacing w:after="20" w:line="250" w:lineRule="auto"/>
            </w:pPr>
            <w:r/>
          </w:p>
        </w:tc>
        <w:tc>
          <w:tcPr>
            <w:tcW w:type="dxa" w:w="1728"/>
            <w:tcMar>
              <w:top w:w="80" w:type="dxa"/>
              <w:start w:w="120" w:type="dxa"/>
              <w:bottom w:w="80" w:type="dxa"/>
              <w:end w:w="120" w:type="dxa"/>
            </w:tcMar>
            <w:vAlign w:val="center"/>
          </w:tcPr>
          <w:p>
            <w:pPr>
              <w:spacing w:after="20" w:line="250" w:lineRule="auto"/>
            </w:pPr>
            <w:r/>
          </w:p>
        </w:tc>
      </w:tr>
      <w:tr>
        <w:tc>
          <w:tcPr>
            <w:tcW w:type="dxa" w:w="1800"/>
            <w:tcMar>
              <w:top w:w="80" w:type="dxa"/>
              <w:start w:w="120" w:type="dxa"/>
              <w:bottom w:w="80" w:type="dxa"/>
              <w:end w:w="120" w:type="dxa"/>
            </w:tcMar>
            <w:vAlign w:val="center"/>
            <w:shd w:fill="F7F8FA"/>
          </w:tcPr>
          <w:p>
            <w:pPr>
              <w:spacing w:after="20" w:line="250" w:lineRule="auto"/>
            </w:pPr>
            <w:r>
              <w:t>FaceGate if enabled</w:t>
            </w:r>
          </w:p>
        </w:tc>
        <w:tc>
          <w:tcPr>
            <w:tcW w:type="dxa" w:w="1440"/>
            <w:tcMar>
              <w:top w:w="80" w:type="dxa"/>
              <w:start w:w="120" w:type="dxa"/>
              <w:bottom w:w="80" w:type="dxa"/>
              <w:end w:w="120" w:type="dxa"/>
            </w:tcMar>
            <w:vAlign w:val="center"/>
            <w:shd w:fill="F7F8FA"/>
          </w:tcPr>
          <w:p>
            <w:pPr>
              <w:spacing w:after="20" w:line="250" w:lineRule="auto"/>
            </w:pPr>
            <w:r/>
          </w:p>
        </w:tc>
        <w:tc>
          <w:tcPr>
            <w:tcW w:type="dxa" w:w="1440"/>
            <w:tcMar>
              <w:top w:w="80" w:type="dxa"/>
              <w:start w:w="120" w:type="dxa"/>
              <w:bottom w:w="80" w:type="dxa"/>
              <w:end w:w="120" w:type="dxa"/>
            </w:tcMar>
            <w:vAlign w:val="center"/>
            <w:shd w:fill="F7F8FA"/>
          </w:tcPr>
          <w:p>
            <w:pPr>
              <w:spacing w:after="20" w:line="250" w:lineRule="auto"/>
            </w:pPr>
            <w:r/>
          </w:p>
        </w:tc>
        <w:tc>
          <w:tcPr>
            <w:tcW w:type="dxa" w:w="2952"/>
            <w:tcMar>
              <w:top w:w="80" w:type="dxa"/>
              <w:start w:w="120" w:type="dxa"/>
              <w:bottom w:w="80" w:type="dxa"/>
              <w:end w:w="120" w:type="dxa"/>
            </w:tcMar>
            <w:vAlign w:val="center"/>
            <w:shd w:fill="F7F8FA"/>
          </w:tcPr>
          <w:p>
            <w:pPr>
              <w:spacing w:after="20" w:line="250" w:lineRule="auto"/>
            </w:pPr>
            <w:r/>
          </w:p>
        </w:tc>
        <w:tc>
          <w:tcPr>
            <w:tcW w:type="dxa" w:w="1728"/>
            <w:tcMar>
              <w:top w:w="80" w:type="dxa"/>
              <w:start w:w="120" w:type="dxa"/>
              <w:bottom w:w="80" w:type="dxa"/>
              <w:end w:w="120" w:type="dxa"/>
            </w:tcMar>
            <w:vAlign w:val="center"/>
            <w:shd w:fill="F7F8FA"/>
          </w:tcPr>
          <w:p>
            <w:pPr>
              <w:spacing w:after="20" w:line="250" w:lineRule="auto"/>
            </w:pPr>
            <w:r/>
          </w:p>
        </w:tc>
      </w:tr>
      <w:tr>
        <w:tc>
          <w:tcPr>
            <w:tcW w:type="dxa" w:w="1800"/>
            <w:tcMar>
              <w:top w:w="80" w:type="dxa"/>
              <w:start w:w="120" w:type="dxa"/>
              <w:bottom w:w="80" w:type="dxa"/>
              <w:end w:w="120" w:type="dxa"/>
            </w:tcMar>
            <w:vAlign w:val="center"/>
          </w:tcPr>
          <w:p>
            <w:pPr>
              <w:spacing w:after="20" w:line="250" w:lineRule="auto"/>
            </w:pPr>
            <w:r>
              <w:t>Cross-event if enabled</w:t>
            </w:r>
          </w:p>
        </w:tc>
        <w:tc>
          <w:tcPr>
            <w:tcW w:type="dxa" w:w="1440"/>
            <w:tcMar>
              <w:top w:w="80" w:type="dxa"/>
              <w:start w:w="120" w:type="dxa"/>
              <w:bottom w:w="80" w:type="dxa"/>
              <w:end w:w="120" w:type="dxa"/>
            </w:tcMar>
            <w:vAlign w:val="center"/>
          </w:tcPr>
          <w:p>
            <w:pPr>
              <w:spacing w:after="20" w:line="250" w:lineRule="auto"/>
            </w:pPr>
            <w:r/>
          </w:p>
        </w:tc>
        <w:tc>
          <w:tcPr>
            <w:tcW w:type="dxa" w:w="1440"/>
            <w:tcMar>
              <w:top w:w="80" w:type="dxa"/>
              <w:start w:w="120" w:type="dxa"/>
              <w:bottom w:w="80" w:type="dxa"/>
              <w:end w:w="120" w:type="dxa"/>
            </w:tcMar>
            <w:vAlign w:val="center"/>
          </w:tcPr>
          <w:p>
            <w:pPr>
              <w:spacing w:after="20" w:line="250" w:lineRule="auto"/>
            </w:pPr>
            <w:r/>
          </w:p>
        </w:tc>
        <w:tc>
          <w:tcPr>
            <w:tcW w:type="dxa" w:w="2952"/>
            <w:tcMar>
              <w:top w:w="80" w:type="dxa"/>
              <w:start w:w="120" w:type="dxa"/>
              <w:bottom w:w="80" w:type="dxa"/>
              <w:end w:w="120" w:type="dxa"/>
            </w:tcMar>
            <w:vAlign w:val="center"/>
          </w:tcPr>
          <w:p>
            <w:pPr>
              <w:spacing w:after="20" w:line="250" w:lineRule="auto"/>
            </w:pPr>
            <w:r/>
          </w:p>
        </w:tc>
        <w:tc>
          <w:tcPr>
            <w:tcW w:type="dxa" w:w="1728"/>
            <w:tcMar>
              <w:top w:w="80" w:type="dxa"/>
              <w:start w:w="120" w:type="dxa"/>
              <w:bottom w:w="80" w:type="dxa"/>
              <w:end w:w="120" w:type="dxa"/>
            </w:tcMar>
            <w:vAlign w:val="center"/>
          </w:tcPr>
          <w:p>
            <w:pPr>
              <w:spacing w:after="20" w:line="250" w:lineRule="auto"/>
            </w:pPr>
            <w:r/>
          </w:p>
        </w:tc>
      </w:tr>
      <w:tr>
        <w:tc>
          <w:tcPr>
            <w:tcW w:type="dxa" w:w="1800"/>
            <w:tcMar>
              <w:top w:w="80" w:type="dxa"/>
              <w:start w:w="120" w:type="dxa"/>
              <w:bottom w:w="80" w:type="dxa"/>
              <w:end w:w="120" w:type="dxa"/>
            </w:tcMar>
            <w:vAlign w:val="center"/>
            <w:shd w:fill="F7F8FA"/>
          </w:tcPr>
          <w:p>
            <w:pPr>
              <w:spacing w:after="20" w:line="250" w:lineRule="auto"/>
            </w:pPr>
            <w:r>
              <w:t>Audit/incidents/overrides</w:t>
            </w:r>
          </w:p>
        </w:tc>
        <w:tc>
          <w:tcPr>
            <w:tcW w:type="dxa" w:w="1440"/>
            <w:tcMar>
              <w:top w:w="80" w:type="dxa"/>
              <w:start w:w="120" w:type="dxa"/>
              <w:bottom w:w="80" w:type="dxa"/>
              <w:end w:w="120" w:type="dxa"/>
            </w:tcMar>
            <w:vAlign w:val="center"/>
            <w:shd w:fill="F7F8FA"/>
          </w:tcPr>
          <w:p>
            <w:pPr>
              <w:spacing w:after="20" w:line="250" w:lineRule="auto"/>
            </w:pPr>
            <w:r/>
          </w:p>
        </w:tc>
        <w:tc>
          <w:tcPr>
            <w:tcW w:type="dxa" w:w="1440"/>
            <w:tcMar>
              <w:top w:w="80" w:type="dxa"/>
              <w:start w:w="120" w:type="dxa"/>
              <w:bottom w:w="80" w:type="dxa"/>
              <w:end w:w="120" w:type="dxa"/>
            </w:tcMar>
            <w:vAlign w:val="center"/>
            <w:shd w:fill="F7F8FA"/>
          </w:tcPr>
          <w:p>
            <w:pPr>
              <w:spacing w:after="20" w:line="250" w:lineRule="auto"/>
            </w:pPr>
            <w:r/>
          </w:p>
        </w:tc>
        <w:tc>
          <w:tcPr>
            <w:tcW w:type="dxa" w:w="2952"/>
            <w:tcMar>
              <w:top w:w="80" w:type="dxa"/>
              <w:start w:w="120" w:type="dxa"/>
              <w:bottom w:w="80" w:type="dxa"/>
              <w:end w:w="120" w:type="dxa"/>
            </w:tcMar>
            <w:vAlign w:val="center"/>
            <w:shd w:fill="F7F8FA"/>
          </w:tcPr>
          <w:p>
            <w:pPr>
              <w:spacing w:after="20" w:line="250" w:lineRule="auto"/>
            </w:pPr>
            <w:r/>
          </w:p>
        </w:tc>
        <w:tc>
          <w:tcPr>
            <w:tcW w:type="dxa" w:w="1728"/>
            <w:tcMar>
              <w:top w:w="80" w:type="dxa"/>
              <w:start w:w="120" w:type="dxa"/>
              <w:bottom w:w="80" w:type="dxa"/>
              <w:end w:w="120" w:type="dxa"/>
            </w:tcMar>
            <w:vAlign w:val="center"/>
            <w:shd w:fill="F7F8FA"/>
          </w:tcPr>
          <w:p>
            <w:pPr>
              <w:spacing w:after="20" w:line="250" w:lineRule="auto"/>
            </w:pPr>
            <w:r/>
          </w:p>
        </w:tc>
      </w:tr>
    </w:tbl>
    <w:p>
      <w:pPr>
        <w:spacing w:after="0"/>
      </w:pPr>
    </w:p>
    <w:p>
      <w:pPr>
        <w:pStyle w:val="ListBullet"/>
        <w:spacing w:after="60"/>
      </w:pPr>
      <w:r>
        <w:t>Every difference has record-level evidence; totals alone are insufficient.</w:t>
      </w:r>
    </w:p>
    <w:p>
      <w:pPr>
        <w:pStyle w:val="ListBullet"/>
        <w:spacing w:after="60"/>
      </w:pPr>
      <w:r>
        <w:t>No difference is silently netted, overwritten or repaired directly in storage.</w:t>
      </w:r>
    </w:p>
    <w:p>
      <w:pPr>
        <w:pStyle w:val="ListBullet"/>
        <w:spacing w:after="60"/>
      </w:pPr>
      <w:r>
        <w:t>Acceptance requires all blocking rows reconciled and signed by domain owner plus independent reviewer.</w:t>
      </w:r>
    </w:p>
    <w:p>
      <w:pPr>
        <w:spacing w:after="0" w:line="20" w:lineRule="exact"/>
      </w:pPr>
      <w:r>
        <w:rPr>
          <w:sz w:val="2"/>
        </w:rPr>
        <w:br w:type="page"/>
      </w:r>
    </w:p>
    <w:p>
      <w:pPr>
        <w:pStyle w:val="Heading1"/>
      </w:pPr>
      <w:r>
        <w:t>Appendix F — Independent Reviewer Final Checklist</w:t>
      </w:r>
    </w:p>
    <w:p>
      <w:pPr>
        <w:pStyle w:val="ListBullet"/>
        <w:spacing w:after="60"/>
      </w:pPr>
      <w:r>
        <w:t>I used the exact prompt, controlling clauses, accepted base and claimed full commit.</w:t>
      </w:r>
    </w:p>
    <w:p>
      <w:pPr>
        <w:pStyle w:val="ListBullet"/>
        <w:spacing w:after="60"/>
      </w:pPr>
      <w:r>
        <w:t>I inspected the diff and all changed dependencies before relying on submitted tests.</w:t>
      </w:r>
    </w:p>
    <w:p>
      <w:pPr>
        <w:pStyle w:val="ListBullet"/>
        <w:spacing w:after="60"/>
      </w:pPr>
      <w:r>
        <w:t>I independently reran the material automated, negative and failure evidence.</w:t>
      </w:r>
    </w:p>
    <w:p>
      <w:pPr>
        <w:pStyle w:val="ListBullet"/>
        <w:spacing w:after="60"/>
      </w:pPr>
      <w:r>
        <w:t>I exercised affected frontend journeys in real browsers, roles, widths, states and assistive paths.</w:t>
      </w:r>
    </w:p>
    <w:p>
      <w:pPr>
        <w:pStyle w:val="ListBullet"/>
        <w:spacing w:after="60"/>
      </w:pPr>
      <w:r>
        <w:t>I verified tenant/client/event scope, server permissions, audit, privacy and no prohibited data leakage.</w:t>
      </w:r>
    </w:p>
    <w:p>
      <w:pPr>
        <w:pStyle w:val="ListBullet"/>
        <w:spacing w:after="60"/>
      </w:pPr>
      <w:r>
        <w:t>I verified persistence, migrations, idempotency, concurrency, correction, recovery and rollback where affected.</w:t>
      </w:r>
    </w:p>
    <w:p>
      <w:pPr>
        <w:pStyle w:val="ListBullet"/>
        <w:spacing w:after="60"/>
      </w:pPr>
      <w:r>
        <w:t>I confirmed no mock, TODO, bypass, hidden script, direct database repair or engineering intervention satisfies a production requirement.</w:t>
      </w:r>
    </w:p>
    <w:p>
      <w:pPr>
        <w:pStyle w:val="ListBullet"/>
        <w:spacing w:after="60"/>
      </w:pPr>
      <w:r>
        <w:t>I confirmed evidence is current for this commit/candidate and every contradiction/finding is resolved or blocking.</w:t>
      </w:r>
    </w:p>
    <w:p>
      <w:pPr>
        <w:pStyle w:val="ListBullet"/>
        <w:spacing w:after="60"/>
      </w:pPr>
      <w:r>
        <w:t>I confirmed items brought forward do not contain work required by the current gate.</w:t>
      </w:r>
    </w:p>
    <w:p>
      <w:pPr>
        <w:pStyle w:val="ListBullet"/>
        <w:spacing w:after="60"/>
      </w:pPr>
      <w:r>
        <w:t>I recorded one valid decision and the exact next authorised action.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Final control</w:t>
            </w:r>
          </w:p>
        </w:tc>
      </w:tr>
      <w:tr>
        <w:tc>
          <w:tcPr>
            <w:tcW w:type="dxa" w:w="9360"/>
            <w:tcMar>
              <w:top w:w="80" w:type="dxa"/>
              <w:start w:w="120" w:type="dxa"/>
              <w:bottom w:w="80" w:type="dxa"/>
              <w:end w:w="120" w:type="dxa"/>
            </w:tcMar>
            <w:vAlign w:val="center"/>
            <w:shd w:fill="FFF8E8"/>
          </w:tcPr>
          <w:p>
            <w:pPr>
              <w:spacing w:after="20" w:line="250" w:lineRule="auto"/>
            </w:pPr>
            <w:r>
              <w:t>Independent acceptance authorises only the next prompt or named gate. It never grants broader client, event, role, capability, privacy purpose, provider, rollout or production authority.</w:t>
            </w:r>
          </w:p>
        </w:tc>
      </w:tr>
    </w:tbl>
    <w:p>
      <w:pPr>
        <w:spacing w:after="0"/>
      </w:pP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Independent Acceptance Pack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Calibri" w:hAnsi="Calibri"/>
      <w:b/>
      <w:color w:val="A57C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Independent Acceptance Pack</dc:title>
  <dc:subject>Prompt, slice and release verification manual</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