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mptLabel"/>
      </w:pPr>
      <w:r>
        <w:t>SLICE 10</w:t>
      </w:r>
    </w:p>
    <w:p>
      <w:pPr>
        <w:pStyle w:val="Title"/>
      </w:pPr>
      <w:r>
        <w:t>FaceGate Gated Integration</w:t>
      </w:r>
    </w:p>
    <w:p>
      <w:pPr>
        <w:pStyle w:val="Subtitle"/>
      </w:pPr>
      <w:r>
        <w:t>Complete Cursor Prompt Pack</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shd w:fill="E8EEF5"/>
            <w:tcMar>
              <w:top w:w="80" w:type="dxa"/>
              <w:start w:w="120" w:type="dxa"/>
              <w:bottom w:w="80" w:type="dxa"/>
              <w:end w:w="120" w:type="dxa"/>
            </w:tcMar>
          </w:tcPr>
          <w:p>
            <w:r>
              <w:rPr>
                <w:b/>
              </w:rPr>
              <w:t>Control</w:t>
            </w:r>
          </w:p>
        </w:tc>
        <w:tc>
          <w:tcPr>
            <w:tcW w:type="dxa" w:w="7272"/>
            <w:shd w:fill="E8EEF5"/>
            <w:tcMar>
              <w:top w:w="80" w:type="dxa"/>
              <w:start w:w="120" w:type="dxa"/>
              <w:bottom w:w="80" w:type="dxa"/>
              <w:end w:w="120" w:type="dxa"/>
            </w:tcMar>
          </w:tcPr>
          <w:p>
            <w:r>
              <w:rPr>
                <w:b/>
              </w:rPr>
              <w:t>Value</w:t>
            </w:r>
          </w:p>
        </w:tc>
      </w:tr>
      <w:tr>
        <w:tc>
          <w:tcPr>
            <w:tcW w:type="dxa" w:w="2088"/>
            <w:tcMar>
              <w:top w:w="80" w:type="dxa"/>
              <w:start w:w="120" w:type="dxa"/>
              <w:bottom w:w="80" w:type="dxa"/>
              <w:end w:w="120" w:type="dxa"/>
            </w:tcMar>
            <w:vAlign w:val="center"/>
          </w:tcPr>
          <w:p>
            <w:pPr>
              <w:spacing w:after="20" w:line="250" w:lineRule="auto"/>
            </w:pPr>
            <w:r>
              <w:t>Version</w:t>
            </w:r>
          </w:p>
        </w:tc>
        <w:tc>
          <w:tcPr>
            <w:tcW w:type="dxa" w:w="7272"/>
            <w:tcMar>
              <w:top w:w="80" w:type="dxa"/>
              <w:start w:w="120" w:type="dxa"/>
              <w:bottom w:w="80" w:type="dxa"/>
              <w:end w:w="120" w:type="dxa"/>
            </w:tcMar>
            <w:vAlign w:val="center"/>
          </w:tcPr>
          <w:p>
            <w:pPr>
              <w:spacing w:after="20" w:line="250" w:lineRule="auto"/>
            </w:pPr>
            <w:r>
              <w:t>1.0 - sequential production build pack</w:t>
            </w:r>
          </w:p>
        </w:tc>
      </w:tr>
      <w:tr>
        <w:tc>
          <w:tcPr>
            <w:tcW w:type="dxa" w:w="2088"/>
            <w:tcMar>
              <w:top w:w="80" w:type="dxa"/>
              <w:start w:w="120" w:type="dxa"/>
              <w:bottom w:w="80" w:type="dxa"/>
              <w:end w:w="120" w:type="dxa"/>
            </w:tcMar>
            <w:vAlign w:val="center"/>
            <w:shd w:fill="F7F8FA"/>
          </w:tcPr>
          <w:p>
            <w:pPr>
              <w:spacing w:after="20" w:line="250" w:lineRule="auto"/>
            </w:pPr>
            <w:r>
              <w:t>Authority</w:t>
            </w:r>
          </w:p>
        </w:tc>
        <w:tc>
          <w:tcPr>
            <w:tcW w:type="dxa" w:w="7272"/>
            <w:tcMar>
              <w:top w:w="80" w:type="dxa"/>
              <w:start w:w="120" w:type="dxa"/>
              <w:bottom w:w="80" w:type="dxa"/>
              <w:end w:w="120" w:type="dxa"/>
            </w:tcMar>
            <w:vAlign w:val="center"/>
            <w:shd w:fill="F7F8FA"/>
          </w:tcPr>
          <w:p>
            <w:pPr>
              <w:spacing w:after="20" w:line="250" w:lineRule="auto"/>
            </w:pPr>
            <w:r>
              <w:t>Canonical Build Blueprint + Intelligence Specification v1.0 + Slice 10 Implementation Specification v1.0</w:t>
            </w:r>
          </w:p>
        </w:tc>
      </w:tr>
      <w:tr>
        <w:tc>
          <w:tcPr>
            <w:tcW w:type="dxa" w:w="2088"/>
            <w:tcMar>
              <w:top w:w="80" w:type="dxa"/>
              <w:start w:w="120" w:type="dxa"/>
              <w:bottom w:w="80" w:type="dxa"/>
              <w:end w:w="120" w:type="dxa"/>
            </w:tcMar>
            <w:vAlign w:val="center"/>
          </w:tcPr>
          <w:p>
            <w:pPr>
              <w:spacing w:after="20" w:line="250" w:lineRule="auto"/>
            </w:pPr>
            <w:r>
              <w:t>Run model</w:t>
            </w:r>
          </w:p>
        </w:tc>
        <w:tc>
          <w:tcPr>
            <w:tcW w:type="dxa" w:w="7272"/>
            <w:tcMar>
              <w:top w:w="80" w:type="dxa"/>
              <w:start w:w="120" w:type="dxa"/>
              <w:bottom w:w="80" w:type="dxa"/>
              <w:end w:w="120" w:type="dxa"/>
            </w:tcMar>
            <w:vAlign w:val="center"/>
          </w:tcPr>
          <w:p>
            <w:pPr>
              <w:spacing w:after="20" w:line="250" w:lineRule="auto"/>
            </w:pPr>
            <w:r>
              <w:t>One prompt, independent review, accepted commit, then next prompt</w:t>
            </w:r>
          </w:p>
        </w:tc>
      </w:tr>
      <w:tr>
        <w:tc>
          <w:tcPr>
            <w:tcW w:type="dxa" w:w="2088"/>
            <w:tcMar>
              <w:top w:w="80" w:type="dxa"/>
              <w:start w:w="120" w:type="dxa"/>
              <w:bottom w:w="80" w:type="dxa"/>
              <w:end w:w="120" w:type="dxa"/>
            </w:tcMar>
            <w:vAlign w:val="center"/>
            <w:shd w:fill="F7F8FA"/>
          </w:tcPr>
          <w:p>
            <w:pPr>
              <w:spacing w:after="20" w:line="250" w:lineRule="auto"/>
            </w:pPr>
            <w:r>
              <w:t>Entry</w:t>
            </w:r>
          </w:p>
        </w:tc>
        <w:tc>
          <w:tcPr>
            <w:tcW w:type="dxa" w:w="7272"/>
            <w:tcMar>
              <w:top w:w="80" w:type="dxa"/>
              <w:start w:w="120" w:type="dxa"/>
              <w:bottom w:w="80" w:type="dxa"/>
              <w:end w:w="120" w:type="dxa"/>
            </w:tcMar>
            <w:vAlign w:val="center"/>
            <w:shd w:fill="F7F8FA"/>
          </w:tcPr>
          <w:p>
            <w:pPr>
              <w:spacing w:after="20" w:line="250" w:lineRule="auto"/>
            </w:pPr>
            <w:r>
              <w:t>Accepted Slice 9 exit; stable EventGuest and EDR contracts; FaceGate default OFF</w:t>
            </w:r>
          </w:p>
        </w:tc>
      </w:tr>
      <w:tr>
        <w:tc>
          <w:tcPr>
            <w:tcW w:type="dxa" w:w="2088"/>
            <w:tcMar>
              <w:top w:w="80" w:type="dxa"/>
              <w:start w:w="120" w:type="dxa"/>
              <w:bottom w:w="80" w:type="dxa"/>
              <w:end w:w="120" w:type="dxa"/>
            </w:tcMar>
            <w:vAlign w:val="center"/>
          </w:tcPr>
          <w:p>
            <w:pPr>
              <w:spacing w:after="20" w:line="250" w:lineRule="auto"/>
            </w:pPr>
            <w:r>
              <w:t>Exit</w:t>
            </w:r>
          </w:p>
        </w:tc>
        <w:tc>
          <w:tcPr>
            <w:tcW w:type="dxa" w:w="7272"/>
            <w:tcMar>
              <w:top w:w="80" w:type="dxa"/>
              <w:start w:w="120" w:type="dxa"/>
              <w:bottom w:w="80" w:type="dxa"/>
              <w:end w:w="120" w:type="dxa"/>
            </w:tcMar>
            <w:vAlign w:val="center"/>
          </w:tcPr>
          <w:p>
            <w:pPr>
              <w:spacing w:after="20" w:line="250" w:lineRule="auto"/>
            </w:pPr>
            <w:r>
              <w:t>A01-A42 passed; supervised shadow complete; specialist and exact CEO production decision recorded</w:t>
            </w:r>
          </w:p>
        </w:tc>
      </w:tr>
      <w:tr>
        <w:tc>
          <w:tcPr>
            <w:tcW w:type="dxa" w:w="2088"/>
            <w:tcMar>
              <w:top w:w="80" w:type="dxa"/>
              <w:start w:w="120" w:type="dxa"/>
              <w:bottom w:w="80" w:type="dxa"/>
              <w:end w:w="120" w:type="dxa"/>
            </w:tcMar>
            <w:vAlign w:val="center"/>
            <w:shd w:fill="F7F8FA"/>
          </w:tcPr>
          <w:p>
            <w:pPr>
              <w:spacing w:after="20" w:line="250" w:lineRule="auto"/>
            </w:pPr>
            <w:r>
              <w:t>Hard boundary</w:t>
            </w:r>
          </w:p>
        </w:tc>
        <w:tc>
          <w:tcPr>
            <w:tcW w:type="dxa" w:w="7272"/>
            <w:tcMar>
              <w:top w:w="80" w:type="dxa"/>
              <w:start w:w="120" w:type="dxa"/>
              <w:bottom w:w="80" w:type="dxa"/>
              <w:end w:w="120" w:type="dxa"/>
            </w:tcMar>
            <w:vAlign w:val="center"/>
            <w:shd w:fill="F7F8FA"/>
          </w:tcPr>
          <w:p>
            <w:pPr>
              <w:spacing w:after="20" w:line="250" w:lineRule="auto"/>
            </w:pPr>
            <w:r>
              <w:t>No Core/EDR biometric data, FaceGate admission write, coercive use, passive surveillance or cross-event biometric memory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Execution law</w:t>
            </w:r>
          </w:p>
        </w:tc>
      </w:tr>
      <w:tr>
        <w:tc>
          <w:tcPr>
            <w:tcW w:type="dxa" w:w="9360"/>
            <w:tcMar>
              <w:top w:w="80" w:type="dxa"/>
              <w:start w:w="120" w:type="dxa"/>
              <w:bottom w:w="80" w:type="dxa"/>
              <w:end w:w="120" w:type="dxa"/>
            </w:tcMar>
            <w:vAlign w:val="center"/>
            <w:shd w:fill="FFF8E8"/>
          </w:tcPr>
          <w:p>
            <w:pPr>
              <w:spacing w:after="20" w:line="250" w:lineRule="auto"/>
            </w:pPr>
            <w:r>
              <w:t>Replace LAST_ACCEPTED_COMMIT in every prompt. Cursor completes, verifies, documents and commits only that prompt, then stops. Its completion report is a claim, not acceptance. No prompt silently enables production biometrics.</w:t>
            </w:r>
          </w:p>
        </w:tc>
      </w:tr>
    </w:tbl>
    <w:p>
      <w:pPr>
        <w:spacing w:after="0"/>
      </w:pPr>
    </w:p>
    <w:p>
      <w:pPr>
        <w:pStyle w:val="Heading1"/>
      </w:pPr>
      <w:r>
        <w:t>How to use this pack</w:t>
      </w:r>
    </w:p>
    <w:p>
      <w:pPr>
        <w:pStyle w:val="ListNumber"/>
        <w:spacing w:after="60"/>
      </w:pPr>
      <w:r>
        <w:t>Make the ratified blueprint, Intelligence Specification and Slice 10 Implementation Specification available to Cursor.</w:t>
      </w:r>
    </w:p>
    <w:p>
      <w:pPr>
        <w:pStyle w:val="ListNumber"/>
        <w:spacing w:after="60"/>
      </w:pPr>
      <w:r>
        <w:t>Run S10-00 first and independently review its diff, decisions and evidence.</w:t>
      </w:r>
    </w:p>
    <w:p>
      <w:pPr>
        <w:pStyle w:val="ListNumber"/>
        <w:spacing w:after="60"/>
      </w:pPr>
      <w:r>
        <w:t>Accept or return the same prompt for correction; never advance on partial acceptance.</w:t>
      </w:r>
    </w:p>
    <w:p>
      <w:pPr>
        <w:pStyle w:val="ListNumber"/>
        <w:spacing w:after="60"/>
      </w:pPr>
      <w:r>
        <w:t>Insert the accepted full commit hash into the next prompt.</w:t>
      </w:r>
    </w:p>
    <w:p>
      <w:pPr>
        <w:pStyle w:val="ListNumber"/>
        <w:spacing w:after="60"/>
      </w:pPr>
      <w:r>
        <w:t>Never batch prompts or allow Cursor to continue automatically.</w:t>
      </w:r>
    </w:p>
    <w:p>
      <w:pPr>
        <w:pStyle w:val="ListNumber"/>
        <w:spacing w:after="60"/>
      </w:pPr>
      <w:r>
        <w:t>Treat legal, privacy, security and CEO production approval as exact release gates, not a general project endorsement.</w:t>
      </w:r>
    </w:p>
    <w:p>
      <w:pPr>
        <w:pStyle w:val="Heading1"/>
      </w:pPr>
      <w:r>
        <w:t>Prompt map</w:t>
      </w:r>
    </w:p>
    <w:tbl>
      <w:tblPr>
        <w:tblStyle w:val="TableGrid"/>
        <w:tblW w:type="dxa" w:w="9360"/>
        <w:jc w:val="left"/>
        <w:tblLayout w:type="fixed"/>
        <w:tblLook w:firstColumn="1" w:firstRow="1" w:lastColumn="0" w:lastRow="0" w:noHBand="0" w:noVBand="1" w:val="04A0"/>
        <w:tblInd w:w="120" w:type="dxa"/>
      </w:tblPr>
      <w:tblGrid>
        <w:gridCol w:w="1008"/>
        <w:gridCol w:w="4536"/>
        <w:gridCol w:w="3816"/>
      </w:tblGrid>
      <w:tr>
        <w:trPr>
          <w:tblHeader w:val="true"/>
        </w:trPr>
        <w:tc>
          <w:tcPr>
            <w:tcW w:type="dxa" w:w="1008"/>
            <w:shd w:fill="E8EEF5"/>
            <w:tcMar>
              <w:top w:w="80" w:type="dxa"/>
              <w:start w:w="120" w:type="dxa"/>
              <w:bottom w:w="80" w:type="dxa"/>
              <w:end w:w="120" w:type="dxa"/>
            </w:tcMar>
          </w:tcPr>
          <w:p>
            <w:r>
              <w:rPr>
                <w:b/>
              </w:rPr>
              <w:t>Prompt</w:t>
            </w:r>
          </w:p>
        </w:tc>
        <w:tc>
          <w:tcPr>
            <w:tcW w:type="dxa" w:w="4536"/>
            <w:shd w:fill="E8EEF5"/>
            <w:tcMar>
              <w:top w:w="80" w:type="dxa"/>
              <w:start w:w="120" w:type="dxa"/>
              <w:bottom w:w="80" w:type="dxa"/>
              <w:end w:w="120" w:type="dxa"/>
            </w:tcMar>
          </w:tcPr>
          <w:p>
            <w:r>
              <w:rPr>
                <w:b/>
              </w:rPr>
              <w:t>Outcome</w:t>
            </w:r>
          </w:p>
        </w:tc>
        <w:tc>
          <w:tcPr>
            <w:tcW w:type="dxa" w:w="3816"/>
            <w:shd w:fill="E8EEF5"/>
            <w:tcMar>
              <w:top w:w="80" w:type="dxa"/>
              <w:start w:w="120" w:type="dxa"/>
              <w:bottom w:w="80" w:type="dxa"/>
              <w:end w:w="120" w:type="dxa"/>
            </w:tcMar>
          </w:tcPr>
          <w:p>
            <w:r>
              <w:rPr>
                <w:b/>
              </w:rPr>
              <w:t>Build unit</w:t>
            </w:r>
          </w:p>
        </w:tc>
      </w:tr>
      <w:tr>
        <w:tc>
          <w:tcPr>
            <w:tcW w:type="dxa" w:w="1008"/>
            <w:tcMar>
              <w:top w:w="80" w:type="dxa"/>
              <w:start w:w="120" w:type="dxa"/>
              <w:bottom w:w="80" w:type="dxa"/>
              <w:end w:w="120" w:type="dxa"/>
            </w:tcMar>
            <w:vAlign w:val="center"/>
          </w:tcPr>
          <w:p>
            <w:pPr>
              <w:spacing w:after="20" w:line="250" w:lineRule="auto"/>
            </w:pPr>
            <w:r>
              <w:t>S10-00</w:t>
            </w:r>
          </w:p>
        </w:tc>
        <w:tc>
          <w:tcPr>
            <w:tcW w:type="dxa" w:w="4536"/>
            <w:tcMar>
              <w:top w:w="80" w:type="dxa"/>
              <w:start w:w="120" w:type="dxa"/>
              <w:bottom w:w="80" w:type="dxa"/>
              <w:end w:w="120" w:type="dxa"/>
            </w:tcMar>
            <w:vAlign w:val="center"/>
          </w:tcPr>
          <w:p>
            <w:pPr>
              <w:spacing w:after="20" w:line="250" w:lineRule="auto"/>
            </w:pPr>
            <w:r>
              <w:t>Entry audit, authority, isolation and threat lock</w:t>
            </w:r>
          </w:p>
        </w:tc>
        <w:tc>
          <w:tcPr>
            <w:tcW w:type="dxa" w:w="3816"/>
            <w:tcMar>
              <w:top w:w="80" w:type="dxa"/>
              <w:start w:w="120" w:type="dxa"/>
              <w:bottom w:w="80" w:type="dxa"/>
              <w:end w:w="120" w:type="dxa"/>
            </w:tcMar>
            <w:vAlign w:val="center"/>
          </w:tcPr>
          <w:p>
            <w:pPr>
              <w:spacing w:after="20" w:line="250" w:lineRule="auto"/>
            </w:pPr>
            <w:r>
              <w:t>S10-01</w:t>
            </w:r>
          </w:p>
        </w:tc>
      </w:tr>
      <w:tr>
        <w:tc>
          <w:tcPr>
            <w:tcW w:type="dxa" w:w="1008"/>
            <w:tcMar>
              <w:top w:w="80" w:type="dxa"/>
              <w:start w:w="120" w:type="dxa"/>
              <w:bottom w:w="80" w:type="dxa"/>
              <w:end w:w="120" w:type="dxa"/>
            </w:tcMar>
            <w:vAlign w:val="center"/>
            <w:shd w:fill="F7F8FA"/>
          </w:tcPr>
          <w:p>
            <w:pPr>
              <w:spacing w:after="20" w:line="250" w:lineRule="auto"/>
            </w:pPr>
            <w:r>
              <w:t>S10-01</w:t>
            </w:r>
          </w:p>
        </w:tc>
        <w:tc>
          <w:tcPr>
            <w:tcW w:type="dxa" w:w="4536"/>
            <w:tcMar>
              <w:top w:w="80" w:type="dxa"/>
              <w:start w:w="120" w:type="dxa"/>
              <w:bottom w:w="80" w:type="dxa"/>
              <w:end w:w="120" w:type="dxa"/>
            </w:tcMar>
            <w:vAlign w:val="center"/>
            <w:shd w:fill="F7F8FA"/>
          </w:tcPr>
          <w:p>
            <w:pPr>
              <w:spacing w:after="20" w:line="250" w:lineRule="auto"/>
            </w:pPr>
            <w:r>
              <w:t>Isolated FaceGate foundation and canonical schema</w:t>
            </w:r>
          </w:p>
        </w:tc>
        <w:tc>
          <w:tcPr>
            <w:tcW w:type="dxa" w:w="3816"/>
            <w:tcMar>
              <w:top w:w="80" w:type="dxa"/>
              <w:start w:w="120" w:type="dxa"/>
              <w:bottom w:w="80" w:type="dxa"/>
              <w:end w:w="120" w:type="dxa"/>
            </w:tcMar>
            <w:vAlign w:val="center"/>
            <w:shd w:fill="F7F8FA"/>
          </w:tcPr>
          <w:p>
            <w:pPr>
              <w:spacing w:after="20" w:line="250" w:lineRule="auto"/>
            </w:pPr>
            <w:r>
              <w:t>S10-02</w:t>
            </w:r>
          </w:p>
        </w:tc>
      </w:tr>
      <w:tr>
        <w:tc>
          <w:tcPr>
            <w:tcW w:type="dxa" w:w="1008"/>
            <w:tcMar>
              <w:top w:w="80" w:type="dxa"/>
              <w:start w:w="120" w:type="dxa"/>
              <w:bottom w:w="80" w:type="dxa"/>
              <w:end w:w="120" w:type="dxa"/>
            </w:tcMar>
            <w:vAlign w:val="center"/>
          </w:tcPr>
          <w:p>
            <w:pPr>
              <w:spacing w:after="20" w:line="250" w:lineRule="auto"/>
            </w:pPr>
            <w:r>
              <w:t>S10-02</w:t>
            </w:r>
          </w:p>
        </w:tc>
        <w:tc>
          <w:tcPr>
            <w:tcW w:type="dxa" w:w="4536"/>
            <w:tcMar>
              <w:top w:w="80" w:type="dxa"/>
              <w:start w:w="120" w:type="dxa"/>
              <w:bottom w:w="80" w:type="dxa"/>
              <w:end w:w="120" w:type="dxa"/>
            </w:tcMar>
            <w:vAlign w:val="center"/>
          </w:tcPr>
          <w:p>
            <w:pPr>
              <w:spacing w:after="20" w:line="250" w:lineRule="auto"/>
            </w:pPr>
            <w:r>
              <w:t>Event enablement, four-key approvals and kill switch</w:t>
            </w:r>
          </w:p>
        </w:tc>
        <w:tc>
          <w:tcPr>
            <w:tcW w:type="dxa" w:w="3816"/>
            <w:tcMar>
              <w:top w:w="80" w:type="dxa"/>
              <w:start w:w="120" w:type="dxa"/>
              <w:bottom w:w="80" w:type="dxa"/>
              <w:end w:w="120" w:type="dxa"/>
            </w:tcMar>
            <w:vAlign w:val="center"/>
          </w:tcPr>
          <w:p>
            <w:pPr>
              <w:spacing w:after="20" w:line="250" w:lineRule="auto"/>
            </w:pPr>
            <w:r>
              <w:t>S10-03</w:t>
            </w:r>
          </w:p>
        </w:tc>
      </w:tr>
      <w:tr>
        <w:tc>
          <w:tcPr>
            <w:tcW w:type="dxa" w:w="1008"/>
            <w:tcMar>
              <w:top w:w="80" w:type="dxa"/>
              <w:start w:w="120" w:type="dxa"/>
              <w:bottom w:w="80" w:type="dxa"/>
              <w:end w:w="120" w:type="dxa"/>
            </w:tcMar>
            <w:vAlign w:val="center"/>
            <w:shd w:fill="F7F8FA"/>
          </w:tcPr>
          <w:p>
            <w:pPr>
              <w:spacing w:after="20" w:line="250" w:lineRule="auto"/>
            </w:pPr>
            <w:r>
              <w:t>S10-03</w:t>
            </w:r>
          </w:p>
        </w:tc>
        <w:tc>
          <w:tcPr>
            <w:tcW w:type="dxa" w:w="4536"/>
            <w:tcMar>
              <w:top w:w="80" w:type="dxa"/>
              <w:start w:w="120" w:type="dxa"/>
              <w:bottom w:w="80" w:type="dxa"/>
              <w:end w:w="120" w:type="dxa"/>
            </w:tcMar>
            <w:vAlign w:val="center"/>
            <w:shd w:fill="F7F8FA"/>
          </w:tcPr>
          <w:p>
            <w:pPr>
              <w:spacing w:after="20" w:line="250" w:lineRule="auto"/>
            </w:pPr>
            <w:r>
              <w:t>Consent, refusal, capacity and rights domain</w:t>
            </w:r>
          </w:p>
        </w:tc>
        <w:tc>
          <w:tcPr>
            <w:tcW w:type="dxa" w:w="3816"/>
            <w:tcMar>
              <w:top w:w="80" w:type="dxa"/>
              <w:start w:w="120" w:type="dxa"/>
              <w:bottom w:w="80" w:type="dxa"/>
              <w:end w:w="120" w:type="dxa"/>
            </w:tcMar>
            <w:vAlign w:val="center"/>
            <w:shd w:fill="F7F8FA"/>
          </w:tcPr>
          <w:p>
            <w:pPr>
              <w:spacing w:after="20" w:line="250" w:lineRule="auto"/>
            </w:pPr>
            <w:r>
              <w:t>S10-04</w:t>
            </w:r>
          </w:p>
        </w:tc>
      </w:tr>
      <w:tr>
        <w:tc>
          <w:tcPr>
            <w:tcW w:type="dxa" w:w="1008"/>
            <w:tcMar>
              <w:top w:w="80" w:type="dxa"/>
              <w:start w:w="120" w:type="dxa"/>
              <w:bottom w:w="80" w:type="dxa"/>
              <w:end w:w="120" w:type="dxa"/>
            </w:tcMar>
            <w:vAlign w:val="center"/>
          </w:tcPr>
          <w:p>
            <w:pPr>
              <w:spacing w:after="20" w:line="250" w:lineRule="auto"/>
            </w:pPr>
            <w:r>
              <w:t>S10-04</w:t>
            </w:r>
          </w:p>
        </w:tc>
        <w:tc>
          <w:tcPr>
            <w:tcW w:type="dxa" w:w="4536"/>
            <w:tcMar>
              <w:top w:w="80" w:type="dxa"/>
              <w:start w:w="120" w:type="dxa"/>
              <w:bottom w:w="80" w:type="dxa"/>
              <w:end w:w="120" w:type="dxa"/>
            </w:tcMar>
            <w:vAlign w:val="center"/>
          </w:tcPr>
          <w:p>
            <w:pPr>
              <w:spacing w:after="20" w:line="250" w:lineRule="auto"/>
            </w:pPr>
            <w:r>
              <w:t>Guest consent, refusal, withdrawal and rights frontend</w:t>
            </w:r>
          </w:p>
        </w:tc>
        <w:tc>
          <w:tcPr>
            <w:tcW w:type="dxa" w:w="3816"/>
            <w:tcMar>
              <w:top w:w="80" w:type="dxa"/>
              <w:start w:w="120" w:type="dxa"/>
              <w:bottom w:w="80" w:type="dxa"/>
              <w:end w:w="120" w:type="dxa"/>
            </w:tcMar>
            <w:vAlign w:val="center"/>
          </w:tcPr>
          <w:p>
            <w:pPr>
              <w:spacing w:after="20" w:line="250" w:lineRule="auto"/>
            </w:pPr>
            <w:r>
              <w:t>S10-05</w:t>
            </w:r>
          </w:p>
        </w:tc>
      </w:tr>
      <w:tr>
        <w:tc>
          <w:tcPr>
            <w:tcW w:type="dxa" w:w="1008"/>
            <w:tcMar>
              <w:top w:w="80" w:type="dxa"/>
              <w:start w:w="120" w:type="dxa"/>
              <w:bottom w:w="80" w:type="dxa"/>
              <w:end w:w="120" w:type="dxa"/>
            </w:tcMar>
            <w:vAlign w:val="center"/>
            <w:shd w:fill="F7F8FA"/>
          </w:tcPr>
          <w:p>
            <w:pPr>
              <w:spacing w:after="20" w:line="250" w:lineRule="auto"/>
            </w:pPr>
            <w:r>
              <w:t>S10-05</w:t>
            </w:r>
          </w:p>
        </w:tc>
        <w:tc>
          <w:tcPr>
            <w:tcW w:type="dxa" w:w="4536"/>
            <w:tcMar>
              <w:top w:w="80" w:type="dxa"/>
              <w:start w:w="120" w:type="dxa"/>
              <w:bottom w:w="80" w:type="dxa"/>
              <w:end w:w="120" w:type="dxa"/>
            </w:tcMar>
            <w:vAlign w:val="center"/>
            <w:shd w:fill="F7F8FA"/>
          </w:tcPr>
          <w:p>
            <w:pPr>
              <w:spacing w:after="20" w:line="250" w:lineRule="auto"/>
            </w:pPr>
            <w:r>
              <w:t>EventGuest mapping and enrolment lifecycle</w:t>
            </w:r>
          </w:p>
        </w:tc>
        <w:tc>
          <w:tcPr>
            <w:tcW w:type="dxa" w:w="3816"/>
            <w:tcMar>
              <w:top w:w="80" w:type="dxa"/>
              <w:start w:w="120" w:type="dxa"/>
              <w:bottom w:w="80" w:type="dxa"/>
              <w:end w:w="120" w:type="dxa"/>
            </w:tcMar>
            <w:vAlign w:val="center"/>
            <w:shd w:fill="F7F8FA"/>
          </w:tcPr>
          <w:p>
            <w:pPr>
              <w:spacing w:after="20" w:line="250" w:lineRule="auto"/>
            </w:pPr>
            <w:r>
              <w:t>S10-06</w:t>
            </w:r>
          </w:p>
        </w:tc>
      </w:tr>
      <w:tr>
        <w:tc>
          <w:tcPr>
            <w:tcW w:type="dxa" w:w="1008"/>
            <w:tcMar>
              <w:top w:w="80" w:type="dxa"/>
              <w:start w:w="120" w:type="dxa"/>
              <w:bottom w:w="80" w:type="dxa"/>
              <w:end w:w="120" w:type="dxa"/>
            </w:tcMar>
            <w:vAlign w:val="center"/>
          </w:tcPr>
          <w:p>
            <w:pPr>
              <w:spacing w:after="20" w:line="250" w:lineRule="auto"/>
            </w:pPr>
            <w:r>
              <w:t>S10-06</w:t>
            </w:r>
          </w:p>
        </w:tc>
        <w:tc>
          <w:tcPr>
            <w:tcW w:type="dxa" w:w="4536"/>
            <w:tcMar>
              <w:top w:w="80" w:type="dxa"/>
              <w:start w:w="120" w:type="dxa"/>
              <w:bottom w:w="80" w:type="dxa"/>
              <w:end w:w="120" w:type="dxa"/>
            </w:tcMar>
            <w:vAlign w:val="center"/>
          </w:tcPr>
          <w:p>
            <w:pPr>
              <w:spacing w:after="20" w:line="250" w:lineRule="auto"/>
            </w:pPr>
            <w:r>
              <w:t>Secure capture, quality, liveness boundary and enrolment UX</w:t>
            </w:r>
          </w:p>
        </w:tc>
        <w:tc>
          <w:tcPr>
            <w:tcW w:type="dxa" w:w="3816"/>
            <w:tcMar>
              <w:top w:w="80" w:type="dxa"/>
              <w:start w:w="120" w:type="dxa"/>
              <w:bottom w:w="80" w:type="dxa"/>
              <w:end w:w="120" w:type="dxa"/>
            </w:tcMar>
            <w:vAlign w:val="center"/>
          </w:tcPr>
          <w:p>
            <w:pPr>
              <w:spacing w:after="20" w:line="250" w:lineRule="auto"/>
            </w:pPr>
            <w:r>
              <w:t>S10-07</w:t>
            </w:r>
          </w:p>
        </w:tc>
      </w:tr>
      <w:tr>
        <w:tc>
          <w:tcPr>
            <w:tcW w:type="dxa" w:w="1008"/>
            <w:tcMar>
              <w:top w:w="80" w:type="dxa"/>
              <w:start w:w="120" w:type="dxa"/>
              <w:bottom w:w="80" w:type="dxa"/>
              <w:end w:w="120" w:type="dxa"/>
            </w:tcMar>
            <w:vAlign w:val="center"/>
            <w:shd w:fill="F7F8FA"/>
          </w:tcPr>
          <w:p>
            <w:pPr>
              <w:spacing w:after="20" w:line="250" w:lineRule="auto"/>
            </w:pPr>
            <w:r>
              <w:t>S10-07</w:t>
            </w:r>
          </w:p>
        </w:tc>
        <w:tc>
          <w:tcPr>
            <w:tcW w:type="dxa" w:w="4536"/>
            <w:tcMar>
              <w:top w:w="80" w:type="dxa"/>
              <w:start w:w="120" w:type="dxa"/>
              <w:bottom w:w="80" w:type="dxa"/>
              <w:end w:w="120" w:type="dxa"/>
            </w:tcMar>
            <w:vAlign w:val="center"/>
            <w:shd w:fill="F7F8FA"/>
          </w:tcPr>
          <w:p>
            <w:pPr>
              <w:spacing w:after="20" w:line="250" w:lineRule="auto"/>
            </w:pPr>
            <w:r>
              <w:t>AWS provider adapter, collections and reconciliation</w:t>
            </w:r>
          </w:p>
        </w:tc>
        <w:tc>
          <w:tcPr>
            <w:tcW w:type="dxa" w:w="3816"/>
            <w:tcMar>
              <w:top w:w="80" w:type="dxa"/>
              <w:start w:w="120" w:type="dxa"/>
              <w:bottom w:w="80" w:type="dxa"/>
              <w:end w:w="120" w:type="dxa"/>
            </w:tcMar>
            <w:vAlign w:val="center"/>
            <w:shd w:fill="F7F8FA"/>
          </w:tcPr>
          <w:p>
            <w:pPr>
              <w:spacing w:after="20" w:line="250" w:lineRule="auto"/>
            </w:pPr>
            <w:r>
              <w:t>S10-08</w:t>
            </w:r>
          </w:p>
        </w:tc>
      </w:tr>
      <w:tr>
        <w:tc>
          <w:tcPr>
            <w:tcW w:type="dxa" w:w="1008"/>
            <w:tcMar>
              <w:top w:w="80" w:type="dxa"/>
              <w:start w:w="120" w:type="dxa"/>
              <w:bottom w:w="80" w:type="dxa"/>
              <w:end w:w="120" w:type="dxa"/>
            </w:tcMar>
            <w:vAlign w:val="center"/>
          </w:tcPr>
          <w:p>
            <w:pPr>
              <w:spacing w:after="20" w:line="250" w:lineRule="auto"/>
            </w:pPr>
            <w:r>
              <w:t>S10-08</w:t>
            </w:r>
          </w:p>
        </w:tc>
        <w:tc>
          <w:tcPr>
            <w:tcW w:type="dxa" w:w="4536"/>
            <w:tcMar>
              <w:top w:w="80" w:type="dxa"/>
              <w:start w:w="120" w:type="dxa"/>
              <w:bottom w:w="80" w:type="dxa"/>
              <w:end w:w="120" w:type="dxa"/>
            </w:tcMar>
            <w:vAlign w:val="center"/>
          </w:tcPr>
          <w:p>
            <w:pPr>
              <w:spacing w:after="20" w:line="250" w:lineRule="auto"/>
            </w:pPr>
            <w:r>
              <w:t>Matching policy, thresholds and human-review service</w:t>
            </w:r>
          </w:p>
        </w:tc>
        <w:tc>
          <w:tcPr>
            <w:tcW w:type="dxa" w:w="3816"/>
            <w:tcMar>
              <w:top w:w="80" w:type="dxa"/>
              <w:start w:w="120" w:type="dxa"/>
              <w:bottom w:w="80" w:type="dxa"/>
              <w:end w:w="120" w:type="dxa"/>
            </w:tcMar>
            <w:vAlign w:val="center"/>
          </w:tcPr>
          <w:p>
            <w:pPr>
              <w:spacing w:after="20" w:line="250" w:lineRule="auto"/>
            </w:pPr>
            <w:r>
              <w:t>S10-09</w:t>
            </w:r>
          </w:p>
        </w:tc>
      </w:tr>
      <w:tr>
        <w:tc>
          <w:tcPr>
            <w:tcW w:type="dxa" w:w="1008"/>
            <w:tcMar>
              <w:top w:w="80" w:type="dxa"/>
              <w:start w:w="120" w:type="dxa"/>
              <w:bottom w:w="80" w:type="dxa"/>
              <w:end w:w="120" w:type="dxa"/>
            </w:tcMar>
            <w:vAlign w:val="center"/>
            <w:shd w:fill="F7F8FA"/>
          </w:tcPr>
          <w:p>
            <w:pPr>
              <w:spacing w:after="20" w:line="250" w:lineRule="auto"/>
            </w:pPr>
            <w:r>
              <w:t>S10-09</w:t>
            </w:r>
          </w:p>
        </w:tc>
        <w:tc>
          <w:tcPr>
            <w:tcW w:type="dxa" w:w="4536"/>
            <w:tcMar>
              <w:top w:w="80" w:type="dxa"/>
              <w:start w:w="120" w:type="dxa"/>
              <w:bottom w:w="80" w:type="dxa"/>
              <w:end w:w="120" w:type="dxa"/>
            </w:tcMar>
            <w:vAlign w:val="center"/>
            <w:shd w:fill="F7F8FA"/>
          </w:tcPr>
          <w:p>
            <w:pPr>
              <w:spacing w:after="20" w:line="250" w:lineRule="auto"/>
            </w:pPr>
            <w:r>
              <w:t>Gate operator and human-review frontend</w:t>
            </w:r>
          </w:p>
        </w:tc>
        <w:tc>
          <w:tcPr>
            <w:tcW w:type="dxa" w:w="3816"/>
            <w:tcMar>
              <w:top w:w="80" w:type="dxa"/>
              <w:start w:w="120" w:type="dxa"/>
              <w:bottom w:w="80" w:type="dxa"/>
              <w:end w:w="120" w:type="dxa"/>
            </w:tcMar>
            <w:vAlign w:val="center"/>
            <w:shd w:fill="F7F8FA"/>
          </w:tcPr>
          <w:p>
            <w:pPr>
              <w:spacing w:after="20" w:line="250" w:lineRule="auto"/>
            </w:pPr>
            <w:r>
              <w:t>S10-10</w:t>
            </w:r>
          </w:p>
        </w:tc>
      </w:tr>
      <w:tr>
        <w:tc>
          <w:tcPr>
            <w:tcW w:type="dxa" w:w="1008"/>
            <w:tcMar>
              <w:top w:w="80" w:type="dxa"/>
              <w:start w:w="120" w:type="dxa"/>
              <w:bottom w:w="80" w:type="dxa"/>
              <w:end w:w="120" w:type="dxa"/>
            </w:tcMar>
            <w:vAlign w:val="center"/>
          </w:tcPr>
          <w:p>
            <w:pPr>
              <w:spacing w:after="20" w:line="250" w:lineRule="auto"/>
            </w:pPr>
            <w:r>
              <w:t>S10-10</w:t>
            </w:r>
          </w:p>
        </w:tc>
        <w:tc>
          <w:tcPr>
            <w:tcW w:type="dxa" w:w="4536"/>
            <w:tcMar>
              <w:top w:w="80" w:type="dxa"/>
              <w:start w:w="120" w:type="dxa"/>
              <w:bottom w:w="80" w:type="dxa"/>
              <w:end w:w="120" w:type="dxa"/>
            </w:tcMar>
            <w:vAlign w:val="center"/>
          </w:tcPr>
          <w:p>
            <w:pPr>
              <w:spacing w:after="20" w:line="250" w:lineRule="auto"/>
            </w:pPr>
            <w:r>
              <w:t>Signed EDR assertion, receipt and reconciliation</w:t>
            </w:r>
          </w:p>
        </w:tc>
        <w:tc>
          <w:tcPr>
            <w:tcW w:type="dxa" w:w="3816"/>
            <w:tcMar>
              <w:top w:w="80" w:type="dxa"/>
              <w:start w:w="120" w:type="dxa"/>
              <w:bottom w:w="80" w:type="dxa"/>
              <w:end w:w="120" w:type="dxa"/>
            </w:tcMar>
            <w:vAlign w:val="center"/>
          </w:tcPr>
          <w:p>
            <w:pPr>
              <w:spacing w:after="20" w:line="250" w:lineRule="auto"/>
            </w:pPr>
            <w:r>
              <w:t>S10-11</w:t>
            </w:r>
          </w:p>
        </w:tc>
      </w:tr>
      <w:tr>
        <w:tc>
          <w:tcPr>
            <w:tcW w:type="dxa" w:w="1008"/>
            <w:tcMar>
              <w:top w:w="80" w:type="dxa"/>
              <w:start w:w="120" w:type="dxa"/>
              <w:bottom w:w="80" w:type="dxa"/>
              <w:end w:w="120" w:type="dxa"/>
            </w:tcMar>
            <w:vAlign w:val="center"/>
            <w:shd w:fill="F7F8FA"/>
          </w:tcPr>
          <w:p>
            <w:pPr>
              <w:spacing w:after="20" w:line="250" w:lineRule="auto"/>
            </w:pPr>
            <w:r>
              <w:t>S10-11</w:t>
            </w:r>
          </w:p>
        </w:tc>
        <w:tc>
          <w:tcPr>
            <w:tcW w:type="dxa" w:w="4536"/>
            <w:tcMar>
              <w:top w:w="80" w:type="dxa"/>
              <w:start w:w="120" w:type="dxa"/>
              <w:bottom w:w="80" w:type="dxa"/>
              <w:end w:w="120" w:type="dxa"/>
            </w:tcMar>
            <w:vAlign w:val="center"/>
            <w:shd w:fill="F7F8FA"/>
          </w:tcPr>
          <w:p>
            <w:pPr>
              <w:spacing w:after="20" w:line="250" w:lineRule="auto"/>
            </w:pPr>
            <w:r>
              <w:t>Withdrawal, retention sweeper and verified deletion</w:t>
            </w:r>
          </w:p>
        </w:tc>
        <w:tc>
          <w:tcPr>
            <w:tcW w:type="dxa" w:w="3816"/>
            <w:tcMar>
              <w:top w:w="80" w:type="dxa"/>
              <w:start w:w="120" w:type="dxa"/>
              <w:bottom w:w="80" w:type="dxa"/>
              <w:end w:w="120" w:type="dxa"/>
            </w:tcMar>
            <w:vAlign w:val="center"/>
            <w:shd w:fill="F7F8FA"/>
          </w:tcPr>
          <w:p>
            <w:pPr>
              <w:spacing w:after="20" w:line="250" w:lineRule="auto"/>
            </w:pPr>
            <w:r>
              <w:t>S10-12</w:t>
            </w:r>
          </w:p>
        </w:tc>
      </w:tr>
      <w:tr>
        <w:tc>
          <w:tcPr>
            <w:tcW w:type="dxa" w:w="1008"/>
            <w:tcMar>
              <w:top w:w="80" w:type="dxa"/>
              <w:start w:w="120" w:type="dxa"/>
              <w:bottom w:w="80" w:type="dxa"/>
              <w:end w:w="120" w:type="dxa"/>
            </w:tcMar>
            <w:vAlign w:val="center"/>
          </w:tcPr>
          <w:p>
            <w:pPr>
              <w:spacing w:after="20" w:line="250" w:lineRule="auto"/>
            </w:pPr>
            <w:r>
              <w:t>S10-12</w:t>
            </w:r>
          </w:p>
        </w:tc>
        <w:tc>
          <w:tcPr>
            <w:tcW w:type="dxa" w:w="4536"/>
            <w:tcMar>
              <w:top w:w="80" w:type="dxa"/>
              <w:start w:w="120" w:type="dxa"/>
              <w:bottom w:w="80" w:type="dxa"/>
              <w:end w:w="120" w:type="dxa"/>
            </w:tcMar>
            <w:vAlign w:val="center"/>
          </w:tcPr>
          <w:p>
            <w:pPr>
              <w:spacing w:after="20" w:line="250" w:lineRule="auto"/>
            </w:pPr>
            <w:r>
              <w:t>Privacy operations, deletion evidence and rights frontend</w:t>
            </w:r>
          </w:p>
        </w:tc>
        <w:tc>
          <w:tcPr>
            <w:tcW w:type="dxa" w:w="3816"/>
            <w:tcMar>
              <w:top w:w="80" w:type="dxa"/>
              <w:start w:w="120" w:type="dxa"/>
              <w:bottom w:w="80" w:type="dxa"/>
              <w:end w:w="120" w:type="dxa"/>
            </w:tcMar>
            <w:vAlign w:val="center"/>
          </w:tcPr>
          <w:p>
            <w:pPr>
              <w:spacing w:after="20" w:line="250" w:lineRule="auto"/>
            </w:pPr>
            <w:r>
              <w:t>S10-13</w:t>
            </w:r>
          </w:p>
        </w:tc>
      </w:tr>
      <w:tr>
        <w:tc>
          <w:tcPr>
            <w:tcW w:type="dxa" w:w="1008"/>
            <w:tcMar>
              <w:top w:w="80" w:type="dxa"/>
              <w:start w:w="120" w:type="dxa"/>
              <w:bottom w:w="80" w:type="dxa"/>
              <w:end w:w="120" w:type="dxa"/>
            </w:tcMar>
            <w:vAlign w:val="center"/>
            <w:shd w:fill="F7F8FA"/>
          </w:tcPr>
          <w:p>
            <w:pPr>
              <w:spacing w:after="20" w:line="250" w:lineRule="auto"/>
            </w:pPr>
            <w:r>
              <w:t>S10-13</w:t>
            </w:r>
          </w:p>
        </w:tc>
        <w:tc>
          <w:tcPr>
            <w:tcW w:type="dxa" w:w="4536"/>
            <w:tcMar>
              <w:top w:w="80" w:type="dxa"/>
              <w:start w:w="120" w:type="dxa"/>
              <w:bottom w:w="80" w:type="dxa"/>
              <w:end w:w="120" w:type="dxa"/>
            </w:tcMar>
            <w:vAlign w:val="center"/>
            <w:shd w:fill="F7F8FA"/>
          </w:tcPr>
          <w:p>
            <w:pPr>
              <w:spacing w:after="20" w:line="250" w:lineRule="auto"/>
            </w:pPr>
            <w:r>
              <w:t>Command, incident and operational-control frontend</w:t>
            </w:r>
          </w:p>
        </w:tc>
        <w:tc>
          <w:tcPr>
            <w:tcW w:type="dxa" w:w="3816"/>
            <w:tcMar>
              <w:top w:w="80" w:type="dxa"/>
              <w:start w:w="120" w:type="dxa"/>
              <w:bottom w:w="80" w:type="dxa"/>
              <w:end w:w="120" w:type="dxa"/>
            </w:tcMar>
            <w:vAlign w:val="center"/>
            <w:shd w:fill="F7F8FA"/>
          </w:tcPr>
          <w:p>
            <w:pPr>
              <w:spacing w:after="20" w:line="250" w:lineRule="auto"/>
            </w:pPr>
            <w:r>
              <w:t>S10-13</w:t>
            </w:r>
          </w:p>
        </w:tc>
      </w:tr>
      <w:tr>
        <w:tc>
          <w:tcPr>
            <w:tcW w:type="dxa" w:w="1008"/>
            <w:tcMar>
              <w:top w:w="80" w:type="dxa"/>
              <w:start w:w="120" w:type="dxa"/>
              <w:bottom w:w="80" w:type="dxa"/>
              <w:end w:w="120" w:type="dxa"/>
            </w:tcMar>
            <w:vAlign w:val="center"/>
          </w:tcPr>
          <w:p>
            <w:pPr>
              <w:spacing w:after="20" w:line="250" w:lineRule="auto"/>
            </w:pPr>
            <w:r>
              <w:t>S10-14</w:t>
            </w:r>
          </w:p>
        </w:tc>
        <w:tc>
          <w:tcPr>
            <w:tcW w:type="dxa" w:w="4536"/>
            <w:tcMar>
              <w:top w:w="80" w:type="dxa"/>
              <w:start w:w="120" w:type="dxa"/>
              <w:bottom w:w="80" w:type="dxa"/>
              <w:end w:w="120" w:type="dxa"/>
            </w:tcMar>
            <w:vAlign w:val="center"/>
          </w:tcPr>
          <w:p>
            <w:pPr>
              <w:spacing w:after="20" w:line="250" w:lineRule="auto"/>
            </w:pPr>
            <w:r>
              <w:t>Shadow harness, ground truth and fairness evaluation</w:t>
            </w:r>
          </w:p>
        </w:tc>
        <w:tc>
          <w:tcPr>
            <w:tcW w:type="dxa" w:w="3816"/>
            <w:tcMar>
              <w:top w:w="80" w:type="dxa"/>
              <w:start w:w="120" w:type="dxa"/>
              <w:bottom w:w="80" w:type="dxa"/>
              <w:end w:w="120" w:type="dxa"/>
            </w:tcMar>
            <w:vAlign w:val="center"/>
          </w:tcPr>
          <w:p>
            <w:pPr>
              <w:spacing w:after="20" w:line="250" w:lineRule="auto"/>
            </w:pPr>
            <w:r>
              <w:t>S10-14</w:t>
            </w:r>
          </w:p>
        </w:tc>
      </w:tr>
      <w:tr>
        <w:tc>
          <w:tcPr>
            <w:tcW w:type="dxa" w:w="1008"/>
            <w:tcMar>
              <w:top w:w="80" w:type="dxa"/>
              <w:start w:w="120" w:type="dxa"/>
              <w:bottom w:w="80" w:type="dxa"/>
              <w:end w:w="120" w:type="dxa"/>
            </w:tcMar>
            <w:vAlign w:val="center"/>
            <w:shd w:fill="F7F8FA"/>
          </w:tcPr>
          <w:p>
            <w:pPr>
              <w:spacing w:after="20" w:line="250" w:lineRule="auto"/>
            </w:pPr>
            <w:r>
              <w:t>S10-15</w:t>
            </w:r>
          </w:p>
        </w:tc>
        <w:tc>
          <w:tcPr>
            <w:tcW w:type="dxa" w:w="4536"/>
            <w:tcMar>
              <w:top w:w="80" w:type="dxa"/>
              <w:start w:w="120" w:type="dxa"/>
              <w:bottom w:w="80" w:type="dxa"/>
              <w:end w:w="120" w:type="dxa"/>
            </w:tcMar>
            <w:vAlign w:val="center"/>
            <w:shd w:fill="F7F8FA"/>
          </w:tcPr>
          <w:p>
            <w:pPr>
              <w:spacing w:after="20" w:line="250" w:lineRule="auto"/>
            </w:pPr>
            <w:r>
              <w:t>Security, privacy, accessibility, scale and failure qualification</w:t>
            </w:r>
          </w:p>
        </w:tc>
        <w:tc>
          <w:tcPr>
            <w:tcW w:type="dxa" w:w="3816"/>
            <w:tcMar>
              <w:top w:w="80" w:type="dxa"/>
              <w:start w:w="120" w:type="dxa"/>
              <w:bottom w:w="80" w:type="dxa"/>
              <w:end w:w="120" w:type="dxa"/>
            </w:tcMar>
            <w:vAlign w:val="center"/>
            <w:shd w:fill="F7F8FA"/>
          </w:tcPr>
          <w:p>
            <w:pPr>
              <w:spacing w:after="20" w:line="250" w:lineRule="auto"/>
            </w:pPr>
            <w:r>
              <w:t>S10-15</w:t>
            </w:r>
          </w:p>
        </w:tc>
      </w:tr>
      <w:tr>
        <w:tc>
          <w:tcPr>
            <w:tcW w:type="dxa" w:w="1008"/>
            <w:tcMar>
              <w:top w:w="80" w:type="dxa"/>
              <w:start w:w="120" w:type="dxa"/>
              <w:bottom w:w="80" w:type="dxa"/>
              <w:end w:w="120" w:type="dxa"/>
            </w:tcMar>
            <w:vAlign w:val="center"/>
          </w:tcPr>
          <w:p>
            <w:pPr>
              <w:spacing w:after="20" w:line="250" w:lineRule="auto"/>
            </w:pPr>
            <w:r>
              <w:t>S10-16</w:t>
            </w:r>
          </w:p>
        </w:tc>
        <w:tc>
          <w:tcPr>
            <w:tcW w:type="dxa" w:w="4536"/>
            <w:tcMar>
              <w:top w:w="80" w:type="dxa"/>
              <w:start w:w="120" w:type="dxa"/>
              <w:bottom w:w="80" w:type="dxa"/>
              <w:end w:w="120" w:type="dxa"/>
            </w:tcMar>
            <w:vAlign w:val="center"/>
          </w:tcPr>
          <w:p>
            <w:pPr>
              <w:spacing w:after="20" w:line="250" w:lineRule="auto"/>
            </w:pPr>
            <w:r>
              <w:t>Supervised shadow rehearsal and production decision</w:t>
            </w:r>
          </w:p>
        </w:tc>
        <w:tc>
          <w:tcPr>
            <w:tcW w:type="dxa" w:w="3816"/>
            <w:tcMar>
              <w:top w:w="80" w:type="dxa"/>
              <w:start w:w="120" w:type="dxa"/>
              <w:bottom w:w="80" w:type="dxa"/>
              <w:end w:w="120" w:type="dxa"/>
            </w:tcMar>
            <w:vAlign w:val="center"/>
          </w:tcPr>
          <w:p>
            <w:pPr>
              <w:spacing w:after="20" w:line="250" w:lineRule="auto"/>
            </w:pPr>
            <w:r>
              <w:t>S10-16</w:t>
            </w:r>
          </w:p>
        </w:tc>
      </w:tr>
      <w:tr>
        <w:tc>
          <w:tcPr>
            <w:tcW w:type="dxa" w:w="1008"/>
            <w:tcMar>
              <w:top w:w="80" w:type="dxa"/>
              <w:start w:w="120" w:type="dxa"/>
              <w:bottom w:w="80" w:type="dxa"/>
              <w:end w:w="120" w:type="dxa"/>
            </w:tcMar>
            <w:vAlign w:val="center"/>
            <w:shd w:fill="F7F8FA"/>
          </w:tcPr>
          <w:p>
            <w:pPr>
              <w:spacing w:after="20" w:line="250" w:lineRule="auto"/>
            </w:pPr>
            <w:r>
              <w:t>S10-17</w:t>
            </w:r>
          </w:p>
        </w:tc>
        <w:tc>
          <w:tcPr>
            <w:tcW w:type="dxa" w:w="4536"/>
            <w:tcMar>
              <w:top w:w="80" w:type="dxa"/>
              <w:start w:w="120" w:type="dxa"/>
              <w:bottom w:w="80" w:type="dxa"/>
              <w:end w:w="120" w:type="dxa"/>
            </w:tcMar>
            <w:vAlign w:val="center"/>
            <w:shd w:fill="F7F8FA"/>
          </w:tcPr>
          <w:p>
            <w:pPr>
              <w:spacing w:after="20" w:line="250" w:lineRule="auto"/>
            </w:pPr>
            <w:r>
              <w:t>Independent audit, clean-room release and Slice 11 handoff</w:t>
            </w:r>
          </w:p>
        </w:tc>
        <w:tc>
          <w:tcPr>
            <w:tcW w:type="dxa" w:w="3816"/>
            <w:tcMar>
              <w:top w:w="80" w:type="dxa"/>
              <w:start w:w="120" w:type="dxa"/>
              <w:bottom w:w="80" w:type="dxa"/>
              <w:end w:w="120" w:type="dxa"/>
            </w:tcMar>
            <w:vAlign w:val="center"/>
            <w:shd w:fill="F7F8FA"/>
          </w:tcPr>
          <w:p>
            <w:pPr>
              <w:spacing w:after="20" w:line="250" w:lineRule="auto"/>
            </w:pPr>
            <w:r>
              <w:t>S10-17</w:t>
            </w:r>
          </w:p>
        </w:tc>
      </w:tr>
    </w:tbl>
    <w:p>
      <w:pPr>
        <w:spacing w:after="0"/>
      </w:pPr>
    </w:p>
    <w:p>
      <w:pPr>
        <w:pStyle w:val="Heading1"/>
      </w:pPr>
      <w:r>
        <w:t>Global completion standard</w:t>
      </w:r>
    </w:p>
    <w:p>
      <w:pPr>
        <w:pStyle w:val="ListBullet"/>
        <w:spacing w:after="60"/>
      </w:pPr>
      <w:r>
        <w:t>Production fidelity only: no MVP, fake provider path, hidden TODO, bypass, deferred mandatory state or imported legacy biometric data.</w:t>
      </w:r>
    </w:p>
    <w:p>
      <w:pPr>
        <w:pStyle w:val="ListBullet"/>
        <w:spacing w:after="60"/>
      </w:pPr>
      <w:r>
        <w:t>Consent and refusal are real choices; mapping is event-specific; biometrics stay isolated; EDR remains sole admission authority.</w:t>
      </w:r>
    </w:p>
    <w:p>
      <w:pPr>
        <w:pStyle w:val="ListBullet"/>
        <w:spacing w:after="60"/>
      </w:pPr>
      <w:r>
        <w:t>Frontend, backend, privacy operations, provider reconciliation, accessibility and fallback are one deliverable.</w:t>
      </w:r>
    </w:p>
    <w:p>
      <w:pPr>
        <w:pStyle w:val="ListBullet"/>
        <w:spacing w:after="60"/>
      </w:pPr>
      <w:r>
        <w:t>Deletion means verified absence; fairness and threshold claims come from representative versioned evidence.</w:t>
      </w:r>
    </w:p>
    <w:p>
      <w:pPr>
        <w:pStyle w:val="ListBullet"/>
        <w:spacing w:after="60"/>
      </w:pPr>
      <w:r>
        <w:t>Every claim has exact executable evidence, a focused commit and independent acceptance.</w:t>
      </w:r>
    </w:p>
    <w:p>
      <w:pPr>
        <w:spacing w:after="0" w:line="20" w:lineRule="exact"/>
      </w:pPr>
      <w:r>
        <w:rPr>
          <w:sz w:val="2"/>
        </w:rPr>
        <w:br w:type="page"/>
      </w:r>
    </w:p>
    <w:p>
      <w:pPr>
        <w:pStyle w:val="PromptLabel"/>
      </w:pPr>
      <w:r>
        <w:rPr>
          <w:b/>
        </w:rPr>
        <w:t>PROMPT S10-00</w:t>
      </w:r>
    </w:p>
    <w:p>
      <w:pPr>
        <w:pStyle w:val="Heading1"/>
      </w:pPr>
      <w:r>
        <w:t>Entry audit, authority, isolation and threat lock</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S10-01</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Run first</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1-8, 20-22, 33-37 and Appendix D</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slice-10/s10-00-&lt;short-description&gt;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S10-00</w:t>
        <w:br/>
        <w:t>BUILD UNIT: S10-01</w:t>
        <w:br/>
        <w:t>LAST_ACCEPTED_COMMIT: NONE - first Slice 10 prompt</w:t>
        <w:br/>
        <w:br/>
        <w:t>Before changing code, read the ratified Canonical Build Blueprint, Intelligence Specification v1.0, Slice 10 Implementation Specification and Build Plan v1.0 (Sections 1-8, 20-22, 33-37 and Appendix D),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Freeze the legal, privacy, security, provider, authority, isolation and release boundary before any biometric feature code or live-data path exists.</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Audit the accepted Slice 9 exit, current repository, auth/RBAC, tenant/event scope, EventGuest mapping, EDR assertion boundary, feature flags, audit, queues, secrets, storage, observability and deployment topology.</w:t>
      </w:r>
    </w:p>
    <w:p>
      <w:pPr>
        <w:pStyle w:val="ListBullet"/>
        <w:spacing w:after="60"/>
      </w:pPr>
      <w:r>
        <w:t>Create ADRs for FaceGate isolation, Core/EDR data minimisation, event collections, consent authority, mapping ownership, provider adapter, EDR assertion, deletion proof and production enablement.</w:t>
      </w:r>
    </w:p>
    <w:p>
      <w:pPr>
        <w:pStyle w:val="ListBullet"/>
        <w:spacing w:after="60"/>
      </w:pPr>
      <w:r>
        <w:t>Create a decision register for legal basis, jurisdictions, age/capacity, consent copy, provider/region/subprocessors/training terms, raw-image TTL, template retention, liveness, thresholds, review bands, evaluation groups, pilot event and deletion evidence.</w:t>
      </w:r>
    </w:p>
    <w:p>
      <w:pPr>
        <w:pStyle w:val="ListBullet"/>
        <w:spacing w:after="60"/>
      </w:pPr>
      <w:r>
        <w:t>Create data-flow/DPIA inputs and threat model covering cross-event search, capture injection, replay, template theft, mapping substitution, insider browsing, provider compromise, deletion evasion, drift and denial of service.</w:t>
      </w:r>
    </w:p>
    <w:p>
      <w:pPr>
        <w:pStyle w:val="ListBullet"/>
        <w:spacing w:after="60"/>
      </w:pPr>
      <w:r>
        <w:t>Implement independently controlled environment/event flags default OFF and a kill-switch contract that preserves fallback and privacy operations.</w:t>
      </w:r>
    </w:p>
    <w:p>
      <w:pPr>
        <w:pStyle w:val="ListBullet"/>
        <w:spacing w:after="60"/>
      </w:pPr>
      <w:r>
        <w:t>Create traceability for S10-L01-L20, S10-F01-F18 and A01-A42.</w:t>
      </w:r>
    </w:p>
    <w:p>
      <w:pPr>
        <w:pStyle w:val="Heading3"/>
      </w:pPr>
      <w:r>
        <w:t>Frontend obligations</w:t>
      </w:r>
    </w:p>
    <w:p>
      <w:pPr>
        <w:pStyle w:val="ListBullet"/>
        <w:spacing w:after="60"/>
      </w:pPr>
      <w:r>
        <w:t>Add no guest or operator biometric workflow in this prompt. If an internal readiness screen is needed, show every missing approval, scope/version binding, owner, expiry and blocking reason without exposing sensitive provider secrets.</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A01-A03 and A35 foundations; negative proof that no capture/provider/match/production route is reachable.</w:t>
      </w:r>
    </w:p>
    <w:p>
      <w:pPr>
        <w:pStyle w:val="ListBullet"/>
        <w:spacing w:after="60"/>
      </w:pPr>
      <w:r>
        <w:t>Architecture, legal/privacy/security and data-minimisation review; IAM/network/schema boundary tests.</w:t>
      </w:r>
    </w:p>
    <w:p>
      <w:pPr>
        <w:pStyle w:val="ListBullet"/>
        <w:spacing w:after="60"/>
      </w:pPr>
      <w:r>
        <w:t>Untouched baseline, accepted Slice 9 handoff and exact current-state inventory.</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Slice 9 is not accepted, stable EventGuest mapping or EDR contract is absent, legal/privacy/security/provider owner is unnamed, provider deletion cannot be verified or isolation would require Core/EDR biometric storage.</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ADRs, decisions, threats, data flows, default-off controls and full traceability are accepted; every unresolved production matter is blocking or safely owned with expiry.</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S10-01</w:t>
      </w:r>
    </w:p>
    <w:p>
      <w:pPr>
        <w:pStyle w:val="Heading1"/>
      </w:pPr>
      <w:r>
        <w:t>Isolated FaceGate foundation and canonical schema</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S10-02</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6-8, 19, 22, 29 and 35</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slice-10/s10-01-&lt;short-description&gt;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S10-01</w:t>
        <w:br/>
        <w:t>BUILD UNIT: S10-02</w:t>
        <w:br/>
        <w:t>LAST_ACCEPTED_COMMIT: &lt;accepted full commit hash from S10-00&gt;</w:t>
        <w:br/>
        <w:br/>
        <w:t>Before changing code, read the ratified Canonical Build Blueprint, Intelligence Specification v1.0, Slice 10 Implementation Specification and Build Plan v1.0 (Sections 6-8, 19, 22, 29 and 35),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Create the isolated service, persistence, cryptography, network and audit foundation with no shared biometric data path.</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Create independently deployable FaceGate service/process boundary, isolated database/schema, service identities, least-privilege IAM, KMS/envelope encryption, secrets, network policy and private object/transient-media controls.</w:t>
      </w:r>
    </w:p>
    <w:p>
      <w:pPr>
        <w:pStyle w:val="ListBullet"/>
        <w:spacing w:after="60"/>
      </w:pPr>
      <w:r>
        <w:t>Implement canonical event enablement, consent decision/version, FaceSubject, EventGuestMapping, enrolment session, template reference, capture artefact, match session/candidate, human review, assertion, provider inventory, withdrawal, deletion job/evidence and evaluation entities.</w:t>
      </w:r>
    </w:p>
    <w:p>
      <w:pPr>
        <w:pStyle w:val="ListBullet"/>
        <w:spacing w:after="60"/>
      </w:pPr>
      <w:r>
        <w:t>Enforce event/tenant/environment/provider collection isolation, one-current mapping/template rules, immutable histories, optimistic concurrency, idempotency keys, state machines and purpose/version fields.</w:t>
      </w:r>
    </w:p>
    <w:p>
      <w:pPr>
        <w:pStyle w:val="ListBullet"/>
        <w:spacing w:after="60"/>
      </w:pPr>
      <w:r>
        <w:t>Separate restricted biometric audit from general audit; general audit receives only minimal non-biometric action/status references.</w:t>
      </w:r>
    </w:p>
    <w:p>
      <w:pPr>
        <w:pStyle w:val="ListBullet"/>
        <w:spacing w:after="60"/>
      </w:pPr>
      <w:r>
        <w:t>Implement retention classification, transient-object TTL, backup exclusion and schema guards that reject prohibited fields at Core/EDR boundaries.</w:t>
      </w:r>
    </w:p>
    <w:p>
      <w:pPr>
        <w:pStyle w:val="ListBullet"/>
        <w:spacing w:after="60"/>
      </w:pPr>
      <w:r>
        <w:t>Add migrations, rollback/forward recovery, outbox/inbox and projection rebuild foundations.</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A02-A03/A09/A11 database, schema, event-isolation, backup/log and boundary contract tests.</w:t>
      </w:r>
    </w:p>
    <w:p>
      <w:pPr>
        <w:pStyle w:val="ListBullet"/>
        <w:spacing w:after="60"/>
      </w:pPr>
      <w:r>
        <w:t>Migration/rollback, encryption, key rotation, network denial and fresh-deployment tests.</w:t>
      </w:r>
    </w:p>
    <w:p>
      <w:pPr>
        <w:pStyle w:val="ListBullet"/>
        <w:spacing w:after="60"/>
      </w:pPr>
      <w:r>
        <w:t>Static scans proving no biometric payload/reference crosses prohibited schemas or telemetry.</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infrastructure cannot isolate secrets/data/network, a provider identifier must leak to Core/EDR, transient media cannot be excluded from backup/logging or migrations would destroy history.</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Isolated clean-room foundation deploys and rolls back; all invariants and prohibited-data scans pass.</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S10-02</w:t>
      </w:r>
    </w:p>
    <w:p>
      <w:pPr>
        <w:pStyle w:val="Heading1"/>
      </w:pPr>
      <w:r>
        <w:t>Event enablement, four-key approvals and kill switch</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S10-03</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3-5, 20, 27-29 and 34-37</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slice-10/s10-02-&lt;short-description&gt;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S10-02</w:t>
        <w:br/>
        <w:t>BUILD UNIT: S10-03</w:t>
        <w:br/>
        <w:t>LAST_ACCEPTED_COMMIT: &lt;accepted full commit hash from S10-01&gt;</w:t>
        <w:br/>
        <w:br/>
        <w:t>Before changing code, read the ratified Canonical Build Blueprint, Intelligence Specification v1.0, Slice 10 Implementation Specification and Build Plan v1.0 (Sections 3-5, 20, 27-29 and 34-37),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Implement version-bound event enablement so legal, privacy, security and CEO authority is explicit, revocable and impossible to bypass.</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Implement enablement request/readiness/approval/activation/suspension/revocation lifecycle with exact event, jurisdiction, purpose, provider, region, consent, retention, model/config and policy hashes.</w:t>
      </w:r>
    </w:p>
    <w:p>
      <w:pPr>
        <w:pStyle w:val="ListBullet"/>
        <w:spacing w:after="60"/>
      </w:pPr>
      <w:r>
        <w:t>Enforce independent Legal, Privacy and Security approvals followed by CEO production authority; Event Director may activate only after all exact bindings and operational readiness pass.</w:t>
      </w:r>
    </w:p>
    <w:p>
      <w:pPr>
        <w:pStyle w:val="ListBullet"/>
        <w:spacing w:after="60"/>
      </w:pPr>
      <w:r>
        <w:t>Invalidate approval on expiry, material config/model/provider/consent/retention/policy change or specialist revocation.</w:t>
      </w:r>
    </w:p>
    <w:p>
      <w:pPr>
        <w:pStyle w:val="ListBullet"/>
        <w:spacing w:after="60"/>
      </w:pPr>
      <w:r>
        <w:t>Implement environment/event gates at every session and provider-call boundary, not only the UI.</w:t>
      </w:r>
    </w:p>
    <w:p>
      <w:pPr>
        <w:pStyle w:val="ListBullet"/>
        <w:spacing w:after="60"/>
      </w:pPr>
      <w:r>
        <w:t>Implement kill switch, health-dependent suspension and recovery requiring explicit revalidation; preserve fallback, withdrawal, deletion and investigation.</w:t>
      </w:r>
    </w:p>
    <w:p>
      <w:pPr>
        <w:pStyle w:val="ListBullet"/>
        <w:spacing w:after="60"/>
      </w:pPr>
      <w:r>
        <w:t>Publish minimal immutable approval and flag audit events without biometric detail.</w:t>
      </w:r>
    </w:p>
    <w:p>
      <w:pPr>
        <w:pStyle w:val="Heading3"/>
      </w:pPr>
      <w:r>
        <w:t>Frontend obligations</w:t>
      </w:r>
    </w:p>
    <w:p>
      <w:pPr>
        <w:pStyle w:val="ListBullet"/>
        <w:spacing w:after="60"/>
      </w:pPr>
      <w:r>
        <w:t>Build approval matrix, readiness detail, version diff, request/review/approve/reject/return, activation, suspension, revocation and kill-switch confirmation screens.</w:t>
      </w:r>
    </w:p>
    <w:p>
      <w:pPr>
        <w:pStyle w:val="ListBullet"/>
        <w:spacing w:after="60"/>
      </w:pPr>
      <w:r>
        <w:t>Show the exact binding, unmet gate, owner, condition, expiry, changed input and safe next action; never compress approvals into one green toggle.</w:t>
      </w:r>
    </w:p>
    <w:p>
      <w:pPr>
        <w:pStyle w:val="ListBullet"/>
        <w:spacing w:after="60"/>
      </w:pPr>
      <w:r>
        <w:t>Cover missing, conditional, expired, stale, denied, concurrent-change, partial outage, kill-switch active and recovery states at 360/768/1280px.</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A01/A35/A34 plus maker-checker, stale approval, privilege, direct-endpoint and flag-race tests.</w:t>
      </w:r>
    </w:p>
    <w:p>
      <w:pPr>
        <w:pStyle w:val="ListBullet"/>
        <w:spacing w:after="60"/>
      </w:pPr>
      <w:r>
        <w:t>Real browser four-key approval and emergency kill-switch journeys.</w:t>
      </w:r>
    </w:p>
    <w:p>
      <w:pPr>
        <w:pStyle w:val="ListBullet"/>
        <w:spacing w:after="60"/>
      </w:pPr>
      <w:r>
        <w:t>Negative provider-call tests for every non-active state.</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one role can self-authorise the whole capability, approval is not exact-version bound, a frontend flag is the only enforcement or kill switch disables rights/deletion/fallback.</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Four-key activation cannot be bypassed; revocation/change fails closed and the complete approval UX passes.</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S10-03</w:t>
      </w:r>
    </w:p>
    <w:p>
      <w:pPr>
        <w:pStyle w:val="Heading1"/>
      </w:pPr>
      <w:r>
        <w:t>Consent, refusal, capacity and rights domain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S10-04</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3-5, 9, 18, 28-29 and Appendix A</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slice-10/s10-03-&lt;short-description&gt;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S10-03</w:t>
        <w:br/>
        <w:t>BUILD UNIT: S10-04</w:t>
        <w:br/>
        <w:t>LAST_ACCEPTED_COMMIT: &lt;accepted full commit hash from S10-02&gt;</w:t>
        <w:br/>
        <w:br/>
        <w:t>Before changing code, read the ratified Canonical Build Blueprint, Intelligence Specification v1.0, Slice 10 Implementation Specification and Build Plan v1.0 (Sections 3-5, 9, 18, 28-29 and Appendix A),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Implement explicit, evidenced and withdrawable biometric consent with refusal parity and jurisdiction/event policy controls.</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Implement versioned notice and consent envelope containing event/purpose/provider/retention/policy, language, decision, actor/channel, accessibility/assistance, effective time and evidence hash.</w:t>
      </w:r>
    </w:p>
    <w:p>
      <w:pPr>
        <w:pStyle w:val="ListBullet"/>
        <w:spacing w:after="60"/>
      </w:pPr>
      <w:r>
        <w:t>Enforce consent before capture token, camera session, indexing, search or assertion; consent cannot be bundled with RSVP/admission or inferred from another event.</w:t>
      </w:r>
    </w:p>
    <w:p>
      <w:pPr>
        <w:pStyle w:val="ListBullet"/>
        <w:spacing w:after="60"/>
      </w:pPr>
      <w:r>
        <w:t>Implement offered/consented/refused/withdrawn/expired/suspended/restricted states and immutable history.</w:t>
      </w:r>
    </w:p>
    <w:p>
      <w:pPr>
        <w:pStyle w:val="ListBullet"/>
        <w:spacing w:after="60"/>
      </w:pPr>
      <w:r>
        <w:t>Implement approved age/guardian/capacity policy; unknown or unapproved cases route non-biometric fallback.</w:t>
      </w:r>
    </w:p>
    <w:p>
      <w:pPr>
        <w:pStyle w:val="ListBullet"/>
        <w:spacing w:after="60"/>
      </w:pPr>
      <w:r>
        <w:t>Implement refusal parity, correction, access, restriction, withdrawal request and rights-status contracts.</w:t>
      </w:r>
    </w:p>
    <w:p>
      <w:pPr>
        <w:pStyle w:val="ListBullet"/>
        <w:spacing w:after="60"/>
      </w:pPr>
      <w:r>
        <w:t>On withdrawal, atomically set immediate use-block and enqueue deletion without falsely reporting completion.</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A04-A07/A27/A33 consent-before-capture, purpose/version, refusal parity, withdrawal and capacity tests.</w:t>
      </w:r>
    </w:p>
    <w:p>
      <w:pPr>
        <w:pStyle w:val="ListBullet"/>
        <w:spacing w:after="60"/>
      </w:pPr>
      <w:r>
        <w:t>Property tests for state transitions, expiry, duplicate submissions and material notice change.</w:t>
      </w:r>
    </w:p>
    <w:p>
      <w:pPr>
        <w:pStyle w:val="ListBullet"/>
        <w:spacing w:after="60"/>
      </w:pPr>
      <w:r>
        <w:t>Contract tests proving all downstream services reject absent/stale/withdrawn consent.</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consent wording/owner is unapproved, refusal changes ordinary access, a child/capacity policy is guessed, or withdrawal cannot block use synchronously.</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Consent and rights domain is immutable, versioned, parity-safe and enforced server-side at every biometric boundary.</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S10-04</w:t>
      </w:r>
    </w:p>
    <w:p>
      <w:pPr>
        <w:pStyle w:val="Heading1"/>
      </w:pPr>
      <w:r>
        <w:t>Guest consent, refusal, withdrawal and rights frontend</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S10-05</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9, 18, 23-25, 29 and Appendix A</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slice-10/s10-04-&lt;short-description&gt;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S10-04</w:t>
        <w:br/>
        <w:t>BUILD UNIT: S10-05</w:t>
        <w:br/>
        <w:t>LAST_ACCEPTED_COMMIT: &lt;accepted full commit hash from S10-03&gt;</w:t>
        <w:br/>
        <w:br/>
        <w:t>Before changing code, read the ratified Canonical Build Blueprint, Intelligence Specification v1.0, Slice 10 Implementation Specification and Build Plan v1.0 (Sections 9, 18, 23-25, 29 and Appendix A),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Deliver a calm, accessible guest experience that enables real choice and makes the non-biometric route equally clear and usable.</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Expose short-lived, event-bound consent/rights sessions and permission-minimised status commands.</w:t>
      </w:r>
    </w:p>
    <w:p>
      <w:pPr>
        <w:pStyle w:val="ListBullet"/>
        <w:spacing w:after="60"/>
      </w:pPr>
      <w:r>
        <w:t>Return authoritative server state, current notice/version, fallback path, withdrawal block and deletion status; never place guest identifiers or sensitive detail in URLs/analytics.</w:t>
      </w:r>
    </w:p>
    <w:p>
      <w:pPr>
        <w:pStyle w:val="ListBullet"/>
        <w:spacing w:after="60"/>
      </w:pPr>
      <w:r>
        <w:t>Implement idempotent consent/refusal/withdraw commands with safe retry and session expiry.</w:t>
      </w:r>
    </w:p>
    <w:p>
      <w:pPr>
        <w:pStyle w:val="Heading3"/>
      </w:pPr>
      <w:r>
        <w:t>Frontend obligations</w:t>
      </w:r>
    </w:p>
    <w:p>
      <w:pPr>
        <w:pStyle w:val="ListBullet"/>
        <w:spacing w:after="60"/>
      </w:pPr>
      <w:r>
        <w:t>Build invitation entry, biometric explanation, notice, choice, consent confirmation, refusal confirmation, withdrawal, restriction, rights/status and fallback handoff screens.</w:t>
      </w:r>
    </w:p>
    <w:p>
      <w:pPr>
        <w:pStyle w:val="ListBullet"/>
        <w:spacing w:after="60"/>
      </w:pPr>
      <w:r>
        <w:t>State what FaceGate does and does not do, provider/purpose/retention, consequences, human review and QR/manual alternative in approved plain language.</w:t>
      </w:r>
    </w:p>
    <w:p>
      <w:pPr>
        <w:pStyle w:val="ListBullet"/>
        <w:spacing w:after="60"/>
      </w:pPr>
      <w:r>
        <w:t>Do not preselect consent, use manipulative prominence, countdown pressure or repeated nagging; fallback must be equally prominent and no slower by design.</w:t>
      </w:r>
    </w:p>
    <w:p>
      <w:pPr>
        <w:pStyle w:val="ListBullet"/>
        <w:spacing w:after="60"/>
      </w:pPr>
      <w:r>
        <w:t>Support language, zoom, keyboard, screen reader, reduced motion, camera-denied and assisted journeys; never require biometric re-verification to exercise rights.</w:t>
      </w:r>
    </w:p>
    <w:p>
      <w:pPr>
        <w:pStyle w:val="ListBullet"/>
        <w:spacing w:after="60"/>
      </w:pPr>
      <w:r>
        <w:t>Cover invalid/expired link, wrong event, already decided, notice changed, capacity blocked, offline/retry, permission denied, withdrawn, deletion pending/failed/verified and success states.</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A04-A07/A27/A33/A38 and S10-F01-F05/F13/F15-F18.</w:t>
      </w:r>
    </w:p>
    <w:p>
      <w:pPr>
        <w:pStyle w:val="ListBullet"/>
        <w:spacing w:after="60"/>
      </w:pPr>
      <w:r>
        <w:t>Real browser consent/refusal/withdrawal/fallback journeys at 320/360/768/1280px on supported mobile cameras.</w:t>
      </w:r>
    </w:p>
    <w:p>
      <w:pPr>
        <w:pStyle w:val="ListBullet"/>
        <w:spacing w:after="60"/>
      </w:pPr>
      <w:r>
        <w:t>DOM/URL/cache/log/analytics/screenshot privacy reset and deceptive-pattern review.</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refusal is visually or operationally inferior, notice is not approved/current, camera can open before consent, rights require biometric proof or any named state is omitted.</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Guests can consent, refuse, withdraw and obtain safe status without coercion, leakage or loss of ordinary access.</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S10-05</w:t>
      </w:r>
    </w:p>
    <w:p>
      <w:pPr>
        <w:pStyle w:val="Heading1"/>
      </w:pPr>
      <w:r>
        <w:t>EventGuest mapping and enrolment lifecycle</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S10-06</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7, 10, 13, 19 and 28-29</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slice-10/s10-05-&lt;short-description&gt;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S10-05</w:t>
        <w:br/>
        <w:t>BUILD UNIT: S10-06</w:t>
        <w:br/>
        <w:t>LAST_ACCEPTED_COMMIT: &lt;accepted full commit hash from S10-04&gt;</w:t>
        <w:br/>
        <w:br/>
        <w:t>Before changing code, read the ratified Canonical Build Blueprint, Intelligence Specification v1.0, Slice 10 Implementation Specification and Build Plan v1.0 (Sections 7, 10, 13, 19 and 28-29),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Implement a one-event pseudonymous subject mapping and idempotent enrolment lifecycle that cannot create a cross-event identity graph.</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Consume only signed/versioned Core mapping assertions for eligible EventGuests; derive scope from trusted context.</w:t>
      </w:r>
    </w:p>
    <w:p>
      <w:pPr>
        <w:pStyle w:val="ListBullet"/>
        <w:spacing w:after="60"/>
      </w:pPr>
      <w:r>
        <w:t>Create a random event-scoped FaceSubject and enforce one current subject-to-EventGuest mapping for exact event/version.</w:t>
      </w:r>
    </w:p>
    <w:p>
      <w:pPr>
        <w:pStyle w:val="ListBullet"/>
        <w:spacing w:after="60"/>
      </w:pPr>
      <w:r>
        <w:t>Block duplicate, stale, superseded, withdrawn, ineligible, no-consent or ambiguous mapping; never resolve by name, phone or facial similarity.</w:t>
      </w:r>
    </w:p>
    <w:p>
      <w:pPr>
        <w:pStyle w:val="ListBullet"/>
        <w:spacing w:after="60"/>
      </w:pPr>
      <w:r>
        <w:t>Implement enrolment session create/capture-ready/quality-assessed/indexing/completed/failed/abandoned/expired/superseded states with idempotency and bounded retries.</w:t>
      </w:r>
    </w:p>
    <w:p>
      <w:pPr>
        <w:pStyle w:val="ListBullet"/>
        <w:spacing w:after="60"/>
      </w:pPr>
      <w:r>
        <w:t>Implement re-enrolment as new template/reference plus verified retirement/deletion of predecessor; partial work reconciles.</w:t>
      </w:r>
    </w:p>
    <w:p>
      <w:pPr>
        <w:pStyle w:val="ListBullet"/>
        <w:spacing w:after="60"/>
      </w:pPr>
      <w:r>
        <w:t>Keep provider references inside FaceGate and expose only minimal participation/status to approved Core consumers.</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A08-A10/A14/A32 mapping uniqueness, cross-event, concurrency, stale assertion, retry and re-enrolment tests.</w:t>
      </w:r>
    </w:p>
    <w:p>
      <w:pPr>
        <w:pStyle w:val="ListBullet"/>
        <w:spacing w:after="60"/>
      </w:pPr>
      <w:r>
        <w:t>Property/fuzz tests for mapping/version/event keys and idempotency.</w:t>
      </w:r>
    </w:p>
    <w:p>
      <w:pPr>
        <w:pStyle w:val="ListBullet"/>
        <w:spacing w:after="60"/>
      </w:pPr>
      <w:r>
        <w:t>Reconciliation after worker/provider/database interruption.</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mapping relies on mutable contact data, cross-event reuse is proposed, ambiguity can auto-resolve, or a retry can create duplicate provider subjects.</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One event subject maps deterministically to one EventGuest; enrolment is idempotent, recoverable and cross-event impossible.</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S10-06</w:t>
      </w:r>
    </w:p>
    <w:p>
      <w:pPr>
        <w:pStyle w:val="Heading1"/>
      </w:pPr>
      <w:r>
        <w:t>Secure capture, quality, liveness boundary and enrolment UX</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S10-07</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8, 10-12, 23-25 and 29</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slice-10/s10-06-&lt;short-description&gt;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S10-06</w:t>
        <w:br/>
        <w:t>BUILD UNIT: S10-07</w:t>
        <w:br/>
        <w:t>LAST_ACCEPTED_COMMIT: &lt;accepted full commit hash from S10-05&gt;</w:t>
        <w:br/>
        <w:br/>
        <w:t>Before changing code, read the ratified Canonical Build Blueprint, Intelligence Specification v1.0, Slice 10 Implementation Specification and Build Plan v1.0 (Sections 8, 10-12, 23-25 and 29),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Implement privacy-minimised capture and an accessible enrolment journey with measurable quality, approved anti-spoof policy and immediate fallback.</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Issue short-lived, one-event, one-purpose capture tokens only after all enablement/consent/mapping gates pass.</w:t>
      </w:r>
    </w:p>
    <w:p>
      <w:pPr>
        <w:pStyle w:val="ListBullet"/>
        <w:spacing w:after="60"/>
      </w:pPr>
      <w:r>
        <w:t>Process image bytes transiently; validate type/size/origin/session, strip metadata, prevent caching, exclude logs/backups and delete on success/failure/abandon/TTL.</w:t>
      </w:r>
    </w:p>
    <w:p>
      <w:pPr>
        <w:pStyle w:val="ListBullet"/>
        <w:spacing w:after="60"/>
      </w:pPr>
      <w:r>
        <w:t>Implement approved quality checks for face count, pose, lighting, occlusion, blur and measurable acceptance; return neutral actionable guidance.</w:t>
      </w:r>
    </w:p>
    <w:p>
      <w:pPr>
        <w:pStyle w:val="ListBullet"/>
        <w:spacing w:after="60"/>
      </w:pPr>
      <w:r>
        <w:t>Implement liveness/anti-spoof only if separately approved and disclosed; otherwise supervised capture plus bounded replay/injection controls.</w:t>
      </w:r>
    </w:p>
    <w:p>
      <w:pPr>
        <w:pStyle w:val="ListBullet"/>
        <w:spacing w:after="60"/>
      </w:pPr>
      <w:r>
        <w:t>Enforce attempt/time limits, abandonment, safe retry, accessible alternative and idempotent handoff to indexing.</w:t>
      </w:r>
    </w:p>
    <w:p>
      <w:pPr>
        <w:pStyle w:val="ListBullet"/>
        <w:spacing w:after="60"/>
      </w:pPr>
      <w:r>
        <w:t>Record quality/liveness policy and version, not raw media, in durable evidence.</w:t>
      </w:r>
    </w:p>
    <w:p>
      <w:pPr>
        <w:pStyle w:val="Heading3"/>
      </w:pPr>
      <w:r>
        <w:t>Frontend obligations</w:t>
      </w:r>
    </w:p>
    <w:p>
      <w:pPr>
        <w:pStyle w:val="ListBullet"/>
        <w:spacing w:after="60"/>
      </w:pPr>
      <w:r>
        <w:t>Build permission primer, camera selection, framing guide, live quality feedback, capture review where approved, progress, retry, completion, abandon and fallback screens.</w:t>
      </w:r>
    </w:p>
    <w:p>
      <w:pPr>
        <w:pStyle w:val="ListBullet"/>
        <w:spacing w:after="60"/>
      </w:pPr>
      <w:r>
        <w:t>Use neutral wording such as “could not verify” and never imply blame, fraud, age, gender, race, disability or identity conclusion.</w:t>
      </w:r>
    </w:p>
    <w:p>
      <w:pPr>
        <w:pStyle w:val="ListBullet"/>
        <w:spacing w:after="60"/>
      </w:pPr>
      <w:r>
        <w:t>Support camera denial, unsupported browser/device, low bandwidth, orientation, glare, headwear/accessibility needs, assisted capture and no-camera fallback.</w:t>
      </w:r>
    </w:p>
    <w:p>
      <w:pPr>
        <w:pStyle w:val="ListBullet"/>
        <w:spacing w:after="60"/>
      </w:pPr>
      <w:r>
        <w:t>Clear video/canvas/image buffers and UI state after completion, cancellation, timeout or navigation.</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A11-A13/A38 plus capture injection, MIME/polyglot, replay, TTL, cache/log/backup and attempt-limit tests.</w:t>
      </w:r>
    </w:p>
    <w:p>
      <w:pPr>
        <w:pStyle w:val="ListBullet"/>
        <w:spacing w:after="60"/>
      </w:pPr>
      <w:r>
        <w:t>Real-device/browser enrolment at 320/360/768/1280px with keyboard/screen reader/zoom and camera-denied paths.</w:t>
      </w:r>
    </w:p>
    <w:p>
      <w:pPr>
        <w:pStyle w:val="ListBullet"/>
        <w:spacing w:after="60"/>
      </w:pPr>
      <w:r>
        <w:t>Memory/object inventory proves transient media deletion after every outcome.</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raw images persist without approved exception, liveness is unapproved/inaccessible, quality guidance is discriminatory/accusatory or fallback is not immediate.</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Accessible enrolment completes or falls back safely; transient media, spoof controls and privacy reset are proven.</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S10-07</w:t>
      </w:r>
    </w:p>
    <w:p>
      <w:pPr>
        <w:pStyle w:val="Heading1"/>
      </w:pPr>
      <w:r>
        <w:t>AWS provider adapter, collections and reconciliation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S10-08</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6-8, 12-13, 19, 22, 28-29</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slice-10/s10-07-&lt;short-description&gt;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S10-07</w:t>
        <w:br/>
        <w:t>BUILD UNIT: S10-08</w:t>
        <w:br/>
        <w:t>LAST_ACCEPTED_COMMIT: &lt;accepted full commit hash from S10-06&gt;</w:t>
        <w:br/>
        <w:br/>
        <w:t>Before changing code, read the ratified Canonical Build Blueprint, Intelligence Specification v1.0, Slice 10 Implementation Specification and Build Plan v1.0 (Sections 6-8, 12-13, 19, 22, 28-29),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Implement the provider boundary behind an internal adapter with exact event collections, least privilege, normalised errors and independently verifiable inventory.</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Define provider-neutral create/delete collection, index/delete face, search, list/inventory and health interfaces with versioned request/response envelopes.</w:t>
      </w:r>
    </w:p>
    <w:p>
      <w:pPr>
        <w:pStyle w:val="ListBullet"/>
        <w:spacing w:after="60"/>
      </w:pPr>
      <w:r>
        <w:t>Implement the approved AWS Rekognition adapter using exact region, account, credentials, encryption/network controls, quotas and request IDs; prohibit automatic region or provider fallback.</w:t>
      </w:r>
    </w:p>
    <w:p>
      <w:pPr>
        <w:pStyle w:val="ListBullet"/>
        <w:spacing w:after="60"/>
      </w:pPr>
      <w:r>
        <w:t>Create one event/environment/purpose collection using pseudonymous external IDs; never use names/contact data.</w:t>
      </w:r>
    </w:p>
    <w:p>
      <w:pPr>
        <w:pStyle w:val="ListBullet"/>
        <w:spacing w:after="60"/>
      </w:pPr>
      <w:r>
        <w:t>Normalise unavailable/throttled/invalid-image/no-face/multiple-face/quality/security/duplicate/version errors into safe application states.</w:t>
      </w:r>
    </w:p>
    <w:p>
      <w:pPr>
        <w:pStyle w:val="ListBullet"/>
        <w:spacing w:after="60"/>
      </w:pPr>
      <w:r>
        <w:t>Make every provider operation idempotent with outbox/retry/backoff/circuit breaker and provider/local reconciliation.</w:t>
      </w:r>
    </w:p>
    <w:p>
      <w:pPr>
        <w:pStyle w:val="ListBullet"/>
        <w:spacing w:after="60"/>
      </w:pPr>
      <w:r>
        <w:t>Implement expected-versus-actual inventory, duplicate/orphan detection, collection emptiness verification and restricted diagnostic evidence.</w:t>
      </w:r>
    </w:p>
    <w:p>
      <w:pPr>
        <w:pStyle w:val="ListBullet"/>
        <w:spacing w:after="60"/>
      </w:pPr>
      <w:r>
        <w:t>Pin/record provider service/model/config version where available and surface material drift.</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A03/A09/A10/A14/A25/A28-A32/A37/A40 adapter contract, local emulator/mock boundary and approved sandbox integration tests.</w:t>
      </w:r>
    </w:p>
    <w:p>
      <w:pPr>
        <w:pStyle w:val="ListBullet"/>
        <w:spacing w:after="60"/>
      </w:pPr>
      <w:r>
        <w:t>IAM denial, wrong region/account/collection, throttling, outage, partial indexing/deletion and inventory reconciliation.</w:t>
      </w:r>
    </w:p>
    <w:p>
      <w:pPr>
        <w:pStyle w:val="ListBullet"/>
        <w:spacing w:after="60"/>
      </w:pPr>
      <w:r>
        <w:t>Static/network/log scans prove provider references remain FaceGate-only.</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provider contract/DPA/region/training/deletion terms are unapproved, credentials are overbroad, event collection isolation is unavailable or deletion/inventory cannot be verified.</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AWS adapter is replaceable, least-privilege, event-isolated, failure-safe and reconciles exact provider state.</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S10-08</w:t>
      </w:r>
    </w:p>
    <w:p>
      <w:pPr>
        <w:pStyle w:val="Heading1"/>
      </w:pPr>
      <w:r>
        <w:t>Matching policy, thresholds and human-review service</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S10-09</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11, 14-15, 20-22, 28-29</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slice-10/s10-08-&lt;short-description&gt;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S10-08</w:t>
        <w:br/>
        <w:t>BUILD UNIT: S10-09</w:t>
        <w:br/>
        <w:t>LAST_ACCEPTED_COMMIT: &lt;accepted full commit hash from S10-07&gt;</w:t>
        <w:br/>
        <w:br/>
        <w:t>Before changing code, read the ratified Canonical Build Blueprint, Intelligence Specification v1.0, Slice 10 Implementation Specification and Build Plan v1.0 (Sections 11, 14-15, 20-22, 28-29),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Implement closed-set event matching with versioned evidence bands, no silent top-choice behavior and authoritative human review.</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Create match sessions only for active event, current consent/mapping/template and approved policy; enforce short TTL and bounded attempts.</w:t>
      </w:r>
    </w:p>
    <w:p>
      <w:pPr>
        <w:pStyle w:val="ListBullet"/>
        <w:spacing w:after="60"/>
      </w:pPr>
      <w:r>
        <w:t>Search only the exact event collection and retain minimum restricted candidate evidence with provider/config/policy version and expiry.</w:t>
      </w:r>
    </w:p>
    <w:p>
      <w:pPr>
        <w:pStyle w:val="ListBullet"/>
        <w:spacing w:after="60"/>
      </w:pPr>
      <w:r>
        <w:t>Implement no-candidate, below-review, review-band, high-confidence-candidate, multiple-candidate, quality-failure, provider-unavailable, stale/withdrawn and expired states.</w:t>
      </w:r>
    </w:p>
    <w:p>
      <w:pPr>
        <w:pStyle w:val="ListBullet"/>
        <w:spacing w:after="60"/>
      </w:pPr>
      <w:r>
        <w:t>Use no automatic admission. Initial release requires human/EDR-controlled assertion according to ratified policy.</w:t>
      </w:r>
    </w:p>
    <w:p>
      <w:pPr>
        <w:pStyle w:val="ListBullet"/>
        <w:spacing w:after="60"/>
      </w:pPr>
      <w:r>
        <w:t>Implement reviewer accept/reject/refer/request-second-review with reason, capability, expiry, preserved original result and maker-checker for defined cases.</w:t>
      </w:r>
    </w:p>
    <w:p>
      <w:pPr>
        <w:pStyle w:val="ListBullet"/>
        <w:spacing w:after="60"/>
      </w:pPr>
      <w:r>
        <w:t>Block candidate use after consent/mapping/policy change or withdrawal; purge expired evidence.</w:t>
      </w:r>
    </w:p>
    <w:p>
      <w:pPr>
        <w:pStyle w:val="ListBullet"/>
        <w:spacing w:after="60"/>
      </w:pPr>
      <w:r>
        <w:t>Emit privacy-safe operational metrics without identity or reusable candidate data.</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A15-A20/A27/A35/A37 threshold-boundary, ambiguity, false-match, false-non-match, expiry, withdrawal-race and reviewer privilege tests.</w:t>
      </w:r>
    </w:p>
    <w:p>
      <w:pPr>
        <w:pStyle w:val="ListBullet"/>
        <w:spacing w:after="60"/>
      </w:pPr>
      <w:r>
        <w:t>Property tests immediately around every versioned threshold and for multiple candidate ordering.</w:t>
      </w:r>
    </w:p>
    <w:p>
      <w:pPr>
        <w:pStyle w:val="ListBullet"/>
        <w:spacing w:after="60"/>
      </w:pPr>
      <w:r>
        <w:t>Provider confidence is never treated as probability or identity certainty in API/UI copy.</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thresholds/review bands are unratified, top candidate can auto-admit, no-match becomes denial, reviewer can override consent/scope or candidate evidence lacks TTL.</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Matching produces only safe, event-scoped, expiring review outcomes; false/failed/ambiguous paths preserve fallback.</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S10-09</w:t>
      </w:r>
    </w:p>
    <w:p>
      <w:pPr>
        <w:pStyle w:val="Heading1"/>
      </w:pPr>
      <w:r>
        <w:t>Gate operator and human-review frontend</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S10-10</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15, 17, 23-26 and 29</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slice-10/s10-09-&lt;short-description&gt;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S10-09</w:t>
        <w:br/>
        <w:t>BUILD UNIT: S10-10</w:t>
        <w:br/>
        <w:t>LAST_ACCEPTED_COMMIT: &lt;accepted full commit hash from S10-08&gt;</w:t>
        <w:br/>
        <w:br/>
        <w:t>Before changing code, read the ratified Canonical Build Blueprint, Intelligence Specification v1.0, Slice 10 Implementation Specification and Build Plan v1.0 (Sections 15, 17, 23-26 and 29),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Deliver a fast, minimum-data gate experience that separates candidate review from authoritative EDR admission and remains usable under pressure.</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Expose event/gate-bound operator sessions, FaceGate/provider health, safe candidate state and independent EDR assertion/receipt state.</w:t>
      </w:r>
    </w:p>
    <w:p>
      <w:pPr>
        <w:pStyle w:val="ListBullet"/>
        <w:spacing w:after="60"/>
      </w:pPr>
      <w:r>
        <w:t>Implement idempotent capture/search/review/assertion commands and server-side permission/state checks.</w:t>
      </w:r>
    </w:p>
    <w:p>
      <w:pPr>
        <w:pStyle w:val="ListBullet"/>
        <w:spacing w:after="60"/>
      </w:pPr>
      <w:r>
        <w:t>Automatically clear candidate/capture state from screen, DOM and client caches after action, timeout, event/gate change or withdrawal.</w:t>
      </w:r>
    </w:p>
    <w:p>
      <w:pPr>
        <w:pStyle w:val="Heading3"/>
      </w:pPr>
      <w:r>
        <w:t>Frontend obligations</w:t>
      </w:r>
    </w:p>
    <w:p>
      <w:pPr>
        <w:pStyle w:val="ListBullet"/>
        <w:spacing w:after="60"/>
      </w:pPr>
      <w:r>
        <w:t>Build gate ready, capture attempt, candidate, low confidence, multiple candidates, no match, quality failure, accepted/rejected/referred review, second review, assertion pending, EDR result, provider/FaceGate/EDR outage, fallback and privacy-reset screens.</w:t>
      </w:r>
    </w:p>
    <w:p>
      <w:pPr>
        <w:pStyle w:val="ListBullet"/>
        <w:spacing w:after="60"/>
      </w:pPr>
      <w:r>
        <w:t>Show only the minimum permitted comparison context, confidence band/limitations and event purpose; no raw score-as-certainty, broad guest list, gallery or search-all.</w:t>
      </w:r>
    </w:p>
    <w:p>
      <w:pPr>
        <w:pStyle w:val="ListBullet"/>
        <w:spacing w:after="60"/>
      </w:pPr>
      <w:r>
        <w:t>Use large touch targets, sound-independent feedback, no colour-only status, one-handed tablet flow and a persistent QR/manual route.</w:t>
      </w:r>
    </w:p>
    <w:p>
      <w:pPr>
        <w:pStyle w:val="ListBullet"/>
        <w:spacing w:after="60"/>
      </w:pPr>
      <w:r>
        <w:t>Clearly label FaceGate result as candidate/review and EDR response as the admission authority; never show “admitted” from FaceGate.</w:t>
      </w:r>
    </w:p>
    <w:p>
      <w:pPr>
        <w:pStyle w:val="ListBullet"/>
        <w:spacing w:after="60"/>
      </w:pPr>
      <w:r>
        <w:t>Make false-match correction and immediate fallback faster than repeated biometric attempts; neutral guest-facing language throughout.</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A15-A21/A25-A26/A39 and S10-F06-F12/F15-F18.</w:t>
      </w:r>
    </w:p>
    <w:p>
      <w:pPr>
        <w:pStyle w:val="ListBullet"/>
        <w:spacing w:after="60"/>
      </w:pPr>
      <w:r>
        <w:t>Real operator and reviewer journeys at 360/768/1280px, touch, keyboard, screen reader and simulated queue pressure.</w:t>
      </w:r>
    </w:p>
    <w:p>
      <w:pPr>
        <w:pStyle w:val="ListBullet"/>
        <w:spacing w:after="60"/>
      </w:pPr>
      <w:r>
        <w:t>Privacy reset checks across screen/DOM/cache/back navigation and role/event switching.</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operator can browse guests, FaceGate result looks like admission, a match must be accepted to continue, fallback is buried or prior guest data survives reset.</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Operators can complete every match/review/fallback state quickly and safely without data leakage or authority confusion.</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S10-10</w:t>
      </w:r>
    </w:p>
    <w:p>
      <w:pPr>
        <w:pStyle w:val="Heading1"/>
      </w:pPr>
      <w:r>
        <w:t>Signed EDR assertion, receipt and reconciliation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S10-11</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6, 16-17, 28-29 and Appendix B</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slice-10/s10-10-&lt;short-description&gt;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S10-10</w:t>
        <w:br/>
        <w:t>BUILD UNIT: S10-11</w:t>
        <w:br/>
        <w:t>LAST_ACCEPTED_COMMIT: &lt;accepted full commit hash from S10-09&gt;</w:t>
        <w:br/>
        <w:br/>
        <w:t>Before changing code, read the ratified Canonical Build Blueprint, Intelligence Specification v1.0, Slice 10 Implementation Specification and Build Plan v1.0 (Sections 6, 16-17, 28-29 and Appendix B),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Integrate FaceGate with EDR through a short-lived signed assertion while preserving EDR as the sole admission and attendance writer.</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Define canonical assertion envelope: assertion/event/subject/mapping/policy/consent/version, candidate outcome/band, human review, provider evidence reference, issued/expiry, nonce, audience and integrity metadata.</w:t>
      </w:r>
    </w:p>
    <w:p>
      <w:pPr>
        <w:pStyle w:val="ListBullet"/>
        <w:spacing w:after="60"/>
      </w:pPr>
      <w:r>
        <w:t>Sign with scoped rotating keys; validate signature, audience, event, tenant, environment, TTL, consent, mapping, policy and review state at EDR boundary.</w:t>
      </w:r>
    </w:p>
    <w:p>
      <w:pPr>
        <w:pStyle w:val="ListBullet"/>
        <w:spacing w:after="60"/>
      </w:pPr>
      <w:r>
        <w:t>Implement nonce/replay protection, idempotent delivery, outbox retry and one-effect EDR receipt/reconciliation.</w:t>
      </w:r>
    </w:p>
    <w:p>
      <w:pPr>
        <w:pStyle w:val="ListBullet"/>
        <w:spacing w:after="60"/>
      </w:pPr>
      <w:r>
        <w:t>EDR independently resolves the stable EventGuest, rechecks authoritative eligibility/credential/admission policy and returns accepted/rejected/expired/referred receipt.</w:t>
      </w:r>
    </w:p>
    <w:p>
      <w:pPr>
        <w:pStyle w:val="ListBullet"/>
        <w:spacing w:after="60"/>
      </w:pPr>
      <w:r>
        <w:t>Prohibit FaceGate database/network permissions to attendance writes and prohibit EDR access to templates/provider internals.</w:t>
      </w:r>
    </w:p>
    <w:p>
      <w:pPr>
        <w:pStyle w:val="ListBullet"/>
        <w:spacing w:after="60"/>
      </w:pPr>
      <w:r>
        <w:t>Expire/revoke unsent assertions after withdrawal or material state change; preserve minimal immutable receipt evidence.</w:t>
      </w:r>
    </w:p>
    <w:p>
      <w:pPr>
        <w:pStyle w:val="Heading3"/>
      </w:pPr>
      <w:r>
        <w:t>Frontend obligations</w:t>
      </w:r>
    </w:p>
    <w:p>
      <w:pPr>
        <w:pStyle w:val="ListBullet"/>
        <w:spacing w:after="60"/>
      </w:pPr>
      <w:r>
        <w:t>Update operator/reviewer UI to display assertion submission separately from the final EDR result and to route invalid/expired/rejected/unavailable outcomes safely to EDR fallback.</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A22-A24/A26-A27/A40 signature, tamper, wrong audience/event, expiry, replay, duplicate delivery, withdrawal race and EDR outage tests.</w:t>
      </w:r>
    </w:p>
    <w:p>
      <w:pPr>
        <w:pStyle w:val="ListBullet"/>
        <w:spacing w:after="60"/>
      </w:pPr>
      <w:r>
        <w:t>Database/network permission proof that FaceGate cannot write attendance.</w:t>
      </w:r>
    </w:p>
    <w:p>
      <w:pPr>
        <w:pStyle w:val="ListBullet"/>
        <w:spacing w:after="60"/>
      </w:pPr>
      <w:r>
        <w:t>End-to-end one assertion to one EDR business effect with reconciliation after failures.</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EDR would trust a client-supplied identity, FaceGate can write attendance, assertion lacks exact version/audience/TTL, or retries can duplicate attendance effects.</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Signed assertion is tamper-proof, event-bound, replay-safe and subordinate to independently authoritative EDR resolution.</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S10-11</w:t>
      </w:r>
    </w:p>
    <w:p>
      <w:pPr>
        <w:pStyle w:val="Heading1"/>
      </w:pPr>
      <w:r>
        <w:t>Withdrawal, retention sweeper and verified deletion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S10-12</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18-19, 28-29, 35-36 and Appendix C</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slice-10/s10-11-&lt;short-description&gt;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S10-11</w:t>
        <w:br/>
        <w:t>BUILD UNIT: S10-12</w:t>
        <w:br/>
        <w:t>LAST_ACCEPTED_COMMIT: &lt;accepted full commit hash from S10-10&gt;</w:t>
        <w:br/>
        <w:br/>
        <w:t>Before changing code, read the ratified Canonical Build Blueprint, Intelligence Specification v1.0, Slice 10 Implementation Specification and Build Plan v1.0 (Sections 18-19, 28-29, 35-36 and Appendix C),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Complete the privacy lifecycle with immediate future-use blocking, automated local/provider deletion and evidence that absence has been verified.</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Implement withdrawal/restriction transaction that blocks capture/search/assertion immediately and invalidates active sessions/candidates.</w:t>
      </w:r>
    </w:p>
    <w:p>
      <w:pPr>
        <w:pStyle w:val="ListBullet"/>
        <w:spacing w:after="60"/>
      </w:pPr>
      <w:r>
        <w:t>Implement retention policy selection by exact event/purpose/consent/provider version and calculate deletion deadlines from withdrawal, event close, consent expiry or supersession.</w:t>
      </w:r>
    </w:p>
    <w:p>
      <w:pPr>
        <w:pStyle w:val="ListBullet"/>
        <w:spacing w:after="60"/>
      </w:pPr>
      <w:r>
        <w:t>Build sweeper and deletion jobs for transient artefacts, local restricted records, provider faces and event collections with idempotency, retries, backoff, owners and deadlines.</w:t>
      </w:r>
    </w:p>
    <w:p>
      <w:pPr>
        <w:pStyle w:val="ListBullet"/>
        <w:spacing w:after="60"/>
      </w:pPr>
      <w:r>
        <w:t>After provider delete, re-query/list inventory and compare expected state; completion requires verified absence and no unresolved dependent job.</w:t>
      </w:r>
    </w:p>
    <w:p>
      <w:pPr>
        <w:pStyle w:val="ListBullet"/>
        <w:spacing w:after="60"/>
      </w:pPr>
      <w:r>
        <w:t>Detect duplicates, orphans, unexpected collections, dead letters and predecessor templates; investigate and remove under controlled workflow.</w:t>
      </w:r>
    </w:p>
    <w:p>
      <w:pPr>
        <w:pStyle w:val="ListBullet"/>
        <w:spacing w:after="60"/>
      </w:pPr>
      <w:r>
        <w:t>Retain only approved minimal non-biometric tombstone/certificate with scope, authority, attempts, verification method/time and evidence hash.</w:t>
      </w:r>
    </w:p>
    <w:p>
      <w:pPr>
        <w:pStyle w:val="ListBullet"/>
        <w:spacing w:after="60"/>
      </w:pPr>
      <w:r>
        <w:t>Keep fallback and rights status available during failure, provider outage, rollback and incident containment.</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A27-A33 provider/local deletion, immediate block, expired policy, orphan, duplicate, dead-letter, collection ordering and re-enrolment tests.</w:t>
      </w:r>
    </w:p>
    <w:p>
      <w:pPr>
        <w:pStyle w:val="ListBullet"/>
        <w:spacing w:after="60"/>
      </w:pPr>
      <w:r>
        <w:t>Race tests between match/assertion and withdrawal; new use must fail synchronously.</w:t>
      </w:r>
    </w:p>
    <w:p>
      <w:pPr>
        <w:pStyle w:val="ListBullet"/>
        <w:spacing w:after="60"/>
      </w:pPr>
      <w:r>
        <w:t>Independent inventory/re-query evidence proves deletion; backup/restore tests do not resurrect biometric data.</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status says deleted before verification, withdrawal waits for provider availability, collection deletion can orphan subjects, or rollback/backup can restore usable templates.</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Every withdrawal blocks use immediately; all provider/local data is deleted, reconciled and evidenced or visibly owned as failed.</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S10-12</w:t>
      </w:r>
    </w:p>
    <w:p>
      <w:pPr>
        <w:pStyle w:val="Heading1"/>
      </w:pPr>
      <w:r>
        <w:t>Privacy operations, deletion evidence and rights frontend</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S10-13</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18-19, 23, 27-29 and Appendix C</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slice-10/s10-12-&lt;short-description&gt;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S10-12</w:t>
        <w:br/>
        <w:t>BUILD UNIT: S10-13</w:t>
        <w:br/>
        <w:t>LAST_ACCEPTED_COMMIT: &lt;accepted full commit hash from S10-11&gt;</w:t>
        <w:br/>
        <w:br/>
        <w:t>Before changing code, read the ratified Canonical Build Blueprint, Intelligence Specification v1.0, Slice 10 Implementation Specification and Build Plan v1.0 (Sections 18-19, 23, 27-29 and Appendix C),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Deliver specialist operational control over withdrawals, inventories, deletion failures, rights requests and evidence without exposing biometric material.</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Expose permission-minimised withdrawal/deletion/inventory/rights APIs with server-derived status and restricted evidence references.</w:t>
      </w:r>
    </w:p>
    <w:p>
      <w:pPr>
        <w:pStyle w:val="ListBullet"/>
        <w:spacing w:after="60"/>
      </w:pPr>
      <w:r>
        <w:t>Implement safe commands for assign, retry, escalate, verify, resolve orphan, delete collection, produce minimal certificate and report incident.</w:t>
      </w:r>
    </w:p>
    <w:p>
      <w:pPr>
        <w:pStyle w:val="ListBullet"/>
        <w:spacing w:after="60"/>
      </w:pPr>
      <w:r>
        <w:t>Enforce dual control or specialist authority where policy requires and audit every restricted access.</w:t>
      </w:r>
    </w:p>
    <w:p>
      <w:pPr>
        <w:pStyle w:val="Heading3"/>
      </w:pPr>
      <w:r>
        <w:t>Frontend obligations</w:t>
      </w:r>
    </w:p>
    <w:p>
      <w:pPr>
        <w:pStyle w:val="ListBullet"/>
        <w:spacing w:after="60"/>
      </w:pPr>
      <w:r>
        <w:t>Build withdrawal queue/detail, deletion job timeline, expected-versus-provider inventory, orphan/duplicate investigation, collection-close checklist, dead-letter recovery, rights-status and deletion-certificate screens.</w:t>
      </w:r>
    </w:p>
    <w:p>
      <w:pPr>
        <w:pStyle w:val="ListBullet"/>
        <w:spacing w:after="60"/>
      </w:pPr>
      <w:r>
        <w:t>Differentiate requested, use-blocked, local pending/deleted, provider pending/deleted, verification pending/failed/verified and collection pending/deleted.</w:t>
      </w:r>
    </w:p>
    <w:p>
      <w:pPr>
        <w:pStyle w:val="ListBullet"/>
        <w:spacing w:after="60"/>
      </w:pPr>
      <w:r>
        <w:t>Show owner, deadline, attempt, failure class, next action, exact scope and safe evidence; never render raw image, template, full candidate payload or broad gallery.</w:t>
      </w:r>
    </w:p>
    <w:p>
      <w:pPr>
        <w:pStyle w:val="ListBullet"/>
        <w:spacing w:after="60"/>
      </w:pPr>
      <w:r>
        <w:t>Cover provider outage, permission denied, stale evidence, unexpected face/collection, partial completion, retry exhausted, legal hold if approved and verified success.</w:t>
      </w:r>
    </w:p>
    <w:p>
      <w:pPr>
        <w:pStyle w:val="ListBullet"/>
        <w:spacing w:after="60"/>
      </w:pPr>
      <w:r>
        <w:t>Test specialist workflows at 360/768/1280px with keyboard, screen reader, zoom and secure session timeout/privacy reset.</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A27-A33/A34/A40 and S10-F13-F18.</w:t>
      </w:r>
    </w:p>
    <w:p>
      <w:pPr>
        <w:pStyle w:val="ListBullet"/>
        <w:spacing w:after="60"/>
      </w:pPr>
      <w:r>
        <w:t>Real browser withdrawal-to-verified-deletion, orphan resolution and provider-outage recovery.</w:t>
      </w:r>
    </w:p>
    <w:p>
      <w:pPr>
        <w:pStyle w:val="ListBullet"/>
        <w:spacing w:after="60"/>
      </w:pPr>
      <w:r>
        <w:t>IDOR, support elevation, export, URL, DOM, cache, log and screenshot leakage tests.</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operators can inspect biometric payloads, deletion states collapse into one “done”, rights status requires provider internals or failed jobs lack owner/deadline.</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Privacy teams can prove or contest deletion and resolve every failure using minimum data and immutable evidence.</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S10-13</w:t>
      </w:r>
    </w:p>
    <w:p>
      <w:pPr>
        <w:pStyle w:val="Heading1"/>
      </w:pPr>
      <w:r>
        <w:t>Command, incident and operational-control frontend</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S10-13</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17, 22-23, 27-29 and 33-36</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slice-10/s10-13-&lt;short-description&gt;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S10-13</w:t>
        <w:br/>
        <w:t>BUILD UNIT: S10-13</w:t>
        <w:br/>
        <w:t>LAST_ACCEPTED_COMMIT: &lt;accepted full commit hash from S10-12&gt;</w:t>
        <w:br/>
        <w:br/>
        <w:t>Before changing code, read the ratified Canonical Build Blueprint, Intelligence Specification v1.0, Slice 10 Implementation Specification and Build Plan v1.0 (Sections 17, 22-23, 27-29 and 33-36),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Deliver event command surfaces for health, queue safety, kill switch, fallback activation and incident control without creating a biometric surveillance console.</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Provide privacy-safe metrics for enrolment/match/assertion latency and errors, queue depth, provider/EDR health, fallback use, withdrawal and deletion deadlines, inventory mismatch and incidents.</w:t>
      </w:r>
    </w:p>
    <w:p>
      <w:pPr>
        <w:pStyle w:val="ListBullet"/>
        <w:spacing w:after="60"/>
      </w:pPr>
      <w:r>
        <w:t>Implement alert deduplication, severity, owner, acknowledgement, escalation and runbook links with no guest biometric identifiers.</w:t>
      </w:r>
    </w:p>
    <w:p>
      <w:pPr>
        <w:pStyle w:val="ListBullet"/>
        <w:spacing w:after="60"/>
      </w:pPr>
      <w:r>
        <w:t>Implement incident containment commands for disable enrolment/matching, rotate/revoke provider credentials/keys, isolate adapter, preserve approved evidence and activate fallback messaging.</w:t>
      </w:r>
    </w:p>
    <w:p>
      <w:pPr>
        <w:pStyle w:val="ListBullet"/>
        <w:spacing w:after="60"/>
      </w:pPr>
      <w:r>
        <w:t>Keep privacy operations and EDR fallback available throughout containment.</w:t>
      </w:r>
    </w:p>
    <w:p>
      <w:pPr>
        <w:pStyle w:val="Heading3"/>
      </w:pPr>
      <w:r>
        <w:t>Frontend obligations</w:t>
      </w:r>
    </w:p>
    <w:p>
      <w:pPr>
        <w:pStyle w:val="ListBullet"/>
        <w:spacing w:after="60"/>
      </w:pPr>
      <w:r>
        <w:t>Build event readiness/health, gate status, fallback capacity, kill-switch, alert, incident timeline, containment checklist and recovery approval screens.</w:t>
      </w:r>
    </w:p>
    <w:p>
      <w:pPr>
        <w:pStyle w:val="ListBullet"/>
        <w:spacing w:after="60"/>
      </w:pPr>
      <w:r>
        <w:t>Use operational states and aggregates only; no live face wall, match gallery, demographic dashboard tied to individuals or broad search.</w:t>
      </w:r>
    </w:p>
    <w:p>
      <w:pPr>
        <w:pStyle w:val="ListBullet"/>
        <w:spacing w:after="60"/>
      </w:pPr>
      <w:r>
        <w:t>Show exactly which component failed and safe operator action without blaming guests; expose stale/partial/unknown telemetry honestly.</w:t>
      </w:r>
    </w:p>
    <w:p>
      <w:pPr>
        <w:pStyle w:val="ListBullet"/>
        <w:spacing w:after="60"/>
      </w:pPr>
      <w:r>
        <w:t>Test high-pressure acknowledgement, handover, kill switch and recovery on tablet/desktop with keyboard and no-colour-only meaning.</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A25-A26/A30-A31/A34/A40 plus provider/FaceGate/EDR/network/queue/key compromise drills.</w:t>
      </w:r>
    </w:p>
    <w:p>
      <w:pPr>
        <w:pStyle w:val="ListBullet"/>
        <w:spacing w:after="60"/>
      </w:pPr>
      <w:r>
        <w:t>Real browser command and incident journeys; verify fallback continues.</w:t>
      </w:r>
    </w:p>
    <w:p>
      <w:pPr>
        <w:pStyle w:val="ListBullet"/>
        <w:spacing w:after="60"/>
      </w:pPr>
      <w:r>
        <w:t>Telemetry privacy scan and incident evidence access review.</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command view reveals candidates/identities, kill switch disables withdrawal/deletion/fallback, alerts are unowned or recovery silently re-enables production.</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Command can safely detect, contain and recover operational failure while biometrics fail closed and fallback remains open.</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S10-14</w:t>
      </w:r>
    </w:p>
    <w:p>
      <w:pPr>
        <w:pStyle w:val="Heading1"/>
      </w:pPr>
      <w:r>
        <w:t>Shadow harness, ground truth and fairness evaluation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S10-14</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14, 20-21, 23, 27, 29 and 34</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slice-10/s10-14-&lt;short-description&gt;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S10-14</w:t>
        <w:br/>
        <w:t>BUILD UNIT: S10-14</w:t>
        <w:br/>
        <w:t>LAST_ACCEPTED_COMMIT: &lt;accepted full commit hash from S10-13&gt;</w:t>
        <w:br/>
        <w:br/>
        <w:t>Before changing code, read the ratified Canonical Build Blueprint, Intelligence Specification v1.0, Slice 10 Implementation Specification and Build Plan v1.0 (Sections 14, 20-21, 23, 27, 29 and 34),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Build a supervised shadow system that measures accuracy, acquisition, latency, usability, review burden and subgroup uncertainty without influencing entry.</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Create versioned evaluation dataset/run contracts with lawful purpose, approved population/groups, consent, ground truth source, sample limits, retention and reviewer independence.</w:t>
      </w:r>
    </w:p>
    <w:p>
      <w:pPr>
        <w:pStyle w:val="ListBullet"/>
        <w:spacing w:after="60"/>
      </w:pPr>
      <w:r>
        <w:t>Run enrolment/acquisition, false match, false non-match, ambiguous match, review override, latency, queue, fallback and usability measurements for exact provider/model/camera/config/policy.</w:t>
      </w:r>
    </w:p>
    <w:p>
      <w:pPr>
        <w:pStyle w:val="ListBullet"/>
        <w:spacing w:after="60"/>
      </w:pPr>
      <w:r>
        <w:t>Calculate overall and approved subgroup metrics with numerator/denominator, confidence intervals/uncertainty and missing/insufficient-sample states.</w:t>
      </w:r>
    </w:p>
    <w:p>
      <w:pPr>
        <w:pStyle w:val="ListBullet"/>
        <w:spacing w:after="60"/>
      </w:pPr>
      <w:r>
        <w:t>Compare threshold/review-band alternatives without promoting automatically; retain exact run/config hashes and specialist decision.</w:t>
      </w:r>
    </w:p>
    <w:p>
      <w:pPr>
        <w:pStyle w:val="ListBullet"/>
        <w:spacing w:after="60"/>
      </w:pPr>
      <w:r>
        <w:t>Prevent shadow outputs/assertions from reaching EDR admission or attendance business effects.</w:t>
      </w:r>
    </w:p>
    <w:p>
      <w:pPr>
        <w:pStyle w:val="ListBullet"/>
        <w:spacing w:after="60"/>
      </w:pPr>
      <w:r>
        <w:t>Material provider/model/camera/threshold/liveness change invalidates evidence and returns stage to evaluation.</w:t>
      </w:r>
    </w:p>
    <w:p>
      <w:pPr>
        <w:pStyle w:val="Heading3"/>
      </w:pPr>
      <w:r>
        <w:t>Frontend obligations</w:t>
      </w:r>
    </w:p>
    <w:p>
      <w:pPr>
        <w:pStyle w:val="ListBullet"/>
        <w:spacing w:after="60"/>
      </w:pPr>
      <w:r>
        <w:t>Build evaluation run list/detail, dataset/ground-truth coverage, metrics, subgroup uncertainty, threshold comparison, divergence/reviewer burden, usability findings and stage-approval screens.</w:t>
      </w:r>
    </w:p>
    <w:p>
      <w:pPr>
        <w:pStyle w:val="ListBullet"/>
        <w:spacing w:after="60"/>
      </w:pPr>
      <w:r>
        <w:t>Never rank protected groups, hide small samples in averages, imply causation or present vendor claims as observed Maison Doclar evidence.</w:t>
      </w:r>
    </w:p>
    <w:p>
      <w:pPr>
        <w:pStyle w:val="ListBullet"/>
        <w:spacing w:after="60"/>
      </w:pPr>
      <w:r>
        <w:t>Clearly label synthetic, supervised shadow and controlled-production data and the exact limitations of each.</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A16-A21/A36-A37/A41 plus leakage, insufficient sample, incorrect ground truth, reviewer disagreement and config drift tests.</w:t>
      </w:r>
    </w:p>
    <w:p>
      <w:pPr>
        <w:pStyle w:val="ListBullet"/>
        <w:spacing w:after="60"/>
      </w:pPr>
      <w:r>
        <w:t>Statistical calculation fixtures and independent reproduction of metrics.</w:t>
      </w:r>
    </w:p>
    <w:p>
      <w:pPr>
        <w:pStyle w:val="ListBullet"/>
        <w:spacing w:after="60"/>
      </w:pPr>
      <w:r>
        <w:t>Browser review of overall/subgroup evidence and blocked promotion states.</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evaluation groups/lawful basis are unapproved, ground truth is unreliable, sample uncertainty is hidden, shadow affects entry or a universal fairness threshold is invented.</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Representative, reproducible evidence supports a human threshold/stage decision; shadow mode remains operationally powerless.</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S10-15</w:t>
      </w:r>
    </w:p>
    <w:p>
      <w:pPr>
        <w:pStyle w:val="Heading1"/>
      </w:pPr>
      <w:r>
        <w:t>Security, privacy, accessibility, scale and failure qualification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S10-15</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8, 11, 19, 21-22, 29, 31-33 and 36</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slice-10/s10-15-&lt;short-description&gt;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S10-15</w:t>
        <w:br/>
        <w:t>BUILD UNIT: S10-15</w:t>
        <w:br/>
        <w:t>LAST_ACCEPTED_COMMIT: &lt;accepted full commit hash from S10-14&gt;</w:t>
        <w:br/>
        <w:br/>
        <w:t>Before changing code, read the ratified Canonical Build Blueprint, Intelligence Specification v1.0, Slice 10 Implementation Specification and Build Plan v1.0 (Sections 8, 11, 19, 21-22, 29, 31-33 and 36),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Qualify the complete slice against adversarial access, spoof/injection, provider compromise, privacy leakage, assistive use, event scale and cascading failure.</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Run cross-tenant/event IDOR, collection confusion, mapping substitution, assertion replay/tamper, capture injection, approved spoof/replay, template/provider-ID theft, insider browsing, key/secret abuse and audit-tamper tests.</w:t>
      </w:r>
    </w:p>
    <w:p>
      <w:pPr>
        <w:pStyle w:val="ListBullet"/>
        <w:spacing w:after="60"/>
      </w:pPr>
      <w:r>
        <w:t>Verify biometric material is absent from Core/EDR, URLs, DOM after reset, logs, traces, analytics, notifications, exports, backups, support tools and AI context.</w:t>
      </w:r>
    </w:p>
    <w:p>
      <w:pPr>
        <w:pStyle w:val="ListBullet"/>
        <w:spacing w:after="60"/>
      </w:pPr>
      <w:r>
        <w:t>Benchmark approved event population, simultaneous gates, capture/search/assertion latency, provider quota, queue growth, circuit breaker and fallback capacity.</w:t>
      </w:r>
    </w:p>
    <w:p>
      <w:pPr>
        <w:pStyle w:val="ListBullet"/>
        <w:spacing w:after="60"/>
      </w:pPr>
      <w:r>
        <w:t>Test FaceGate/provider/EDR/network/database/object/queue/worker/deploy failure, key rotation, region denial, kill switch, rollback and recovery.</w:t>
      </w:r>
    </w:p>
    <w:p>
      <w:pPr>
        <w:pStyle w:val="ListBullet"/>
        <w:spacing w:after="60"/>
      </w:pPr>
      <w:r>
        <w:t>Complete WCAG 2.2 AA target and observed keyboard/screen-reader/zoom/touch/camera-denied/assisted/fallback journeys on supported devices.</w:t>
      </w:r>
    </w:p>
    <w:p>
      <w:pPr>
        <w:pStyle w:val="ListBullet"/>
        <w:spacing w:after="60"/>
      </w:pPr>
      <w:r>
        <w:t>Complete fairness, threat, penetration, privacy, retention/deletion and residual-risk review; close all blocker/high defects.</w:t>
      </w:r>
    </w:p>
    <w:p>
      <w:pPr>
        <w:pStyle w:val="Heading3"/>
      </w:pPr>
      <w:r>
        <w:t>Frontend obligations</w:t>
      </w:r>
    </w:p>
    <w:p>
      <w:pPr>
        <w:pStyle w:val="ListBullet"/>
        <w:spacing w:after="60"/>
      </w:pPr>
      <w:r>
        <w:t>Independently inspect every guest, operator, reviewer, approval, command, privacy and evaluation surface/state at 360/768/1280px, plus 320/360px capture where applicable.</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A02-A40 production-like matrix with exact commands, devices, browsers, datasets, versions and results.</w:t>
      </w:r>
    </w:p>
    <w:p>
      <w:pPr>
        <w:pStyle w:val="ListBullet"/>
        <w:spacing w:after="60"/>
      </w:pPr>
      <w:r>
        <w:t>Fresh dependency, secret, PII/biometric, accessibility and permission scans.</w:t>
      </w:r>
    </w:p>
    <w:p>
      <w:pPr>
        <w:pStyle w:val="ListBullet"/>
        <w:spacing w:after="60"/>
      </w:pPr>
      <w:r>
        <w:t>Rollback/forward and provider-outage recovery preserve immediate withdrawal block and verified deletion.</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any blocker/high remains, a required device/path is untested, biometric data leaks, performance creates unsafe queues, fallback capacity is inadequate or residual risk lacks specialist owner.</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A02-A40 pass under production-like security, privacy, accessibility, scale and failure conditions with independent acceptance.</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S10-16</w:t>
      </w:r>
    </w:p>
    <w:p>
      <w:pPr>
        <w:pStyle w:val="Heading1"/>
      </w:pPr>
      <w:r>
        <w:t>Supervised shadow rehearsal and production decision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S10-16</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20-21, 31-37 and Appendices A-C</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slice-10/s10-16-&lt;short-description&gt;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S10-16</w:t>
        <w:br/>
        <w:t>BUILD UNIT: S10-16</w:t>
        <w:br/>
        <w:t>LAST_ACCEPTED_COMMIT: &lt;accepted full commit hash from S10-15&gt;</w:t>
        <w:br/>
        <w:br/>
        <w:t>Before changing code, read the ratified Canonical Build Blueprint, Intelligence Specification v1.0, Slice 10 Implementation Specification and Build Plan v1.0 (Sections 20-21, 31-37 and Appendices A-C),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Rehearse the complete FaceGate operating model in supervised shadow, observe real roles and obtain an explicit specialist/CEO decision for the exact release and pilot event.</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Prepare an approved low-risk pilot/shadow event with full QR/manual capacity, consented representative participants, trained staff, supported devices and ground truth.</w:t>
      </w:r>
    </w:p>
    <w:p>
      <w:pPr>
        <w:pStyle w:val="ListBullet"/>
        <w:spacing w:after="60"/>
      </w:pPr>
      <w:r>
        <w:t>Run consent/refusal, enrolment, no match, false match, false non-match, multiple candidates, human review, assertion validation without entry influence, withdrawal and verified deletion.</w:t>
      </w:r>
    </w:p>
    <w:p>
      <w:pPr>
        <w:pStyle w:val="ListBullet"/>
        <w:spacing w:after="60"/>
      </w:pPr>
      <w:r>
        <w:t>Inject provider/FaceGate/EDR/network failure, camera denial, spoof/replay, mapping conflict, stale consent, assertion replay, inventory orphan, deletion failure, model/config drift and kill switch.</w:t>
      </w:r>
    </w:p>
    <w:p>
      <w:pPr>
        <w:pStyle w:val="ListBullet"/>
        <w:spacing w:after="60"/>
      </w:pPr>
      <w:r>
        <w:t>Observe Legal, Privacy, Security, CEO, Event Director, FaceGate Administrator, enrolment operator, gate operator, reviewer, EDR operator and support tasks without engineering intervention.</w:t>
      </w:r>
    </w:p>
    <w:p>
      <w:pPr>
        <w:pStyle w:val="ListBullet"/>
        <w:spacing w:after="60"/>
      </w:pPr>
      <w:r>
        <w:t>Produce exact accuracy/fairness/usability/latency/queue/fallback/deletion/incident evidence and close every blocker/high finding.</w:t>
      </w:r>
    </w:p>
    <w:p>
      <w:pPr>
        <w:pStyle w:val="ListBullet"/>
        <w:spacing w:after="60"/>
      </w:pPr>
      <w:r>
        <w:t>Record separate Legal, Privacy and Security acceptance, then CEO production decision for exact release/event/config; conditions and expiry remain enforceable.</w:t>
      </w:r>
    </w:p>
    <w:p>
      <w:pPr>
        <w:pStyle w:val="Heading3"/>
      </w:pPr>
      <w:r>
        <w:t>Frontend obligations</w:t>
      </w:r>
    </w:p>
    <w:p>
      <w:pPr>
        <w:pStyle w:val="ListBullet"/>
        <w:spacing w:after="60"/>
      </w:pPr>
      <w:r>
        <w:t>Use production interfaces and supported devices; no database edits, hidden scripts, pre-resolved states or engineering shortcuts during role tasks.</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A41 plus replay of affected A01-A40 with observed timings, evidence, decisions and failures.</w:t>
      </w:r>
    </w:p>
    <w:p>
      <w:pPr>
        <w:pStyle w:val="ListBullet"/>
        <w:spacing w:after="60"/>
      </w:pPr>
      <w:r>
        <w:t>Signed role/usability/specialist/CEO review; false/failed match and refusal cause no access disadvantage.</w:t>
      </w:r>
    </w:p>
    <w:p>
      <w:pPr>
        <w:pStyle w:val="ListBullet"/>
        <w:spacing w:after="60"/>
      </w:pPr>
      <w:r>
        <w:t>Withdrawal immediate block and independently verified provider deletion observed end to end.</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shadow affects admission, fallback is not fully staffed, participant consent/evaluation authority is incomplete, business roles need engineering help, subgroup evidence is materially inadequate or any blocker/high remains.</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Supervised shadow and all failure injections pass; exact specialist approvals and CEO production decision are recorded without treating them as transferable authority.</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S10-17</w:t>
      </w:r>
    </w:p>
    <w:p>
      <w:pPr>
        <w:pStyle w:val="Heading1"/>
      </w:pPr>
      <w:r>
        <w:t>Independent audit, clean-room release and Slice 11 handoff</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S10-17</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31-37 and Appendices A-D</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slice-10/s10-17-&lt;short-description&gt;</w:t>
            </w:r>
          </w:p>
        </w:tc>
      </w:tr>
    </w:tbl>
    <w:p>
      <w:pPr>
        <w:spacing w:after="0"/>
      </w:pPr>
    </w:p>
    <w:p>
      <w:pPr>
        <w:pStyle w:val="Heading2"/>
      </w:pPr>
      <w:r>
        <w:t>Paste into Cursor</w:t>
      </w:r>
    </w:p>
    <w:p>
      <w:pPr>
        <w:pStyle w:val="CodeBlock"/>
      </w:pPr>
      <w:r>
        <w:t>You are implementing Maison Doclar Event Intelligence System - Slice 10: FaceGate Gated Integration.</w:t>
        <w:br/>
        <w:br/>
        <w:t>PROMPT ID: S10-17</w:t>
        <w:br/>
        <w:t>BUILD UNIT: S10-17</w:t>
        <w:br/>
        <w:t>LAST_ACCEPTED_COMMIT: &lt;accepted full commit hash from S10-16&gt;</w:t>
        <w:br/>
        <w:br/>
        <w:t>Before changing code, read the ratified Canonical Build Blueprint, Intelligence Specification v1.0, Slice 10 Implementation Specification and Build Plan v1.0 (Sections 31-37 and Appendices A-D), repository AGENTS.md/Cursor rules, ADRs, current-state report, build ledger, preceding completion report and every item brought forward. Treat them as binding. If they conflict, stop and report the exact conflict; do not invent a compromise.</w:t>
        <w:br/>
        <w:br/>
        <w:t>FaceGate is a high-sensitivity optional subsystem. Implement only the scope of this prompt. Production biometric use remains OFF unless this prompt explicitly reaches, and independently proves, the exact approval gate.</w:t>
      </w:r>
    </w:p>
    <w:p>
      <w:pPr>
        <w:pStyle w:val="Heading3"/>
      </w:pPr>
      <w:r>
        <w:t>Objective</w:t>
      </w:r>
    </w:p>
    <w:p>
      <w:r>
        <w:t>Independently prove every Slice 10 requirement on the exact release, rehearse fresh deployment and rollback, freeze contracts and create the controlled handoff.</w:t>
      </w:r>
    </w:p>
    <w:p>
      <w:pPr>
        <w:pStyle w:val="Heading3"/>
      </w:pPr>
      <w:r>
        <w:t>Mandatory laws</w:t>
      </w:r>
    </w:p>
    <w:p>
      <w:pPr>
        <w:pStyle w:val="ListBullet"/>
        <w:spacing w:after="60"/>
      </w:pPr>
      <w:r>
        <w:t>FaceGate is optional, event-scoped and disabled by default. Code, deployment, tests or shadow evaluation never constitute production authority.</w:t>
      </w:r>
    </w:p>
    <w:p>
      <w:pPr>
        <w:pStyle w:val="ListBullet"/>
        <w:spacing w:after="60"/>
      </w:pPr>
      <w:r>
        <w:t>No biometric capture, indexing, search or matching may begin without current, specific, affirmative consent for the exact event, purpose, provider, policy and retention version.</w:t>
      </w:r>
    </w:p>
    <w:p>
      <w:pPr>
        <w:pStyle w:val="ListBullet"/>
        <w:spacing w:after="60"/>
      </w:pPr>
      <w:r>
        <w:t>Refusal, camera denial, withdrawal, failed enrolment, no match, false match, low confidence and provider failure preserve an equally usable QR/manual/concierge path without penalty or accusation.</w:t>
      </w:r>
    </w:p>
    <w:p>
      <w:pPr>
        <w:pStyle w:val="ListBullet"/>
        <w:spacing w:after="60"/>
      </w:pPr>
      <w:r>
        <w:t>A FaceGate subject maps to exactly one stable EventGuest for one event and mapping version. Ambiguous, stale, duplicate or cross-event mappings fail closed for biometrics.</w:t>
      </w:r>
    </w:p>
    <w:p>
      <w:pPr>
        <w:pStyle w:val="ListBullet"/>
        <w:spacing w:after="60"/>
      </w:pPr>
      <w:r>
        <w:t>Core, Credentials, Communications, Intelligence, EDR, analytics, general audit and support tooling must not store raw captures, templates/vectors, provider FaceIds or detailed biometric candidates.</w:t>
      </w:r>
    </w:p>
    <w:p>
      <w:pPr>
        <w:pStyle w:val="ListBullet"/>
        <w:spacing w:after="60"/>
      </w:pPr>
      <w:r>
        <w:t>Raw capture is transient by default and must not enter URLs, logs, analytics, exports, backups, CDN caches, support snapshots or AI context.</w:t>
      </w:r>
    </w:p>
    <w:p>
      <w:pPr>
        <w:pStyle w:val="ListBullet"/>
        <w:spacing w:after="60"/>
      </w:pPr>
      <w:r>
        <w:t>Provider collections, identifiers, match evidence and biometric operations exist only within the isolated FaceGate/provider boundary with separate schema, IAM, KMS, network, secrets and audit controls.</w:t>
      </w:r>
    </w:p>
    <w:p>
      <w:pPr>
        <w:pStyle w:val="ListBullet"/>
        <w:spacing w:after="60"/>
      </w:pPr>
      <w:r>
        <w:t>FaceGate may issue only a signed, short-lived, event-bound, consent-bound and mapping-bound candidate assertion. It never admits, denies, writes attendance or makes a misconduct conclusion.</w:t>
      </w:r>
    </w:p>
    <w:p>
      <w:pPr>
        <w:pStyle w:val="ListBullet"/>
        <w:spacing w:after="60"/>
      </w:pPr>
      <w:r>
        <w:t>EDR remains the sole admission and attendance authority and independently validates the assertion, applies policy and returns an idempotent receipt.</w:t>
      </w:r>
    </w:p>
    <w:p>
      <w:pPr>
        <w:pStyle w:val="ListBullet"/>
        <w:spacing w:after="60"/>
      </w:pPr>
      <w:r>
        <w:t>No-match and failed/ambiguous/low-confidence match are not identity or admission conclusions. They route to bounded retry, human review or fallback according to the approved policy.</w:t>
      </w:r>
    </w:p>
    <w:p>
      <w:pPr>
        <w:pStyle w:val="ListBullet"/>
        <w:spacing w:after="60"/>
      </w:pPr>
      <w:r>
        <w:t>Human review is minimum-data, reasoned, capability-controlled, time-bound and audited. Reviewers may reject machine output and may not override consent, event scope or EDR authority.</w:t>
      </w:r>
    </w:p>
    <w:p>
      <w:pPr>
        <w:pStyle w:val="ListBullet"/>
        <w:spacing w:after="60"/>
      </w:pPr>
      <w:r>
        <w:t>Withdrawal blocks every future capture, search and assertion immediately, before asynchronous local/provider deletion completes.</w:t>
      </w:r>
    </w:p>
    <w:p>
      <w:pPr>
        <w:pStyle w:val="ListBullet"/>
        <w:spacing w:after="60"/>
      </w:pPr>
      <w:r>
        <w:t>Deletion is complete only after local deletion, provider deletion and independent inventory/re-query verification. A request or successful API response alone is not proof.</w:t>
      </w:r>
    </w:p>
    <w:p>
      <w:pPr>
        <w:pStyle w:val="ListBullet"/>
        <w:spacing w:after="60"/>
      </w:pPr>
      <w:r>
        <w:t>Provider calls and jobs are idempotent and reconciled. Partial work, duplicates, orphans, dead letters and collection deletion remain visible and owned until resolved.</w:t>
      </w:r>
    </w:p>
    <w:p>
      <w:pPr>
        <w:pStyle w:val="ListBullet"/>
        <w:spacing w:after="60"/>
      </w:pPr>
      <w:r>
        <w:t>Thresholds, review bands, liveness policy, supported devices and performance claims are versioned and approved from representative evidence, not copied blindly from provider defaults.</w:t>
      </w:r>
    </w:p>
    <w:p>
      <w:pPr>
        <w:pStyle w:val="ListBullet"/>
        <w:spacing w:after="60"/>
      </w:pPr>
      <w:r>
        <w:t>Fairness evaluation reports false match, false non-match, acquisition/enrolment failure and review burden overall and for lawfully approved representative groups, with sample limits and uncertainty.</w:t>
      </w:r>
    </w:p>
    <w:p>
      <w:pPr>
        <w:pStyle w:val="ListBullet"/>
        <w:spacing w:after="60"/>
      </w:pPr>
      <w:r>
        <w:t>No covert/passive surveillance, watchlists, cross-event search, emotion/age/gender/ethnicity inference, provider training/reuse or reusable biometric identity graph is permitted.</w:t>
      </w:r>
    </w:p>
    <w:p>
      <w:pPr>
        <w:pStyle w:val="ListBullet"/>
        <w:spacing w:after="60"/>
      </w:pPr>
      <w:r>
        <w:t>A kill switch stops enrolment and matching while preserving fallback, withdrawal, deletion, investigation and required audit capability.</w:t>
      </w:r>
    </w:p>
    <w:p>
      <w:pPr>
        <w:pStyle w:val="ListBullet"/>
        <w:spacing w:after="60"/>
      </w:pPr>
      <w:r>
        <w:t>Frontend and backend are one release. Every consent, enrolment, operator, reviewer, approval, command, privacy and evaluation state is implemented, accessible and browser-tested.</w:t>
      </w:r>
    </w:p>
    <w:p>
      <w:pPr>
        <w:pStyle w:val="ListBullet"/>
        <w:spacing w:after="60"/>
      </w:pPr>
      <w:r>
        <w:t>Legal, privacy, security and CEO approvals bind to the exact release, event, jurisdiction, purpose, provider, region, model/configuration, consent copy, retention and policy; material change invalidates authority.</w:t>
      </w:r>
    </w:p>
    <w:p>
      <w:pPr>
        <w:pStyle w:val="Heading3"/>
      </w:pPr>
      <w:r>
        <w:t>Required work</w:t>
      </w:r>
    </w:p>
    <w:p>
      <w:pPr>
        <w:pStyle w:val="ListBullet"/>
        <w:spacing w:after="60"/>
      </w:pPr>
      <w:r>
        <w:t>Audit blueprint Slice 10, Intelligence Specification anchors, S10-L01-L20, S10-F01-F18, schemas/APIs/events/states/security and A01-A42 against code/tests/evidence.</w:t>
      </w:r>
    </w:p>
    <w:p>
      <w:pPr>
        <w:pStyle w:val="ListBullet"/>
        <w:spacing w:after="60"/>
      </w:pPr>
      <w:r>
        <w:t>Build/deploy from clean checkout to fresh isolated database, keys, queues and approved provider test collection; run migrations and execute A01-A42.</w:t>
      </w:r>
    </w:p>
    <w:p>
      <w:pPr>
        <w:pStyle w:val="ListBullet"/>
        <w:spacing w:after="60"/>
      </w:pPr>
      <w:r>
        <w:t>Rehearse feature disablement, worker drain, provider isolation, key rotation, collection cleanup, rollback/forward and disaster recovery without losing withdrawal block, deletion duties, audit or EDR receipt integrity.</w:t>
      </w:r>
    </w:p>
    <w:p>
      <w:pPr>
        <w:pStyle w:val="ListBullet"/>
        <w:spacing w:after="60"/>
      </w:pPr>
      <w:r>
        <w:t>Remove production mocks, bypasses, dead flags and hidden TODO deferrals; close every blocker/high defect.</w:t>
      </w:r>
    </w:p>
    <w:p>
      <w:pPr>
        <w:pStyle w:val="ListBullet"/>
        <w:spacing w:after="60"/>
      </w:pPr>
      <w:r>
        <w:t>Publish current-state, build ledger, ADRs, decisions, DPIA/data-flow/threat, schema/API/event/UI, provider/IAM, fairness, accessibility, performance, rehearsal, incident, retention/deletion and rollback evidence.</w:t>
      </w:r>
    </w:p>
    <w:p>
      <w:pPr>
        <w:pStyle w:val="ListBullet"/>
        <w:spacing w:after="60"/>
      </w:pPr>
      <w:r>
        <w:t>Freeze Slice 11 boundary: no cross-event biometric memory, template reuse, identity graph or automatic learning; only privacy-safe verified outcome artefacts may cross under its separately ratified contract.</w:t>
      </w:r>
    </w:p>
    <w:p>
      <w:pPr>
        <w:pStyle w:val="Heading3"/>
      </w:pPr>
      <w:r>
        <w:t>Frontend obligations</w:t>
      </w:r>
    </w:p>
    <w:p>
      <w:pPr>
        <w:pStyle w:val="ListBullet"/>
        <w:spacing w:after="60"/>
      </w:pPr>
      <w:r>
        <w:t>Independently review all guest, operator, reviewer, approval, command, privacy, evaluation and incident journeys on supported devices.</w:t>
      </w:r>
    </w:p>
    <w:p>
      <w:pPr>
        <w:pStyle w:val="Heading3"/>
      </w:pPr>
      <w:r>
        <w:t>Explicit exclusions</w:t>
      </w:r>
    </w:p>
    <w:p>
      <w:pPr>
        <w:pStyle w:val="ListBullet"/>
        <w:spacing w:after="60"/>
      </w:pPr>
      <w:r>
        <w:t>Do not enable production biometric processing, import legacy face templates or infer consent from historic participation.</w:t>
      </w:r>
    </w:p>
    <w:p>
      <w:pPr>
        <w:pStyle w:val="ListBullet"/>
        <w:spacing w:after="60"/>
      </w:pPr>
      <w:r>
        <w:t>Do not place biometric payloads or provider references in Core, EDR, Intelligence, communications, analytics, general audit, URLs, logs, exports, backups or AI prompts.</w:t>
      </w:r>
    </w:p>
    <w:p>
      <w:pPr>
        <w:pStyle w:val="ListBullet"/>
        <w:spacing w:after="60"/>
      </w:pPr>
      <w:r>
        <w:t>Do not implement passive cameras, venue-wide search, watchlists, cross-event reuse, demographic inference, emotion analysis or secondary provider use.</w:t>
      </w:r>
    </w:p>
    <w:p>
      <w:pPr>
        <w:pStyle w:val="ListBullet"/>
        <w:spacing w:after="60"/>
      </w:pPr>
      <w:r>
        <w:t>Do not make a match an admission decision, attendance write, VIP entitlement, fraud claim, security accusation or disciplinary signal.</w:t>
      </w:r>
    </w:p>
    <w:p>
      <w:pPr>
        <w:pStyle w:val="ListBullet"/>
        <w:spacing w:after="60"/>
      </w:pPr>
      <w:r>
        <w:t>Do not make biometrics mandatory or degrade the speed, dignity, service or ordinary access of a guest who refuses or cannot use it.</w:t>
      </w:r>
    </w:p>
    <w:p>
      <w:pPr>
        <w:pStyle w:val="ListBullet"/>
        <w:spacing w:after="60"/>
      </w:pPr>
      <w:r>
        <w:t>Do not use provider defaults as approved thresholds, liveness policy, retention, legal basis, fairness standard or production permission.</w:t>
      </w:r>
    </w:p>
    <w:p>
      <w:pPr>
        <w:pStyle w:val="ListBullet"/>
        <w:spacing w:after="60"/>
      </w:pPr>
      <w:r>
        <w:t>Do not mark deletion complete from a queued request or provider acknowledgement without absence verification and retained minimal tombstone.</w:t>
      </w:r>
    </w:p>
    <w:p>
      <w:pPr>
        <w:pStyle w:val="ListBullet"/>
        <w:spacing w:after="60"/>
      </w:pPr>
      <w:r>
        <w:t>Do not add hidden bypasses, production mocks, broad support access, gallery/search-all interfaces, undocumented flags, opportunistic refactors or work from the next prompt.</w:t>
      </w:r>
    </w:p>
    <w:p>
      <w:pPr>
        <w:pStyle w:val="Heading3"/>
      </w:pPr>
      <w:r>
        <w:t>Verification required</w:t>
      </w:r>
    </w:p>
    <w:p>
      <w:pPr>
        <w:pStyle w:val="ListBullet"/>
        <w:spacing w:after="60"/>
      </w:pPr>
      <w:r>
        <w:t>A01-A42 clean-room run; traceability has no orphan requirement or stale evidence.</w:t>
      </w:r>
    </w:p>
    <w:p>
      <w:pPr>
        <w:pStyle w:val="ListBullet"/>
        <w:spacing w:after="60"/>
      </w:pPr>
      <w:r>
        <w:t>Exact release commit/tag/deploy/migration/provider/config/policy/consent versions and rollback point.</w:t>
      </w:r>
    </w:p>
    <w:p>
      <w:pPr>
        <w:pStyle w:val="ListBullet"/>
        <w:spacing w:after="60"/>
      </w:pPr>
      <w:r>
        <w:t>Negative proof of no Core/EDR biometric payload, no FaceGate attendance write and no cross-event reuse.</w:t>
      </w:r>
    </w:p>
    <w:p>
      <w:pPr>
        <w:pStyle w:val="ListBullet"/>
        <w:spacing w:after="60"/>
      </w:pPr>
      <w:r>
        <w:t>Run repository-standard format, lint, typecheck, schema/static validation, unit, integration and affected end-to-end suites. Report every exact command and result; never write only “tests pass”.</w:t>
      </w:r>
    </w:p>
    <w:p>
      <w:pPr>
        <w:pStyle w:val="ListBullet"/>
        <w:spacing w:after="60"/>
      </w:pPr>
      <w:r>
        <w:t>Run secret, PII and biometric-data scans across source, fixtures, databases, objects, URLs, DOM, cache, logs, traces, analytics, notifications, exports, backups, support snapshots and AI context.</w:t>
      </w:r>
    </w:p>
    <w:p>
      <w:pPr>
        <w:pStyle w:val="ListBullet"/>
        <w:spacing w:after="60"/>
      </w:pPr>
      <w:r>
        <w:t>For UI changes, perform real browser interaction—not screenshots only—at 360px, 768px and 1280px, plus 320/360px on supported capture devices where applicable; test keyboard, screen reader, zoom, touch and every named state.</w:t>
      </w:r>
    </w:p>
    <w:p>
      <w:pPr>
        <w:pStyle w:val="ListBullet"/>
        <w:spacing w:after="60"/>
      </w:pPr>
      <w:r>
        <w:t>Prove organisation, client, event, environment, role and purpose isolation using negative tests; never rely on client-supplied scope or hidden UI controls.</w:t>
      </w:r>
    </w:p>
    <w:p>
      <w:pPr>
        <w:pStyle w:val="Heading3"/>
      </w:pPr>
      <w:r>
        <w:t>Stop conditions</w:t>
      </w:r>
    </w:p>
    <w:p>
      <w:pPr>
        <w:pStyle w:val="ListBullet"/>
        <w:spacing w:after="60"/>
      </w:pPr>
      <w:r>
        <w:t>Stop if tree is dirty, any approval/evidence is stale or non-exact, provider cleanup is incomplete, rollback can resurrect data, production mock/bypass remains, or any acceptance item is unproven.</w:t>
      </w:r>
    </w:p>
    <w:p>
      <w:pPr>
        <w:pStyle w:val="ListBullet"/>
        <w:spacing w:after="60"/>
      </w:pPr>
      <w:r>
        <w:t>Stop on overlapping user changes, missing LAST_ACCEPTED_COMMIT, absent dependency, ambiguous binding decision, unapproved high-sensitivity policy or failed mandatory gate. Preserve evidence and request a decision.</w:t>
      </w:r>
    </w:p>
    <w:p>
      <w:pPr>
        <w:pStyle w:val="Heading3"/>
      </w:pPr>
      <w:r>
        <w:t>Acceptance gate</w:t>
      </w:r>
    </w:p>
    <w:p>
      <w:pPr>
        <w:pStyle w:val="ListBullet"/>
        <w:spacing w:after="60"/>
      </w:pPr>
      <w:r>
        <w:t>A01-A42 independently pass; no blocker/high defect; exact authority, release evidence and Slice 11 handoff are recorded.</w:t>
      </w:r>
    </w:p>
    <w:p>
      <w:pPr>
        <w:pStyle w:val="Heading3"/>
      </w:pPr>
      <w:r>
        <w:t>Commit and handover</w:t>
      </w:r>
    </w:p>
    <w:p>
      <w:pPr>
        <w:pStyle w:val="ListBullet"/>
        <w:spacing w:after="60"/>
      </w:pPr>
      <w:r>
        <w:t>Update the current-state report, build ledger, decision/traceability register and relevant schema/API/event/UI/security/privacy/provider/operations documentation.</w:t>
      </w:r>
    </w:p>
    <w:p>
      <w:pPr>
        <w:pStyle w:val="ListBullet"/>
        <w:spacing w:after="60"/>
      </w:pPr>
      <w:r>
        <w:t>List changed files, migrations/contracts, feature-flag impact, authority/privacy/security effect, exact test/browser evidence, limitations and rollback instructions.</w:t>
      </w:r>
    </w:p>
    <w:p>
      <w:pPr>
        <w:pStyle w:val="ListBullet"/>
        <w:spacing w:after="60"/>
      </w:pPr>
      <w:r>
        <w:t>State ITEMS BROUGHT FORWARD: NONE, or enumerate owner, reason, impact and target prompt. Do not defer anything required by this acceptance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Heading1"/>
      </w:pPr>
      <w:r>
        <w:t>Independent reviewer checklist</w:t>
      </w:r>
    </w:p>
    <w:p>
      <w:pPr>
        <w:pStyle w:val="ListBullet"/>
        <w:spacing w:after="60"/>
      </w:pPr>
      <w:r>
        <w:t>Diff is limited to the prompt and based on the declared LAST_ACCEPTED_COMMIT.</w:t>
      </w:r>
    </w:p>
    <w:p>
      <w:pPr>
        <w:pStyle w:val="ListBullet"/>
        <w:spacing w:after="60"/>
      </w:pPr>
      <w:r>
        <w:t>S10 laws and exclusions remain intact; FaceGate is optional, exact-event scoped and default OFF.</w:t>
      </w:r>
    </w:p>
    <w:p>
      <w:pPr>
        <w:pStyle w:val="ListBullet"/>
        <w:spacing w:after="60"/>
      </w:pPr>
      <w:r>
        <w:t>No biometric payload/provider identifier appears in Core, EDR, Intelligence, general audit, telemetry, exports, backups or AI context.</w:t>
      </w:r>
    </w:p>
    <w:p>
      <w:pPr>
        <w:pStyle w:val="ListBullet"/>
        <w:spacing w:after="60"/>
      </w:pPr>
      <w:r>
        <w:t>Consent precedes every capture/provider action; refusal and failure retain an equivalent fallback.</w:t>
      </w:r>
    </w:p>
    <w:p>
      <w:pPr>
        <w:pStyle w:val="ListBullet"/>
        <w:spacing w:after="60"/>
      </w:pPr>
      <w:r>
        <w:t>FaceGate produces only candidate assertions; EDR independently owns admission and attendance.</w:t>
      </w:r>
    </w:p>
    <w:p>
      <w:pPr>
        <w:pStyle w:val="ListBullet"/>
        <w:spacing w:after="60"/>
      </w:pPr>
      <w:r>
        <w:t>Withdrawal blocks future use immediately and deletion is independently verified, including duplicates/orphans/collections.</w:t>
      </w:r>
    </w:p>
    <w:p>
      <w:pPr>
        <w:pStyle w:val="ListBullet"/>
        <w:spacing w:after="60"/>
      </w:pPr>
      <w:r>
        <w:t>Threshold, fairness, model/config and shadow evidence are versioned, limited and do not silently authorise production.</w:t>
      </w:r>
    </w:p>
    <w:p>
      <w:pPr>
        <w:pStyle w:val="ListBullet"/>
        <w:spacing w:after="60"/>
      </w:pPr>
      <w:r>
        <w:t>Every frontend state, role, permission, supported device, accessibility path and failure recovery has real browser evidence.</w:t>
      </w:r>
    </w:p>
    <w:p>
      <w:pPr>
        <w:pStyle w:val="ListBullet"/>
        <w:spacing w:after="60"/>
      </w:pPr>
      <w:r>
        <w:t>Exact commands/results, privacy/security impact, rollback, items brought forward and full commit hash are present.</w:t>
      </w:r>
    </w:p>
    <w:p>
      <w:pPr>
        <w:pStyle w:val="ListBullet"/>
        <w:spacing w:after="60"/>
      </w:pPr>
      <w:r>
        <w:t>The completion report ends with the independent-verification disclaimer.</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Final boundary</w:t>
            </w:r>
          </w:p>
        </w:tc>
      </w:tr>
      <w:tr>
        <w:tc>
          <w:tcPr>
            <w:tcW w:type="dxa" w:w="9360"/>
            <w:tcMar>
              <w:top w:w="80" w:type="dxa"/>
              <w:start w:w="120" w:type="dxa"/>
              <w:bottom w:w="80" w:type="dxa"/>
              <w:end w:w="120" w:type="dxa"/>
            </w:tcMar>
            <w:vAlign w:val="center"/>
            <w:shd w:fill="FFF8E8"/>
          </w:tcPr>
          <w:p>
            <w:pPr>
              <w:spacing w:after="20" w:line="250" w:lineRule="auto"/>
            </w:pPr>
            <w:r>
              <w:t>Acceptance of S10-17 proves the exact Slice 10 release and records its authority. It does not create reusable biometric identity, authorise another event or jurisdiction, or permit Slice 11 to learn from biometric material.</w:t>
            </w:r>
          </w:p>
        </w:tc>
      </w:tr>
    </w:tbl>
    <w:p>
      <w:pPr>
        <w:spacing w:after="0"/>
      </w:pPr>
    </w:p>
    <w:sectPr w:rsidR="00FC693F" w:rsidRPr="0006063C" w:rsidSect="00034616">
      <w:headerReference w:type="default" r:id="rId9"/>
      <w:footerReference w:type="default" r:id="rId10"/>
      <w:pgSz w:w="12240" w:h="15840"/>
      <w:pgMar w:top="1123"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Slice 10 - Cursor Prompt Pack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085"/>
        <w:sz w:val="16"/>
      </w:rPr>
      <w:t>MAISON DOCLAR  |  CANONICAL BUILD PROGRAMME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22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7" w:hanging="259"/>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7" w:hanging="259"/>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Label">
    <w:name w:val="Prompt Label"/>
    <w:pPr>
      <w:spacing w:after="40"/>
    </w:pPr>
    <w:rPr>
      <w:rFonts w:ascii="Calibri" w:hAnsi="Calibri"/>
      <w:b/>
      <w:color w:val="A57C2A"/>
      <w:sz w:val="18"/>
    </w:rPr>
  </w:style>
  <w:style w:type="paragraph" w:customStyle="1" w:styleId="CodeBlock">
    <w:name w:val="Code Block"/>
    <w:pPr>
      <w:spacing w:after="160"/>
      <w:ind w:left="230" w:right="23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Slice 10 Cursor Prompt Pack</dc:title>
  <dc:subject>FaceGate Gated Integration sequential production implementation prompts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