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mptLabel"/>
      </w:pPr>
      <w:r>
        <w:t>SLICE 12</w:t>
      </w:r>
    </w:p>
    <w:p>
      <w:pPr>
        <w:pStyle w:val="Title"/>
      </w:pPr>
      <w:r>
        <w:t>Whole-system Validation and Release</w:t>
      </w:r>
    </w:p>
    <w:p>
      <w:pPr>
        <w:pStyle w:val="Subtitle"/>
      </w:pPr>
      <w:r>
        <w:t>Complete Cursor Prompt Pack</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tcPr>
          <w:p>
            <w:r>
              <w:rPr>
                <w:b/>
              </w:rPr>
              <w:t>Control</w:t>
            </w:r>
          </w:p>
        </w:tc>
        <w:tc>
          <w:tcPr>
            <w:tcW w:type="dxa" w:w="7272"/>
            <w:shd w:fill="E8EEF5"/>
            <w:tcMar>
              <w:top w:w="80" w:type="dxa"/>
              <w:start w:w="120" w:type="dxa"/>
              <w:bottom w:w="80" w:type="dxa"/>
              <w:end w:w="120" w:type="dxa"/>
            </w:tcMar>
          </w:tcPr>
          <w:p>
            <w:r>
              <w:rPr>
                <w:b/>
              </w:rPr>
              <w:t>Value</w:t>
            </w:r>
          </w:p>
        </w:tc>
      </w:tr>
      <w:tr>
        <w:tc>
          <w:tcPr>
            <w:tcW w:type="dxa" w:w="2088"/>
            <w:tcMar>
              <w:top w:w="80" w:type="dxa"/>
              <w:start w:w="120" w:type="dxa"/>
              <w:bottom w:w="80" w:type="dxa"/>
              <w:end w:w="120" w:type="dxa"/>
            </w:tcMar>
            <w:vAlign w:val="center"/>
          </w:tcPr>
          <w:p>
            <w:pPr>
              <w:spacing w:after="20" w:line="250" w:lineRule="auto"/>
            </w:pPr>
            <w:r>
              <w:t>Version</w:t>
            </w:r>
          </w:p>
        </w:tc>
        <w:tc>
          <w:tcPr>
            <w:tcW w:type="dxa" w:w="7272"/>
            <w:tcMar>
              <w:top w:w="80" w:type="dxa"/>
              <w:start w:w="120" w:type="dxa"/>
              <w:bottom w:w="80" w:type="dxa"/>
              <w:end w:w="120" w:type="dxa"/>
            </w:tcMar>
            <w:vAlign w:val="center"/>
          </w:tcPr>
          <w:p>
            <w:pPr>
              <w:spacing w:after="20" w:line="250" w:lineRule="auto"/>
            </w:pPr>
            <w:r>
              <w:t>1.0 - sequential production qualification and controlled-release pack</w:t>
            </w:r>
          </w:p>
        </w:tc>
      </w:tr>
      <w:tr>
        <w:tc>
          <w:tcPr>
            <w:tcW w:type="dxa" w:w="2088"/>
            <w:tcMar>
              <w:top w:w="80" w:type="dxa"/>
              <w:start w:w="120" w:type="dxa"/>
              <w:bottom w:w="80" w:type="dxa"/>
              <w:end w:w="120" w:type="dxa"/>
            </w:tcMar>
            <w:vAlign w:val="center"/>
            <w:shd w:fill="F7F8FA"/>
          </w:tcPr>
          <w:p>
            <w:pPr>
              <w:spacing w:after="20" w:line="250" w:lineRule="auto"/>
            </w:pPr>
            <w:r>
              <w:t>Authority</w:t>
            </w:r>
          </w:p>
        </w:tc>
        <w:tc>
          <w:tcPr>
            <w:tcW w:type="dxa" w:w="7272"/>
            <w:tcMar>
              <w:top w:w="80" w:type="dxa"/>
              <w:start w:w="120" w:type="dxa"/>
              <w:bottom w:w="80" w:type="dxa"/>
              <w:end w:w="120" w:type="dxa"/>
            </w:tcMar>
            <w:vAlign w:val="center"/>
            <w:shd w:fill="F7F8FA"/>
          </w:tcPr>
          <w:p>
            <w:pPr>
              <w:spacing w:after="20" w:line="250" w:lineRule="auto"/>
            </w:pPr>
            <w:r>
              <w:t>Canonical Build Blueprint + Intelligence Specification v1.0 + Slice 12 Implementation Specification v1.0</w:t>
            </w:r>
          </w:p>
        </w:tc>
      </w:tr>
      <w:tr>
        <w:tc>
          <w:tcPr>
            <w:tcW w:type="dxa" w:w="2088"/>
            <w:tcMar>
              <w:top w:w="80" w:type="dxa"/>
              <w:start w:w="120" w:type="dxa"/>
              <w:bottom w:w="80" w:type="dxa"/>
              <w:end w:w="120" w:type="dxa"/>
            </w:tcMar>
            <w:vAlign w:val="center"/>
          </w:tcPr>
          <w:p>
            <w:pPr>
              <w:spacing w:after="20" w:line="250" w:lineRule="auto"/>
            </w:pPr>
            <w:r>
              <w:t>Run model</w:t>
            </w:r>
          </w:p>
        </w:tc>
        <w:tc>
          <w:tcPr>
            <w:tcW w:type="dxa" w:w="7272"/>
            <w:tcMar>
              <w:top w:w="80" w:type="dxa"/>
              <w:start w:w="120" w:type="dxa"/>
              <w:bottom w:w="80" w:type="dxa"/>
              <w:end w:w="120" w:type="dxa"/>
            </w:tcMar>
            <w:vAlign w:val="center"/>
          </w:tcPr>
          <w:p>
            <w:pPr>
              <w:spacing w:after="20" w:line="250" w:lineRule="auto"/>
            </w:pPr>
            <w:r>
              <w:t>One prompt, independent review, accepted commit, then next prompt</w:t>
            </w:r>
          </w:p>
        </w:tc>
      </w:tr>
      <w:tr>
        <w:tc>
          <w:tcPr>
            <w:tcW w:type="dxa" w:w="2088"/>
            <w:tcMar>
              <w:top w:w="80" w:type="dxa"/>
              <w:start w:w="120" w:type="dxa"/>
              <w:bottom w:w="80" w:type="dxa"/>
              <w:end w:w="120" w:type="dxa"/>
            </w:tcMar>
            <w:vAlign w:val="center"/>
            <w:shd w:fill="F7F8FA"/>
          </w:tcPr>
          <w:p>
            <w:pPr>
              <w:spacing w:after="20" w:line="250" w:lineRule="auto"/>
            </w:pPr>
            <w:r>
              <w:t>Entry</w:t>
            </w:r>
          </w:p>
        </w:tc>
        <w:tc>
          <w:tcPr>
            <w:tcW w:type="dxa" w:w="7272"/>
            <w:tcMar>
              <w:top w:w="80" w:type="dxa"/>
              <w:start w:w="120" w:type="dxa"/>
              <w:bottom w:w="80" w:type="dxa"/>
              <w:end w:w="120" w:type="dxa"/>
            </w:tcMar>
            <w:vAlign w:val="center"/>
            <w:shd w:fill="F7F8FA"/>
          </w:tcPr>
          <w:p>
            <w:pPr>
              <w:spacing w:after="20" w:line="250" w:lineRule="auto"/>
            </w:pPr>
            <w:r>
              <w:t>Accepted Slice 11 exit; clean integrated baseline; production and specialist capabilities OFF</w:t>
            </w:r>
          </w:p>
        </w:tc>
      </w:tr>
      <w:tr>
        <w:tc>
          <w:tcPr>
            <w:tcW w:type="dxa" w:w="2088"/>
            <w:tcMar>
              <w:top w:w="80" w:type="dxa"/>
              <w:start w:w="120" w:type="dxa"/>
              <w:bottom w:w="80" w:type="dxa"/>
              <w:end w:w="120" w:type="dxa"/>
            </w:tcMar>
            <w:vAlign w:val="center"/>
          </w:tcPr>
          <w:p>
            <w:pPr>
              <w:spacing w:after="20" w:line="250" w:lineRule="auto"/>
            </w:pPr>
            <w:r>
              <w:t>Exit</w:t>
            </w:r>
          </w:p>
        </w:tc>
        <w:tc>
          <w:tcPr>
            <w:tcW w:type="dxa" w:w="7272"/>
            <w:tcMar>
              <w:top w:w="80" w:type="dxa"/>
              <w:start w:w="120" w:type="dxa"/>
              <w:bottom w:w="80" w:type="dxa"/>
              <w:end w:w="120" w:type="dxa"/>
            </w:tcMar>
            <w:vAlign w:val="center"/>
          </w:tcPr>
          <w:p>
            <w:pPr>
              <w:spacing w:after="20" w:line="250" w:lineRule="auto"/>
            </w:pPr>
            <w:r>
              <w:t>A01-A50 and G0-G6 pass; CEO records exact controlled production decision and operational handoff</w:t>
            </w:r>
          </w:p>
        </w:tc>
      </w:tr>
      <w:tr>
        <w:tc>
          <w:tcPr>
            <w:tcW w:type="dxa" w:w="2088"/>
            <w:tcMar>
              <w:top w:w="80" w:type="dxa"/>
              <w:start w:w="120" w:type="dxa"/>
              <w:bottom w:w="80" w:type="dxa"/>
              <w:end w:w="120" w:type="dxa"/>
            </w:tcMar>
            <w:vAlign w:val="center"/>
            <w:shd w:fill="F7F8FA"/>
          </w:tcPr>
          <w:p>
            <w:pPr>
              <w:spacing w:after="20" w:line="250" w:lineRule="auto"/>
            </w:pPr>
            <w:r>
              <w:t>Hard boundary</w:t>
            </w:r>
          </w:p>
        </w:tc>
        <w:tc>
          <w:tcPr>
            <w:tcW w:type="dxa" w:w="7272"/>
            <w:tcMar>
              <w:top w:w="80" w:type="dxa"/>
              <w:start w:w="120" w:type="dxa"/>
              <w:bottom w:w="80" w:type="dxa"/>
              <w:end w:w="120" w:type="dxa"/>
            </w:tcMar>
            <w:vAlign w:val="center"/>
            <w:shd w:fill="F7F8FA"/>
          </w:tcPr>
          <w:p>
            <w:pPr>
              <w:spacing w:after="20" w:line="250" w:lineRule="auto"/>
            </w:pPr>
            <w:r>
              <w:t>No mutable candidate, stale evidence, hidden intervention, unreconciled ledger, Critical defect or implied production authority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Execution law</w:t>
            </w:r>
          </w:p>
        </w:tc>
      </w:tr>
      <w:tr>
        <w:tc>
          <w:tcPr>
            <w:tcW w:type="dxa" w:w="9360"/>
            <w:tcMar>
              <w:top w:w="80" w:type="dxa"/>
              <w:start w:w="120" w:type="dxa"/>
              <w:bottom w:w="80" w:type="dxa"/>
              <w:end w:w="120" w:type="dxa"/>
            </w:tcMar>
            <w:vAlign w:val="center"/>
            <w:shd w:fill="FFF8E8"/>
          </w:tcPr>
          <w:p>
            <w:pPr>
              <w:spacing w:after="20" w:line="250" w:lineRule="auto"/>
            </w:pPr>
            <w:r>
              <w:t>Replace LAST_ACCEPTED_COMMIT in every prompt. Cursor implements, verifies, documents and commits only that prompt, then stops. Its completion report is a claim awaiting independent review; it cannot approve its own gate.</w:t>
            </w:r>
          </w:p>
        </w:tc>
      </w:tr>
    </w:tbl>
    <w:p>
      <w:pPr>
        <w:spacing w:after="0"/>
      </w:pPr>
    </w:p>
    <w:p>
      <w:pPr>
        <w:pStyle w:val="Heading1"/>
      </w:pPr>
      <w:r>
        <w:t>How to use this pack</w:t>
      </w:r>
    </w:p>
    <w:p>
      <w:pPr>
        <w:pStyle w:val="ListNumber"/>
        <w:spacing w:after="60"/>
      </w:pPr>
      <w:r>
        <w:t>Make the ratified Blueprint, Intelligence Specification, Slice 12 Implementation Specification and all prior accepted reports available to Cursor.</w:t>
      </w:r>
    </w:p>
    <w:p>
      <w:pPr>
        <w:pStyle w:val="ListNumber"/>
        <w:spacing w:after="60"/>
      </w:pPr>
      <w:r>
        <w:t>Run S12-00 first; independently inspect the diff, evidence, candidate impact and decisions before accepting.</w:t>
      </w:r>
    </w:p>
    <w:p>
      <w:pPr>
        <w:pStyle w:val="ListNumber"/>
        <w:spacing w:after="60"/>
      </w:pPr>
      <w:r>
        <w:t>Accept or return the same prompt for correction. Never advance on partial acceptance or unresolved mandatory work.</w:t>
      </w:r>
    </w:p>
    <w:p>
      <w:pPr>
        <w:pStyle w:val="ListNumber"/>
        <w:spacing w:after="60"/>
      </w:pPr>
      <w:r>
        <w:t>Insert the accepted full commit hash into the next prompt; preserve an immutable release-candidate/evidence chain.</w:t>
      </w:r>
    </w:p>
    <w:p>
      <w:pPr>
        <w:pStyle w:val="ListNumber"/>
        <w:spacing w:after="60"/>
      </w:pPr>
      <w:r>
        <w:t>Never batch prompts or allow Cursor to continue automatically.</w:t>
      </w:r>
    </w:p>
    <w:p>
      <w:pPr>
        <w:pStyle w:val="ListNumber"/>
        <w:spacing w:after="60"/>
      </w:pPr>
      <w:r>
        <w:t>Production remains OFF through qualification. Only S12-17 may execute the exact CEO-authorised rollout stage.</w:t>
      </w:r>
    </w:p>
    <w:p>
      <w:pPr>
        <w:pStyle w:val="Heading1"/>
      </w:pPr>
      <w:r>
        <w:t>Prompt map</w:t>
      </w:r>
    </w:p>
    <w:tbl>
      <w:tblPr>
        <w:tblStyle w:val="TableGrid"/>
        <w:tblW w:type="dxa" w:w="9360"/>
        <w:jc w:val="left"/>
        <w:tblLayout w:type="fixed"/>
        <w:tblLook w:firstColumn="1" w:firstRow="1" w:lastColumn="0" w:lastRow="0" w:noHBand="0" w:noVBand="1" w:val="04A0"/>
        <w:tblInd w:w="120" w:type="dxa"/>
      </w:tblPr>
      <w:tblGrid>
        <w:gridCol w:w="1008"/>
        <w:gridCol w:w="4536"/>
        <w:gridCol w:w="3816"/>
      </w:tblGrid>
      <w:tr>
        <w:trPr>
          <w:tblHeader w:val="true"/>
        </w:trPr>
        <w:tc>
          <w:tcPr>
            <w:tcW w:type="dxa" w:w="1008"/>
            <w:shd w:fill="E8EEF5"/>
            <w:tcMar>
              <w:top w:w="80" w:type="dxa"/>
              <w:start w:w="120" w:type="dxa"/>
              <w:bottom w:w="80" w:type="dxa"/>
              <w:end w:w="120" w:type="dxa"/>
            </w:tcMar>
          </w:tcPr>
          <w:p>
            <w:r>
              <w:rPr>
                <w:b/>
              </w:rPr>
              <w:t>Prompt</w:t>
            </w:r>
          </w:p>
        </w:tc>
        <w:tc>
          <w:tcPr>
            <w:tcW w:type="dxa" w:w="4536"/>
            <w:shd w:fill="E8EEF5"/>
            <w:tcMar>
              <w:top w:w="80" w:type="dxa"/>
              <w:start w:w="120" w:type="dxa"/>
              <w:bottom w:w="80" w:type="dxa"/>
              <w:end w:w="120" w:type="dxa"/>
            </w:tcMar>
          </w:tcPr>
          <w:p>
            <w:r>
              <w:rPr>
                <w:b/>
              </w:rPr>
              <w:t>Outcome</w:t>
            </w:r>
          </w:p>
        </w:tc>
        <w:tc>
          <w:tcPr>
            <w:tcW w:type="dxa" w:w="3816"/>
            <w:shd w:fill="E8EEF5"/>
            <w:tcMar>
              <w:top w:w="80" w:type="dxa"/>
              <w:start w:w="120" w:type="dxa"/>
              <w:bottom w:w="80" w:type="dxa"/>
              <w:end w:w="120" w:type="dxa"/>
            </w:tcMar>
          </w:tcPr>
          <w:p>
            <w:r>
              <w:rPr>
                <w:b/>
              </w:rPr>
              <w:t>Build unit</w:t>
            </w:r>
          </w:p>
        </w:tc>
      </w:tr>
      <w:tr>
        <w:tc>
          <w:tcPr>
            <w:tcW w:type="dxa" w:w="1008"/>
            <w:tcMar>
              <w:top w:w="80" w:type="dxa"/>
              <w:start w:w="120" w:type="dxa"/>
              <w:bottom w:w="80" w:type="dxa"/>
              <w:end w:w="120" w:type="dxa"/>
            </w:tcMar>
            <w:vAlign w:val="center"/>
          </w:tcPr>
          <w:p>
            <w:pPr>
              <w:spacing w:after="20" w:line="250" w:lineRule="auto"/>
            </w:pPr>
            <w:r>
              <w:t>S12-00</w:t>
            </w:r>
          </w:p>
        </w:tc>
        <w:tc>
          <w:tcPr>
            <w:tcW w:type="dxa" w:w="4536"/>
            <w:tcMar>
              <w:top w:w="80" w:type="dxa"/>
              <w:start w:w="120" w:type="dxa"/>
              <w:bottom w:w="80" w:type="dxa"/>
              <w:end w:w="120" w:type="dxa"/>
            </w:tcMar>
            <w:vAlign w:val="center"/>
          </w:tcPr>
          <w:p>
            <w:pPr>
              <w:spacing w:after="20" w:line="250" w:lineRule="auto"/>
            </w:pPr>
            <w:r>
              <w:t>Entry audit and release policy lock</w:t>
            </w:r>
          </w:p>
        </w:tc>
        <w:tc>
          <w:tcPr>
            <w:tcW w:type="dxa" w:w="3816"/>
            <w:tcMar>
              <w:top w:w="80" w:type="dxa"/>
              <w:start w:w="120" w:type="dxa"/>
              <w:bottom w:w="80" w:type="dxa"/>
              <w:end w:w="120" w:type="dxa"/>
            </w:tcMar>
            <w:vAlign w:val="center"/>
          </w:tcPr>
          <w:p>
            <w:pPr>
              <w:spacing w:after="20" w:line="250" w:lineRule="auto"/>
            </w:pPr>
            <w:r>
              <w:t>S12-01</w:t>
            </w:r>
          </w:p>
        </w:tc>
      </w:tr>
      <w:tr>
        <w:tc>
          <w:tcPr>
            <w:tcW w:type="dxa" w:w="1008"/>
            <w:tcMar>
              <w:top w:w="80" w:type="dxa"/>
              <w:start w:w="120" w:type="dxa"/>
              <w:bottom w:w="80" w:type="dxa"/>
              <w:end w:w="120" w:type="dxa"/>
            </w:tcMar>
            <w:vAlign w:val="center"/>
            <w:shd w:fill="F7F8FA"/>
          </w:tcPr>
          <w:p>
            <w:pPr>
              <w:spacing w:after="20" w:line="250" w:lineRule="auto"/>
            </w:pPr>
            <w:r>
              <w:t>S12-01</w:t>
            </w:r>
          </w:p>
        </w:tc>
        <w:tc>
          <w:tcPr>
            <w:tcW w:type="dxa" w:w="4536"/>
            <w:tcMar>
              <w:top w:w="80" w:type="dxa"/>
              <w:start w:w="120" w:type="dxa"/>
              <w:bottom w:w="80" w:type="dxa"/>
              <w:end w:w="120" w:type="dxa"/>
            </w:tcMar>
            <w:vAlign w:val="center"/>
            <w:shd w:fill="F7F8FA"/>
          </w:tcPr>
          <w:p>
            <w:pPr>
              <w:spacing w:after="20" w:line="250" w:lineRule="auto"/>
            </w:pPr>
            <w:r>
              <w:t>Release registry, immutable candidate and evidence graph</w:t>
            </w:r>
          </w:p>
        </w:tc>
        <w:tc>
          <w:tcPr>
            <w:tcW w:type="dxa" w:w="3816"/>
            <w:tcMar>
              <w:top w:w="80" w:type="dxa"/>
              <w:start w:w="120" w:type="dxa"/>
              <w:bottom w:w="80" w:type="dxa"/>
              <w:end w:w="120" w:type="dxa"/>
            </w:tcMar>
            <w:vAlign w:val="center"/>
            <w:shd w:fill="F7F8FA"/>
          </w:tcPr>
          <w:p>
            <w:pPr>
              <w:spacing w:after="20" w:line="250" w:lineRule="auto"/>
            </w:pPr>
            <w:r>
              <w:t>S12-02</w:t>
            </w:r>
          </w:p>
        </w:tc>
      </w:tr>
      <w:tr>
        <w:tc>
          <w:tcPr>
            <w:tcW w:type="dxa" w:w="1008"/>
            <w:tcMar>
              <w:top w:w="80" w:type="dxa"/>
              <w:start w:w="120" w:type="dxa"/>
              <w:bottom w:w="80" w:type="dxa"/>
              <w:end w:w="120" w:type="dxa"/>
            </w:tcMar>
            <w:vAlign w:val="center"/>
          </w:tcPr>
          <w:p>
            <w:pPr>
              <w:spacing w:after="20" w:line="250" w:lineRule="auto"/>
            </w:pPr>
            <w:r>
              <w:t>S12-02</w:t>
            </w:r>
          </w:p>
        </w:tc>
        <w:tc>
          <w:tcPr>
            <w:tcW w:type="dxa" w:w="4536"/>
            <w:tcMar>
              <w:top w:w="80" w:type="dxa"/>
              <w:start w:w="120" w:type="dxa"/>
              <w:bottom w:w="80" w:type="dxa"/>
              <w:end w:w="120" w:type="dxa"/>
            </w:tcMar>
            <w:vAlign w:val="center"/>
          </w:tcPr>
          <w:p>
            <w:pPr>
              <w:spacing w:after="20" w:line="250" w:lineRule="auto"/>
            </w:pPr>
            <w:r>
              <w:t>Production-like environment, synthetic data factory and scenario orchestrator</w:t>
            </w:r>
          </w:p>
        </w:tc>
        <w:tc>
          <w:tcPr>
            <w:tcW w:type="dxa" w:w="3816"/>
            <w:tcMar>
              <w:top w:w="80" w:type="dxa"/>
              <w:start w:w="120" w:type="dxa"/>
              <w:bottom w:w="80" w:type="dxa"/>
              <w:end w:w="120" w:type="dxa"/>
            </w:tcMar>
            <w:vAlign w:val="center"/>
          </w:tcPr>
          <w:p>
            <w:pPr>
              <w:spacing w:after="20" w:line="250" w:lineRule="auto"/>
            </w:pPr>
            <w:r>
              <w:t>S12-03</w:t>
            </w:r>
          </w:p>
        </w:tc>
      </w:tr>
      <w:tr>
        <w:tc>
          <w:tcPr>
            <w:tcW w:type="dxa" w:w="1008"/>
            <w:tcMar>
              <w:top w:w="80" w:type="dxa"/>
              <w:start w:w="120" w:type="dxa"/>
              <w:bottom w:w="80" w:type="dxa"/>
              <w:end w:w="120" w:type="dxa"/>
            </w:tcMar>
            <w:vAlign w:val="center"/>
            <w:shd w:fill="F7F8FA"/>
          </w:tcPr>
          <w:p>
            <w:pPr>
              <w:spacing w:after="20" w:line="250" w:lineRule="auto"/>
            </w:pPr>
            <w:r>
              <w:t>S12-03</w:t>
            </w:r>
          </w:p>
        </w:tc>
        <w:tc>
          <w:tcPr>
            <w:tcW w:type="dxa" w:w="4536"/>
            <w:tcMar>
              <w:top w:w="80" w:type="dxa"/>
              <w:start w:w="120" w:type="dxa"/>
              <w:bottom w:w="80" w:type="dxa"/>
              <w:end w:w="120" w:type="dxa"/>
            </w:tcMar>
            <w:vAlign w:val="center"/>
            <w:shd w:fill="F7F8FA"/>
          </w:tcPr>
          <w:p>
            <w:pPr>
              <w:spacing w:after="20" w:line="250" w:lineRule="auto"/>
            </w:pPr>
            <w:r>
              <w:t>Whole-system contract, migration, permission and integration qualification</w:t>
            </w:r>
          </w:p>
        </w:tc>
        <w:tc>
          <w:tcPr>
            <w:tcW w:type="dxa" w:w="3816"/>
            <w:tcMar>
              <w:top w:w="80" w:type="dxa"/>
              <w:start w:w="120" w:type="dxa"/>
              <w:bottom w:w="80" w:type="dxa"/>
              <w:end w:w="120" w:type="dxa"/>
            </w:tcMar>
            <w:vAlign w:val="center"/>
            <w:shd w:fill="F7F8FA"/>
          </w:tcPr>
          <w:p>
            <w:pPr>
              <w:spacing w:after="20" w:line="250" w:lineRule="auto"/>
            </w:pPr>
            <w:r>
              <w:t>S12-04</w:t>
            </w:r>
          </w:p>
        </w:tc>
      </w:tr>
      <w:tr>
        <w:tc>
          <w:tcPr>
            <w:tcW w:type="dxa" w:w="1008"/>
            <w:tcMar>
              <w:top w:w="80" w:type="dxa"/>
              <w:start w:w="120" w:type="dxa"/>
              <w:bottom w:w="80" w:type="dxa"/>
              <w:end w:w="120" w:type="dxa"/>
            </w:tcMar>
            <w:vAlign w:val="center"/>
          </w:tcPr>
          <w:p>
            <w:pPr>
              <w:spacing w:after="20" w:line="250" w:lineRule="auto"/>
            </w:pPr>
            <w:r>
              <w:t>S12-04</w:t>
            </w:r>
          </w:p>
        </w:tc>
        <w:tc>
          <w:tcPr>
            <w:tcW w:type="dxa" w:w="4536"/>
            <w:tcMar>
              <w:top w:w="80" w:type="dxa"/>
              <w:start w:w="120" w:type="dxa"/>
              <w:bottom w:w="80" w:type="dxa"/>
              <w:end w:w="120" w:type="dxa"/>
            </w:tcMar>
            <w:vAlign w:val="center"/>
          </w:tcPr>
          <w:p>
            <w:pPr>
              <w:spacing w:after="20" w:line="250" w:lineRule="auto"/>
            </w:pPr>
            <w:r>
              <w:t>Frontend route/state inventory and critical journey automation</w:t>
            </w:r>
          </w:p>
        </w:tc>
        <w:tc>
          <w:tcPr>
            <w:tcW w:type="dxa" w:w="3816"/>
            <w:tcMar>
              <w:top w:w="80" w:type="dxa"/>
              <w:start w:w="120" w:type="dxa"/>
              <w:bottom w:w="80" w:type="dxa"/>
              <w:end w:w="120" w:type="dxa"/>
            </w:tcMar>
            <w:vAlign w:val="center"/>
          </w:tcPr>
          <w:p>
            <w:pPr>
              <w:spacing w:after="20" w:line="250" w:lineRule="auto"/>
            </w:pPr>
            <w:r>
              <w:t>S12-05</w:t>
            </w:r>
          </w:p>
        </w:tc>
      </w:tr>
      <w:tr>
        <w:tc>
          <w:tcPr>
            <w:tcW w:type="dxa" w:w="1008"/>
            <w:tcMar>
              <w:top w:w="80" w:type="dxa"/>
              <w:start w:w="120" w:type="dxa"/>
              <w:bottom w:w="80" w:type="dxa"/>
              <w:end w:w="120" w:type="dxa"/>
            </w:tcMar>
            <w:vAlign w:val="center"/>
            <w:shd w:fill="F7F8FA"/>
          </w:tcPr>
          <w:p>
            <w:pPr>
              <w:spacing w:after="20" w:line="250" w:lineRule="auto"/>
            </w:pPr>
            <w:r>
              <w:t>S12-05</w:t>
            </w:r>
          </w:p>
        </w:tc>
        <w:tc>
          <w:tcPr>
            <w:tcW w:type="dxa" w:w="4536"/>
            <w:tcMar>
              <w:top w:w="80" w:type="dxa"/>
              <w:start w:w="120" w:type="dxa"/>
              <w:bottom w:w="80" w:type="dxa"/>
              <w:end w:w="120" w:type="dxa"/>
            </w:tcMar>
            <w:vAlign w:val="center"/>
            <w:shd w:fill="F7F8FA"/>
          </w:tcPr>
          <w:p>
            <w:pPr>
              <w:spacing w:after="20" w:line="250" w:lineRule="auto"/>
            </w:pPr>
            <w:r>
              <w:t>Responsive, device, accessibility and observed usability qualification</w:t>
            </w:r>
          </w:p>
        </w:tc>
        <w:tc>
          <w:tcPr>
            <w:tcW w:type="dxa" w:w="3816"/>
            <w:tcMar>
              <w:top w:w="80" w:type="dxa"/>
              <w:start w:w="120" w:type="dxa"/>
              <w:bottom w:w="80" w:type="dxa"/>
              <w:end w:w="120" w:type="dxa"/>
            </w:tcMar>
            <w:vAlign w:val="center"/>
            <w:shd w:fill="F7F8FA"/>
          </w:tcPr>
          <w:p>
            <w:pPr>
              <w:spacing w:after="20" w:line="250" w:lineRule="auto"/>
            </w:pPr>
            <w:r>
              <w:t>S12-06</w:t>
            </w:r>
          </w:p>
        </w:tc>
      </w:tr>
      <w:tr>
        <w:tc>
          <w:tcPr>
            <w:tcW w:type="dxa" w:w="1008"/>
            <w:tcMar>
              <w:top w:w="80" w:type="dxa"/>
              <w:start w:w="120" w:type="dxa"/>
              <w:bottom w:w="80" w:type="dxa"/>
              <w:end w:w="120" w:type="dxa"/>
            </w:tcMar>
            <w:vAlign w:val="center"/>
          </w:tcPr>
          <w:p>
            <w:pPr>
              <w:spacing w:after="20" w:line="250" w:lineRule="auto"/>
            </w:pPr>
            <w:r>
              <w:t>S12-06</w:t>
            </w:r>
          </w:p>
        </w:tc>
        <w:tc>
          <w:tcPr>
            <w:tcW w:type="dxa" w:w="4536"/>
            <w:tcMar>
              <w:top w:w="80" w:type="dxa"/>
              <w:start w:w="120" w:type="dxa"/>
              <w:bottom w:w="80" w:type="dxa"/>
              <w:end w:w="120" w:type="dxa"/>
            </w:tcMar>
            <w:vAlign w:val="center"/>
          </w:tcPr>
          <w:p>
            <w:pPr>
              <w:spacing w:after="20" w:line="250" w:lineRule="auto"/>
            </w:pPr>
            <w:r>
              <w:t>600-guest performance, concurrency and provider-capacity qualification</w:t>
            </w:r>
          </w:p>
        </w:tc>
        <w:tc>
          <w:tcPr>
            <w:tcW w:type="dxa" w:w="3816"/>
            <w:tcMar>
              <w:top w:w="80" w:type="dxa"/>
              <w:start w:w="120" w:type="dxa"/>
              <w:bottom w:w="80" w:type="dxa"/>
              <w:end w:w="120" w:type="dxa"/>
            </w:tcMar>
            <w:vAlign w:val="center"/>
          </w:tcPr>
          <w:p>
            <w:pPr>
              <w:spacing w:after="20" w:line="250" w:lineRule="auto"/>
            </w:pPr>
            <w:r>
              <w:t>S12-07</w:t>
            </w:r>
          </w:p>
        </w:tc>
      </w:tr>
      <w:tr>
        <w:tc>
          <w:tcPr>
            <w:tcW w:type="dxa" w:w="1008"/>
            <w:tcMar>
              <w:top w:w="80" w:type="dxa"/>
              <w:start w:w="120" w:type="dxa"/>
              <w:bottom w:w="80" w:type="dxa"/>
              <w:end w:w="120" w:type="dxa"/>
            </w:tcMar>
            <w:vAlign w:val="center"/>
            <w:shd w:fill="F7F8FA"/>
          </w:tcPr>
          <w:p>
            <w:pPr>
              <w:spacing w:after="20" w:line="250" w:lineRule="auto"/>
            </w:pPr>
            <w:r>
              <w:t>S12-07</w:t>
            </w:r>
          </w:p>
        </w:tc>
        <w:tc>
          <w:tcPr>
            <w:tcW w:type="dxa" w:w="4536"/>
            <w:tcMar>
              <w:top w:w="80" w:type="dxa"/>
              <w:start w:w="120" w:type="dxa"/>
              <w:bottom w:w="80" w:type="dxa"/>
              <w:end w:w="120" w:type="dxa"/>
            </w:tcMar>
            <w:vAlign w:val="center"/>
            <w:shd w:fill="F7F8FA"/>
          </w:tcPr>
          <w:p>
            <w:pPr>
              <w:spacing w:after="20" w:line="250" w:lineRule="auto"/>
            </w:pPr>
            <w:r>
              <w:t>Offline fleet, partition, replay and reconciliation harness</w:t>
            </w:r>
          </w:p>
        </w:tc>
        <w:tc>
          <w:tcPr>
            <w:tcW w:type="dxa" w:w="3816"/>
            <w:tcMar>
              <w:top w:w="80" w:type="dxa"/>
              <w:start w:w="120" w:type="dxa"/>
              <w:bottom w:w="80" w:type="dxa"/>
              <w:end w:w="120" w:type="dxa"/>
            </w:tcMar>
            <w:vAlign w:val="center"/>
            <w:shd w:fill="F7F8FA"/>
          </w:tcPr>
          <w:p>
            <w:pPr>
              <w:spacing w:after="20" w:line="250" w:lineRule="auto"/>
            </w:pPr>
            <w:r>
              <w:t>S12-08</w:t>
            </w:r>
          </w:p>
        </w:tc>
      </w:tr>
      <w:tr>
        <w:tc>
          <w:tcPr>
            <w:tcW w:type="dxa" w:w="1008"/>
            <w:tcMar>
              <w:top w:w="80" w:type="dxa"/>
              <w:start w:w="120" w:type="dxa"/>
              <w:bottom w:w="80" w:type="dxa"/>
              <w:end w:w="120" w:type="dxa"/>
            </w:tcMar>
            <w:vAlign w:val="center"/>
          </w:tcPr>
          <w:p>
            <w:pPr>
              <w:spacing w:after="20" w:line="250" w:lineRule="auto"/>
            </w:pPr>
            <w:r>
              <w:t>S12-08</w:t>
            </w:r>
          </w:p>
        </w:tc>
        <w:tc>
          <w:tcPr>
            <w:tcW w:type="dxa" w:w="4536"/>
            <w:tcMar>
              <w:top w:w="80" w:type="dxa"/>
              <w:start w:w="120" w:type="dxa"/>
              <w:bottom w:w="80" w:type="dxa"/>
              <w:end w:w="120" w:type="dxa"/>
            </w:tcMar>
            <w:vAlign w:val="center"/>
          </w:tcPr>
          <w:p>
            <w:pPr>
              <w:spacing w:after="20" w:line="250" w:lineRule="auto"/>
            </w:pPr>
            <w:r>
              <w:t>Failure, disaster, backup, restore, rollback and continuity drills</w:t>
            </w:r>
          </w:p>
        </w:tc>
        <w:tc>
          <w:tcPr>
            <w:tcW w:type="dxa" w:w="3816"/>
            <w:tcMar>
              <w:top w:w="80" w:type="dxa"/>
              <w:start w:w="120" w:type="dxa"/>
              <w:bottom w:w="80" w:type="dxa"/>
              <w:end w:w="120" w:type="dxa"/>
            </w:tcMar>
            <w:vAlign w:val="center"/>
          </w:tcPr>
          <w:p>
            <w:pPr>
              <w:spacing w:after="20" w:line="250" w:lineRule="auto"/>
            </w:pPr>
            <w:r>
              <w:t>S12-09</w:t>
            </w:r>
          </w:p>
        </w:tc>
      </w:tr>
      <w:tr>
        <w:tc>
          <w:tcPr>
            <w:tcW w:type="dxa" w:w="1008"/>
            <w:tcMar>
              <w:top w:w="80" w:type="dxa"/>
              <w:start w:w="120" w:type="dxa"/>
              <w:bottom w:w="80" w:type="dxa"/>
              <w:end w:w="120" w:type="dxa"/>
            </w:tcMar>
            <w:vAlign w:val="center"/>
            <w:shd w:fill="F7F8FA"/>
          </w:tcPr>
          <w:p>
            <w:pPr>
              <w:spacing w:after="20" w:line="250" w:lineRule="auto"/>
            </w:pPr>
            <w:r>
              <w:t>S12-09</w:t>
            </w:r>
          </w:p>
        </w:tc>
        <w:tc>
          <w:tcPr>
            <w:tcW w:type="dxa" w:w="4536"/>
            <w:tcMar>
              <w:top w:w="80" w:type="dxa"/>
              <w:start w:w="120" w:type="dxa"/>
              <w:bottom w:w="80" w:type="dxa"/>
              <w:end w:w="120" w:type="dxa"/>
            </w:tcMar>
            <w:vAlign w:val="center"/>
            <w:shd w:fill="F7F8FA"/>
          </w:tcPr>
          <w:p>
            <w:pPr>
              <w:spacing w:after="20" w:line="250" w:lineRule="auto"/>
            </w:pPr>
            <w:r>
              <w:t>Security, privacy, retention, deletion and rights qualification</w:t>
            </w:r>
          </w:p>
        </w:tc>
        <w:tc>
          <w:tcPr>
            <w:tcW w:type="dxa" w:w="3816"/>
            <w:tcMar>
              <w:top w:w="80" w:type="dxa"/>
              <w:start w:w="120" w:type="dxa"/>
              <w:bottom w:w="80" w:type="dxa"/>
              <w:end w:w="120" w:type="dxa"/>
            </w:tcMar>
            <w:vAlign w:val="center"/>
            <w:shd w:fill="F7F8FA"/>
          </w:tcPr>
          <w:p>
            <w:pPr>
              <w:spacing w:after="20" w:line="250" w:lineRule="auto"/>
            </w:pPr>
            <w:r>
              <w:t>S12-10</w:t>
            </w:r>
          </w:p>
        </w:tc>
      </w:tr>
      <w:tr>
        <w:tc>
          <w:tcPr>
            <w:tcW w:type="dxa" w:w="1008"/>
            <w:tcMar>
              <w:top w:w="80" w:type="dxa"/>
              <w:start w:w="120" w:type="dxa"/>
              <w:bottom w:w="80" w:type="dxa"/>
              <w:end w:w="120" w:type="dxa"/>
            </w:tcMar>
            <w:vAlign w:val="center"/>
          </w:tcPr>
          <w:p>
            <w:pPr>
              <w:spacing w:after="20" w:line="250" w:lineRule="auto"/>
            </w:pPr>
            <w:r>
              <w:t>S12-10</w:t>
            </w:r>
          </w:p>
        </w:tc>
        <w:tc>
          <w:tcPr>
            <w:tcW w:type="dxa" w:w="4536"/>
            <w:tcMar>
              <w:top w:w="80" w:type="dxa"/>
              <w:start w:w="120" w:type="dxa"/>
              <w:bottom w:w="80" w:type="dxa"/>
              <w:end w:w="120" w:type="dxa"/>
            </w:tcMar>
            <w:vAlign w:val="center"/>
          </w:tcPr>
          <w:p>
            <w:pPr>
              <w:spacing w:after="20" w:line="250" w:lineRule="auto"/>
            </w:pPr>
            <w:r>
              <w:t>Observability, SLO, alert, incident and support readiness</w:t>
            </w:r>
          </w:p>
        </w:tc>
        <w:tc>
          <w:tcPr>
            <w:tcW w:type="dxa" w:w="3816"/>
            <w:tcMar>
              <w:top w:w="80" w:type="dxa"/>
              <w:start w:w="120" w:type="dxa"/>
              <w:bottom w:w="80" w:type="dxa"/>
              <w:end w:w="120" w:type="dxa"/>
            </w:tcMar>
            <w:vAlign w:val="center"/>
          </w:tcPr>
          <w:p>
            <w:pPr>
              <w:spacing w:after="20" w:line="250" w:lineRule="auto"/>
            </w:pPr>
            <w:r>
              <w:t>S12-11</w:t>
            </w:r>
          </w:p>
        </w:tc>
      </w:tr>
      <w:tr>
        <w:tc>
          <w:tcPr>
            <w:tcW w:type="dxa" w:w="1008"/>
            <w:tcMar>
              <w:top w:w="80" w:type="dxa"/>
              <w:start w:w="120" w:type="dxa"/>
              <w:bottom w:w="80" w:type="dxa"/>
              <w:end w:w="120" w:type="dxa"/>
            </w:tcMar>
            <w:vAlign w:val="center"/>
            <w:shd w:fill="F7F8FA"/>
          </w:tcPr>
          <w:p>
            <w:pPr>
              <w:spacing w:after="20" w:line="250" w:lineRule="auto"/>
            </w:pPr>
            <w:r>
              <w:t>S12-11</w:t>
            </w:r>
          </w:p>
        </w:tc>
        <w:tc>
          <w:tcPr>
            <w:tcW w:type="dxa" w:w="4536"/>
            <w:tcMar>
              <w:top w:w="80" w:type="dxa"/>
              <w:start w:w="120" w:type="dxa"/>
              <w:bottom w:w="80" w:type="dxa"/>
              <w:end w:w="120" w:type="dxa"/>
            </w:tcMar>
            <w:vAlign w:val="center"/>
            <w:shd w:fill="F7F8FA"/>
          </w:tcPr>
          <w:p>
            <w:pPr>
              <w:spacing w:after="20" w:line="250" w:lineRule="auto"/>
            </w:pPr>
            <w:r>
              <w:t>AI shadow, FaceGate and cross-event specialist gates</w:t>
            </w:r>
          </w:p>
        </w:tc>
        <w:tc>
          <w:tcPr>
            <w:tcW w:type="dxa" w:w="3816"/>
            <w:tcMar>
              <w:top w:w="80" w:type="dxa"/>
              <w:start w:w="120" w:type="dxa"/>
              <w:bottom w:w="80" w:type="dxa"/>
              <w:end w:w="120" w:type="dxa"/>
            </w:tcMar>
            <w:vAlign w:val="center"/>
            <w:shd w:fill="F7F8FA"/>
          </w:tcPr>
          <w:p>
            <w:pPr>
              <w:spacing w:after="20" w:line="250" w:lineRule="auto"/>
            </w:pPr>
            <w:r>
              <w:t>S12-12</w:t>
            </w:r>
          </w:p>
        </w:tc>
      </w:tr>
      <w:tr>
        <w:tc>
          <w:tcPr>
            <w:tcW w:type="dxa" w:w="1008"/>
            <w:tcMar>
              <w:top w:w="80" w:type="dxa"/>
              <w:start w:w="120" w:type="dxa"/>
              <w:bottom w:w="80" w:type="dxa"/>
              <w:end w:w="120" w:type="dxa"/>
            </w:tcMar>
            <w:vAlign w:val="center"/>
          </w:tcPr>
          <w:p>
            <w:pPr>
              <w:spacing w:after="20" w:line="250" w:lineRule="auto"/>
            </w:pPr>
            <w:r>
              <w:t>S12-12</w:t>
            </w:r>
          </w:p>
        </w:tc>
        <w:tc>
          <w:tcPr>
            <w:tcW w:type="dxa" w:w="4536"/>
            <w:tcMar>
              <w:top w:w="80" w:type="dxa"/>
              <w:start w:w="120" w:type="dxa"/>
              <w:bottom w:w="80" w:type="dxa"/>
              <w:end w:w="120" w:type="dxa"/>
            </w:tcMar>
            <w:vAlign w:val="center"/>
          </w:tcPr>
          <w:p>
            <w:pPr>
              <w:spacing w:after="20" w:line="250" w:lineRule="auto"/>
            </w:pPr>
            <w:r>
              <w:t>Full synthetic Lagos reference-event rehearsal</w:t>
            </w:r>
          </w:p>
        </w:tc>
        <w:tc>
          <w:tcPr>
            <w:tcW w:type="dxa" w:w="3816"/>
            <w:tcMar>
              <w:top w:w="80" w:type="dxa"/>
              <w:start w:w="120" w:type="dxa"/>
              <w:bottom w:w="80" w:type="dxa"/>
              <w:end w:w="120" w:type="dxa"/>
            </w:tcMar>
            <w:vAlign w:val="center"/>
          </w:tcPr>
          <w:p>
            <w:pPr>
              <w:spacing w:after="20" w:line="250" w:lineRule="auto"/>
            </w:pPr>
            <w:r>
              <w:t>S12-13</w:t>
            </w:r>
          </w:p>
        </w:tc>
      </w:tr>
      <w:tr>
        <w:tc>
          <w:tcPr>
            <w:tcW w:type="dxa" w:w="1008"/>
            <w:tcMar>
              <w:top w:w="80" w:type="dxa"/>
              <w:start w:w="120" w:type="dxa"/>
              <w:bottom w:w="80" w:type="dxa"/>
              <w:end w:w="120" w:type="dxa"/>
            </w:tcMar>
            <w:vAlign w:val="center"/>
            <w:shd w:fill="F7F8FA"/>
          </w:tcPr>
          <w:p>
            <w:pPr>
              <w:spacing w:after="20" w:line="250" w:lineRule="auto"/>
            </w:pPr>
            <w:r>
              <w:t>S12-13</w:t>
            </w:r>
          </w:p>
        </w:tc>
        <w:tc>
          <w:tcPr>
            <w:tcW w:type="dxa" w:w="4536"/>
            <w:tcMar>
              <w:top w:w="80" w:type="dxa"/>
              <w:start w:w="120" w:type="dxa"/>
              <w:bottom w:w="80" w:type="dxa"/>
              <w:end w:w="120" w:type="dxa"/>
            </w:tcMar>
            <w:vAlign w:val="center"/>
            <w:shd w:fill="F7F8FA"/>
          </w:tcPr>
          <w:p>
            <w:pPr>
              <w:spacing w:after="20" w:line="250" w:lineRule="auto"/>
            </w:pPr>
            <w:r>
              <w:t>Pilot Control Room and Release Evidence Dashboard</w:t>
            </w:r>
          </w:p>
        </w:tc>
        <w:tc>
          <w:tcPr>
            <w:tcW w:type="dxa" w:w="3816"/>
            <w:tcMar>
              <w:top w:w="80" w:type="dxa"/>
              <w:start w:w="120" w:type="dxa"/>
              <w:bottom w:w="80" w:type="dxa"/>
              <w:end w:w="120" w:type="dxa"/>
            </w:tcMar>
            <w:vAlign w:val="center"/>
            <w:shd w:fill="F7F8FA"/>
          </w:tcPr>
          <w:p>
            <w:pPr>
              <w:spacing w:after="20" w:line="250" w:lineRule="auto"/>
            </w:pPr>
            <w:r>
              <w:t>S12-14</w:t>
            </w:r>
          </w:p>
        </w:tc>
      </w:tr>
      <w:tr>
        <w:tc>
          <w:tcPr>
            <w:tcW w:type="dxa" w:w="1008"/>
            <w:tcMar>
              <w:top w:w="80" w:type="dxa"/>
              <w:start w:w="120" w:type="dxa"/>
              <w:bottom w:w="80" w:type="dxa"/>
              <w:end w:w="120" w:type="dxa"/>
            </w:tcMar>
            <w:vAlign w:val="center"/>
          </w:tcPr>
          <w:p>
            <w:pPr>
              <w:spacing w:after="20" w:line="250" w:lineRule="auto"/>
            </w:pPr>
            <w:r>
              <w:t>S12-14</w:t>
            </w:r>
          </w:p>
        </w:tc>
        <w:tc>
          <w:tcPr>
            <w:tcW w:type="dxa" w:w="4536"/>
            <w:tcMar>
              <w:top w:w="80" w:type="dxa"/>
              <w:start w:w="120" w:type="dxa"/>
              <w:bottom w:w="80" w:type="dxa"/>
              <w:end w:w="120" w:type="dxa"/>
            </w:tcMar>
            <w:vAlign w:val="center"/>
          </w:tcPr>
          <w:p>
            <w:pPr>
              <w:spacing w:after="20" w:line="250" w:lineRule="auto"/>
            </w:pPr>
            <w:r>
              <w:t>Supervised pilot preparation, training, approvals and dry run</w:t>
            </w:r>
          </w:p>
        </w:tc>
        <w:tc>
          <w:tcPr>
            <w:tcW w:type="dxa" w:w="3816"/>
            <w:tcMar>
              <w:top w:w="80" w:type="dxa"/>
              <w:start w:w="120" w:type="dxa"/>
              <w:bottom w:w="80" w:type="dxa"/>
              <w:end w:w="120" w:type="dxa"/>
            </w:tcMar>
            <w:vAlign w:val="center"/>
          </w:tcPr>
          <w:p>
            <w:pPr>
              <w:spacing w:after="20" w:line="250" w:lineRule="auto"/>
            </w:pPr>
            <w:r>
              <w:t>S12-15</w:t>
            </w:r>
          </w:p>
        </w:tc>
      </w:tr>
      <w:tr>
        <w:tc>
          <w:tcPr>
            <w:tcW w:type="dxa" w:w="1008"/>
            <w:tcMar>
              <w:top w:w="80" w:type="dxa"/>
              <w:start w:w="120" w:type="dxa"/>
              <w:bottom w:w="80" w:type="dxa"/>
              <w:end w:w="120" w:type="dxa"/>
            </w:tcMar>
            <w:vAlign w:val="center"/>
            <w:shd w:fill="F7F8FA"/>
          </w:tcPr>
          <w:p>
            <w:pPr>
              <w:spacing w:after="20" w:line="250" w:lineRule="auto"/>
            </w:pPr>
            <w:r>
              <w:t>S12-15</w:t>
            </w:r>
          </w:p>
        </w:tc>
        <w:tc>
          <w:tcPr>
            <w:tcW w:type="dxa" w:w="4536"/>
            <w:tcMar>
              <w:top w:w="80" w:type="dxa"/>
              <w:start w:w="120" w:type="dxa"/>
              <w:bottom w:w="80" w:type="dxa"/>
              <w:end w:w="120" w:type="dxa"/>
            </w:tcMar>
            <w:vAlign w:val="center"/>
            <w:shd w:fill="F7F8FA"/>
          </w:tcPr>
          <w:p>
            <w:pPr>
              <w:spacing w:after="20" w:line="250" w:lineRule="auto"/>
            </w:pPr>
            <w:r>
              <w:t>Supervised pilot execution, close and reconciliation</w:t>
            </w:r>
          </w:p>
        </w:tc>
        <w:tc>
          <w:tcPr>
            <w:tcW w:type="dxa" w:w="3816"/>
            <w:tcMar>
              <w:top w:w="80" w:type="dxa"/>
              <w:start w:w="120" w:type="dxa"/>
              <w:bottom w:w="80" w:type="dxa"/>
              <w:end w:w="120" w:type="dxa"/>
            </w:tcMar>
            <w:vAlign w:val="center"/>
            <w:shd w:fill="F7F8FA"/>
          </w:tcPr>
          <w:p>
            <w:pPr>
              <w:spacing w:after="20" w:line="250" w:lineRule="auto"/>
            </w:pPr>
            <w:r>
              <w:t>S12-16</w:t>
            </w:r>
          </w:p>
        </w:tc>
      </w:tr>
      <w:tr>
        <w:tc>
          <w:tcPr>
            <w:tcW w:type="dxa" w:w="1008"/>
            <w:tcMar>
              <w:top w:w="80" w:type="dxa"/>
              <w:start w:w="120" w:type="dxa"/>
              <w:bottom w:w="80" w:type="dxa"/>
              <w:end w:w="120" w:type="dxa"/>
            </w:tcMar>
            <w:vAlign w:val="center"/>
          </w:tcPr>
          <w:p>
            <w:pPr>
              <w:spacing w:after="20" w:line="250" w:lineRule="auto"/>
            </w:pPr>
            <w:r>
              <w:t>S12-16</w:t>
            </w:r>
          </w:p>
        </w:tc>
        <w:tc>
          <w:tcPr>
            <w:tcW w:type="dxa" w:w="4536"/>
            <w:tcMar>
              <w:top w:w="80" w:type="dxa"/>
              <w:start w:w="120" w:type="dxa"/>
              <w:bottom w:w="80" w:type="dxa"/>
              <w:end w:w="120" w:type="dxa"/>
            </w:tcMar>
            <w:vAlign w:val="center"/>
          </w:tcPr>
          <w:p>
            <w:pPr>
              <w:spacing w:after="20" w:line="250" w:lineRule="auto"/>
            </w:pPr>
            <w:r>
              <w:t>Defect correction, independent regression and candidate freeze</w:t>
            </w:r>
          </w:p>
        </w:tc>
        <w:tc>
          <w:tcPr>
            <w:tcW w:type="dxa" w:w="3816"/>
            <w:tcMar>
              <w:top w:w="80" w:type="dxa"/>
              <w:start w:w="120" w:type="dxa"/>
              <w:bottom w:w="80" w:type="dxa"/>
              <w:end w:w="120" w:type="dxa"/>
            </w:tcMar>
            <w:vAlign w:val="center"/>
          </w:tcPr>
          <w:p>
            <w:pPr>
              <w:spacing w:after="20" w:line="250" w:lineRule="auto"/>
            </w:pPr>
            <w:r>
              <w:t>S12-17</w:t>
            </w:r>
          </w:p>
        </w:tc>
      </w:tr>
      <w:tr>
        <w:tc>
          <w:tcPr>
            <w:tcW w:type="dxa" w:w="1008"/>
            <w:tcMar>
              <w:top w:w="80" w:type="dxa"/>
              <w:start w:w="120" w:type="dxa"/>
              <w:bottom w:w="80" w:type="dxa"/>
              <w:end w:w="120" w:type="dxa"/>
            </w:tcMar>
            <w:vAlign w:val="center"/>
            <w:shd w:fill="F7F8FA"/>
          </w:tcPr>
          <w:p>
            <w:pPr>
              <w:spacing w:after="20" w:line="250" w:lineRule="auto"/>
            </w:pPr>
            <w:r>
              <w:t>S12-17</w:t>
            </w:r>
          </w:p>
        </w:tc>
        <w:tc>
          <w:tcPr>
            <w:tcW w:type="dxa" w:w="4536"/>
            <w:tcMar>
              <w:top w:w="80" w:type="dxa"/>
              <w:start w:w="120" w:type="dxa"/>
              <w:bottom w:w="80" w:type="dxa"/>
              <w:end w:w="120" w:type="dxa"/>
            </w:tcMar>
            <w:vAlign w:val="center"/>
            <w:shd w:fill="F7F8FA"/>
          </w:tcPr>
          <w:p>
            <w:pPr>
              <w:spacing w:after="20" w:line="250" w:lineRule="auto"/>
            </w:pPr>
            <w:r>
              <w:t>G0-G6 review, CEO authorisation, staged release and handoff</w:t>
            </w:r>
          </w:p>
        </w:tc>
        <w:tc>
          <w:tcPr>
            <w:tcW w:type="dxa" w:w="3816"/>
            <w:tcMar>
              <w:top w:w="80" w:type="dxa"/>
              <w:start w:w="120" w:type="dxa"/>
              <w:bottom w:w="80" w:type="dxa"/>
              <w:end w:w="120" w:type="dxa"/>
            </w:tcMar>
            <w:vAlign w:val="center"/>
            <w:shd w:fill="F7F8FA"/>
          </w:tcPr>
          <w:p>
            <w:pPr>
              <w:spacing w:after="20" w:line="250" w:lineRule="auto"/>
            </w:pPr>
            <w:r>
              <w:t>S12-17</w:t>
            </w:r>
          </w:p>
        </w:tc>
      </w:tr>
    </w:tbl>
    <w:p>
      <w:pPr>
        <w:spacing w:after="0"/>
      </w:pPr>
    </w:p>
    <w:p>
      <w:pPr>
        <w:pStyle w:val="Heading1"/>
      </w:pPr>
      <w:r>
        <w:t>Global completion standard</w:t>
      </w:r>
    </w:p>
    <w:p>
      <w:pPr>
        <w:pStyle w:val="ListBullet"/>
        <w:spacing w:after="60"/>
      </w:pPr>
      <w:r>
        <w:t>Production fidelity only: no MVP, hidden TODO, permissive default, fake provider/evidence, unowned waiver or deferred mandatory state.</w:t>
      </w:r>
    </w:p>
    <w:p>
      <w:pPr>
        <w:pStyle w:val="ListBullet"/>
        <w:spacing w:after="60"/>
      </w:pPr>
      <w:r>
        <w:t>Frontend and backend qualify together through real role journeys, supported devices, accessibility, load, offline and failure.</w:t>
      </w:r>
    </w:p>
    <w:p>
      <w:pPr>
        <w:pStyle w:val="ListBullet"/>
        <w:spacing w:after="60"/>
      </w:pPr>
      <w:r>
        <w:t>Every claim is exact-candidate evidence with independent review; every ledger, incident, difference and defect remains visible until closed.</w:t>
      </w:r>
    </w:p>
    <w:p>
      <w:pPr>
        <w:pStyle w:val="ListBullet"/>
        <w:spacing w:after="60"/>
      </w:pPr>
      <w:r>
        <w:t>Reference event and supervised pilot prove real operation without hidden engineering intervention.</w:t>
      </w:r>
    </w:p>
    <w:p>
      <w:pPr>
        <w:pStyle w:val="ListBullet"/>
        <w:spacing w:after="60"/>
      </w:pPr>
      <w:r>
        <w:t>Release is bounded, monitored, supported and reversible; AI, FaceGate and cross-event authority remain separately gated.</w:t>
      </w:r>
    </w:p>
    <w:p>
      <w:pPr>
        <w:spacing w:after="0" w:line="20" w:lineRule="exact"/>
      </w:pPr>
      <w:r>
        <w:rPr>
          <w:sz w:val="2"/>
        </w:rPr>
        <w:br w:type="page"/>
      </w:r>
    </w:p>
    <w:p>
      <w:pPr>
        <w:pStyle w:val="PromptLabel"/>
      </w:pPr>
      <w:r>
        <w:rPr>
          <w:b/>
        </w:rPr>
        <w:t>PROMPT S12-00</w:t>
      </w:r>
    </w:p>
    <w:p>
      <w:pPr>
        <w:pStyle w:val="Heading1"/>
      </w:pPr>
      <w:r>
        <w:t>Entry audit and release policy lock</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S12-01</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Run first</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1-5, 33-45 and Appendices A-E</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slice-12/s12-00-&lt;short-description&gt;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S12-00</w:t>
        <w:br/>
        <w:t>BUILD UNIT: S12-01</w:t>
        <w:br/>
        <w:t>LAST_ACCEPTED_COMMIT: NONE - first Slice 12 prompt</w:t>
        <w:br/>
        <w:br/>
        <w:t>Before changing code, read the ratified Canonical Build Blueprint, Intelligence Specification v1.0, Slice 12 Implementation Specification and Build Plan v1.0 (Sections 1-5, 33-45 and Appendices A-E),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Prove the integrated Slices 1-11 baseline is eligible for final qualification and freeze the authority, severity, evidence, pilot and rollout rules before release tooling can claim progress.</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Audit the accepted exit report, full commit, working tree, migrations, interfaces, ADRs, build ledger, open defects, items brought forward and acceptance evidence for every prior slice.</w:t>
      </w:r>
    </w:p>
    <w:p>
      <w:pPr>
        <w:pStyle w:val="ListBullet"/>
        <w:spacing w:after="60"/>
      </w:pPr>
      <w:r>
        <w:t>Create the Slice 12 traceability baseline covering Blueprint, Intelligence Specification, S12-L01-L20, S12-F01-F18, A01-A50 and every prior slice criterion.</w:t>
      </w:r>
    </w:p>
    <w:p>
      <w:pPr>
        <w:pStyle w:val="ListBullet"/>
        <w:spacing w:after="60"/>
      </w:pPr>
      <w:r>
        <w:t>Ratify decision records for supported browser/device/assistive matrix, journey-specific performance budgets, RPO/RTO by data class, severity policy, evidence freshness, pilot scope/stop authority, rollout stages and post-release review.</w:t>
      </w:r>
    </w:p>
    <w:p>
      <w:pPr>
        <w:pStyle w:val="ListBullet"/>
        <w:spacing w:after="60"/>
      </w:pPr>
      <w:r>
        <w:t>Create updated threat model, DPIA/test-data plan and release RACI with independent reviewer separation.</w:t>
      </w:r>
    </w:p>
    <w:p>
      <w:pPr>
        <w:pStyle w:val="ListBullet"/>
        <w:spacing w:after="60"/>
      </w:pPr>
      <w:r>
        <w:t>Set production and separately gated AI/FaceGate/cross-event flags OFF; record exact owners and enablement authority.</w:t>
      </w:r>
    </w:p>
    <w:p>
      <w:pPr>
        <w:pStyle w:val="ListBullet"/>
        <w:spacing w:after="60"/>
      </w:pPr>
      <w:r>
        <w:t>Create a blocker register; do not convert inherited gaps into Slice 12 waivers.</w:t>
      </w:r>
    </w:p>
    <w:p>
      <w:pPr>
        <w:pStyle w:val="Heading3"/>
      </w:pPr>
      <w:r>
        <w:t>Frontend obligations</w:t>
      </w:r>
    </w:p>
    <w:p>
      <w:pPr>
        <w:pStyle w:val="ListBullet"/>
        <w:spacing w:after="60"/>
      </w:pPr>
      <w:r>
        <w:t>Add no broad product UI. If readiness inspection is needed, expose a restricted entry report showing source, owner, age, exact candidate and blocker without claiming a release gate.</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Clean-tree and accepted-commit proof; complete prior-slice evidence inventory.</w:t>
      </w:r>
    </w:p>
    <w:p>
      <w:pPr>
        <w:pStyle w:val="ListBullet"/>
        <w:spacing w:after="60"/>
      </w:pPr>
      <w:r>
        <w:t>Negative proof that no production or specialist capability can be enabled.</w:t>
      </w:r>
    </w:p>
    <w:p>
      <w:pPr>
        <w:pStyle w:val="ListBullet"/>
        <w:spacing w:after="60"/>
      </w:pPr>
      <w:r>
        <w:t>Architecture, Product, Security, Privacy, Accessibility, Operations and CEO/Acceptance Lead review.</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any prior slice lacks accepted evidence, any binding decision has no owner, the tree is dirty, Critical/High debt is unresolved or release flags are not independently controlled.</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Entry gate is independently accepted; every requirement and decision has an owner; all production paths remain OFF.</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S12-01</w:t>
      </w:r>
    </w:p>
    <w:p>
      <w:pPr>
        <w:pStyle w:val="Heading1"/>
      </w:pPr>
      <w:r>
        <w:t>Release registry, immutable candidate and evidence graph</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S12-02</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6-8, 32-34, 44 and Appendix A</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slice-12/s12-01-&lt;short-description&gt;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S12-01</w:t>
        <w:br/>
        <w:t>BUILD UNIT: S12-02</w:t>
        <w:br/>
        <w:t>LAST_ACCEPTED_COMMIT: &lt;accepted full commit hash from S12-00&gt;</w:t>
        <w:br/>
        <w:br/>
        <w:t>Before changing code, read the ratified Canonical Build Blueprint, Intelligence Specification v1.0, Slice 12 Implementation Specification and Build Plan v1.0 (Sections 6-8, 32-34, 44 and Appendix A),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Implement the canonical release identity and evidence lineage so no gate can rely on evidence from the wrong code, data, policy or environment.</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Implement ReleaseCandidate/Manifest, Artifact, Requirement, TestExecution, EvidenceArtifact, Review, GateDecision, Defect, Waiver, ResidualRisk and Approval contracts.</w:t>
      </w:r>
    </w:p>
    <w:p>
      <w:pPr>
        <w:pStyle w:val="ListBullet"/>
        <w:spacing w:after="60"/>
      </w:pPr>
      <w:r>
        <w:t>Bind full commit/tag, artifact digests, dependency locks, migrations, config, policies/knowledge, provider/model versions, frontend bundle/route manifest, flags, dataset and environment.</w:t>
      </w:r>
    </w:p>
    <w:p>
      <w:pPr>
        <w:pStyle w:val="ListBullet"/>
        <w:spacing w:after="60"/>
      </w:pPr>
      <w:r>
        <w:t>Implement immutable candidate lifecycle; any material change creates a new candidate and invalidates affected evidence through dependency hashes.</w:t>
      </w:r>
    </w:p>
    <w:p>
      <w:pPr>
        <w:pStyle w:val="ListBullet"/>
        <w:spacing w:after="60"/>
      </w:pPr>
      <w:r>
        <w:t>Implement requirement-to-implementation-to-test-to-result-to-artifact-to-review-to-gate graph with orphan, stale, failed and conflicting-evidence detection.</w:t>
      </w:r>
    </w:p>
    <w:p>
      <w:pPr>
        <w:pStyle w:val="ListBullet"/>
        <w:spacing w:after="60"/>
      </w:pPr>
      <w:r>
        <w:t>Enforce reviewer independence, optimistic concurrency, append-only decisions, scoped approvals, expiry/revocation and complete audit.</w:t>
      </w:r>
    </w:p>
    <w:p>
      <w:pPr>
        <w:pStyle w:val="ListBullet"/>
        <w:spacing w:after="60"/>
      </w:pPr>
      <w:r>
        <w:t>Expose APIs/events/jobs for exact candidate registration, evidence ingestion, verification, invalidation and gate calculation; no direct Green setter.</w:t>
      </w:r>
    </w:p>
    <w:p>
      <w:pPr>
        <w:pStyle w:val="Heading3"/>
      </w:pPr>
      <w:r>
        <w:t>Frontend obligations</w:t>
      </w:r>
    </w:p>
    <w:p>
      <w:pPr>
        <w:pStyle w:val="ListBullet"/>
        <w:spacing w:after="60"/>
      </w:pPr>
      <w:r>
        <w:t>Build restricted candidate detail, manifest diff, traceability explorer and evidence detail foundations with claimed/verified/stale/failed/waived/N/A states.</w:t>
      </w:r>
    </w:p>
    <w:p>
      <w:pPr>
        <w:pStyle w:val="ListBullet"/>
        <w:spacing w:after="60"/>
      </w:pPr>
      <w:r>
        <w:t>Every state must show why, exact dependency, owner, reviewer, freshness and next action; Critical failure cannot be visually suppressed.</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Candidate mutation/version tests; cross-candidate evidence rejection; dependency invalidation.</w:t>
      </w:r>
    </w:p>
    <w:p>
      <w:pPr>
        <w:pStyle w:val="ListBullet"/>
        <w:spacing w:after="60"/>
      </w:pPr>
      <w:r>
        <w:t>Permission, self-review, concurrent decision, tamper, IDOR and audit tests.</w:t>
      </w:r>
    </w:p>
    <w:p>
      <w:pPr>
        <w:pStyle w:val="ListBullet"/>
        <w:spacing w:after="60"/>
      </w:pPr>
      <w:r>
        <w:t>A47/A48 plus clean reconstruction of gate state from immutable records.</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candidate identity is partial, evidence can be edited in place, gate state is manually set, self-review is possible or a change can retain stale approval.</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Immutable release/evidence foundation passes; no orphan claim can become verified or Green.</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S12-02</w:t>
      </w:r>
    </w:p>
    <w:p>
      <w:pPr>
        <w:pStyle w:val="Heading1"/>
      </w:pPr>
      <w:r>
        <w:t>Production-like environment, synthetic data factory and scenario orchestrator</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S12-03</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9-11 and 39-41</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slice-12/s12-02-&lt;short-description&gt;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S12-02</w:t>
        <w:br/>
        <w:t>BUILD UNIT: S12-03</w:t>
        <w:br/>
        <w:t>LAST_ACCEPTED_COMMIT: &lt;accepted full commit hash from S12-01&gt;</w:t>
        <w:br/>
        <w:br/>
        <w:t>Before changing code, read the ratified Canonical Build Blueprint, Intelligence Specification v1.0, Slice 12 Implementation Specification and Build Plan v1.0 (Sections 9-11 and 39-41),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Create repeatable clean environments and a deterministic synthetic Lagos reference-event corpus without using production guest data.</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Implement environment manifest and one-command clean provision/migrate/seed/reset/checksum/teardown workflow for database, queues, cache, search, object storage and provider sandboxes.</w:t>
      </w:r>
    </w:p>
    <w:p>
      <w:pPr>
        <w:pStyle w:val="ListBullet"/>
        <w:spacing w:after="60"/>
      </w:pPr>
      <w:r>
        <w:t>Build versioned synthetic data factory for two clients/two events, 600 guests, households/plus-ones, privacy tiers, VIP/elder/mobility/dietary/minor cases, venue zones/capacity, vendors, staff and permissions.</w:t>
      </w:r>
    </w:p>
    <w:p>
      <w:pPr>
        <w:pStyle w:val="ListBullet"/>
        <w:spacing w:after="60"/>
      </w:pPr>
      <w:r>
        <w:t>Generate campaigns, inbound replies, 500+ seating assignments, credentials, nine devices, 15 EDR sessions, standards/evidence/intelligence, cross-event candidates and separately gated FaceGate fixtures.</w:t>
      </w:r>
    </w:p>
    <w:p>
      <w:pPr>
        <w:pStyle w:val="ListBullet"/>
        <w:spacing w:after="60"/>
      </w:pPr>
      <w:r>
        <w:t>Implement scenario clock, deterministic random seed, dataset checksum, expected ledger totals, fault-injection schedule and replayable scenario steps.</w:t>
      </w:r>
    </w:p>
    <w:p>
      <w:pPr>
        <w:pStyle w:val="ListBullet"/>
        <w:spacing w:after="60"/>
      </w:pPr>
      <w:r>
        <w:t>Create synthetic provider adapters for messaging, maps, storage, AI and FaceGate with production-contract parity and configurable delay/failure/reorder/duplicate behavior.</w:t>
      </w:r>
    </w:p>
    <w:p>
      <w:pPr>
        <w:pStyle w:val="ListBullet"/>
        <w:spacing w:after="60"/>
      </w:pPr>
      <w:r>
        <w:t>Prove fixtures cannot target production and contain no copied real-person identifiers.</w:t>
      </w:r>
    </w:p>
    <w:p>
      <w:pPr>
        <w:pStyle w:val="Heading3"/>
      </w:pPr>
      <w:r>
        <w:t>Frontend obligations</w:t>
      </w:r>
    </w:p>
    <w:p>
      <w:pPr>
        <w:pStyle w:val="ListBullet"/>
        <w:spacing w:after="60"/>
      </w:pPr>
      <w:r>
        <w:t>Build an internal scenario console for dataset/version/status, step control, time advance, fault injection and reset. It must be inaccessible in production.</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Repeat clean seed/reset produces identical checksum and expected ledgers.</w:t>
      </w:r>
    </w:p>
    <w:p>
      <w:pPr>
        <w:pStyle w:val="ListBullet"/>
        <w:spacing w:after="60"/>
      </w:pPr>
      <w:r>
        <w:t>Environment isolation, production-target denial, synthetic PII scan and provider contract tests.</w:t>
      </w:r>
    </w:p>
    <w:p>
      <w:pPr>
        <w:pStyle w:val="ListBullet"/>
        <w:spacing w:after="60"/>
      </w:pPr>
      <w:r>
        <w:t>Partial provision/failure cleanup and deterministic replay.</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the environment is not production-like, fixtures depend on real guest data, provider contracts diverge or reset/checksum cannot prove a clean baseline.</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Reference environment and dataset reproduce exactly and are safe for all remaining qualification.</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S12-03</w:t>
      </w:r>
    </w:p>
    <w:p>
      <w:pPr>
        <w:pStyle w:val="Heading1"/>
      </w:pPr>
      <w:r>
        <w:t>Whole-system contract, migration, permission and integration qualification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S12-04</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7-9, 21-24 and 40-41</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slice-12/s12-03-&lt;short-description&gt;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S12-03</w:t>
        <w:br/>
        <w:t>BUILD UNIT: S12-04</w:t>
        <w:br/>
        <w:t>LAST_ACCEPTED_COMMIT: &lt;accepted full commit hash from S12-02&gt;</w:t>
        <w:br/>
        <w:br/>
        <w:t>Before changing code, read the ratified Canonical Build Blueprint, Intelligence Specification v1.0, Slice 12 Implementation Specification and Build Plan v1.0 (Sections 7-9, 21-24 and 40-41),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Prove the integrated system preserves every canonical data, authority, event-scope and compatibility contract before UI and load qualification.</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Run schema/state-machine/invariant review and full migration from clean and representative prior-version databases, including rollback/forward-fix and projection rebuild.</w:t>
      </w:r>
    </w:p>
    <w:p>
      <w:pPr>
        <w:pStyle w:val="ListBullet"/>
        <w:spacing w:after="60"/>
      </w:pPr>
      <w:r>
        <w:t>Run API/event/webhook/snapshot/provider/model/knowledge/policy compatibility tests across every producer/consumer.</w:t>
      </w:r>
    </w:p>
    <w:p>
      <w:pPr>
        <w:pStyle w:val="ListBullet"/>
        <w:spacing w:after="60"/>
      </w:pPr>
      <w:r>
        <w:t>Run organisation/client/event IDOR, event-switch, permission, reserved-role, service-identity, cache/search/export/support and AI-boundary tests.</w:t>
      </w:r>
    </w:p>
    <w:p>
      <w:pPr>
        <w:pStyle w:val="ListBullet"/>
        <w:spacing w:after="60"/>
      </w:pPr>
      <w:r>
        <w:t>Verify idempotency, outbox/inbox, optimistic concurrency, retries, ordering and duplicate delivery across integrated workflows.</w:t>
      </w:r>
    </w:p>
    <w:p>
      <w:pPr>
        <w:pStyle w:val="ListBullet"/>
        <w:spacing w:after="60"/>
      </w:pPr>
      <w:r>
        <w:t>Map every canonical owner and detect duplicate tables, projections or mutable ledgers that can diverge.</w:t>
      </w:r>
    </w:p>
    <w:p>
      <w:pPr>
        <w:pStyle w:val="ListBullet"/>
        <w:spacing w:after="60"/>
      </w:pPr>
      <w:r>
        <w:t>Correct defects without weakening earlier laws; any material correction creates a new candidate.</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A01-A05/A07-A16/A21-A33/A36-A38/A41-A42.</w:t>
      </w:r>
    </w:p>
    <w:p>
      <w:pPr>
        <w:pStyle w:val="ListBullet"/>
        <w:spacing w:after="60"/>
      </w:pPr>
      <w:r>
        <w:t>Clean migration/rollback/forward/rebuild with ledger and access invariants unchanged.</w:t>
      </w:r>
    </w:p>
    <w:p>
      <w:pPr>
        <w:pStyle w:val="ListBullet"/>
        <w:spacing w:after="60"/>
      </w:pPr>
      <w:r>
        <w:t>Full contract suite plus negative privilege and cross-scope matrix.</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any source of truth is duplicated, a migration needs ad hoc repair, permission is client-only, rollback revives access/data or a consumer uses an incompatible contract.</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Integrated backend and data contracts pass with no isolation, authority or compatibility regression.</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S12-04</w:t>
      </w:r>
    </w:p>
    <w:p>
      <w:pPr>
        <w:pStyle w:val="Heading1"/>
      </w:pPr>
      <w:r>
        <w:t>Frontend route/state inventory and critical journey automation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S12-05</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12-15, 31-32 and 40-41</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slice-12/s12-04-&lt;short-description&gt;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S12-04</w:t>
        <w:br/>
        <w:t>BUILD UNIT: S12-05</w:t>
        <w:br/>
        <w:t>LAST_ACCEPTED_COMMIT: &lt;accepted full commit hash from S12-03&gt;</w:t>
        <w:br/>
        <w:br/>
        <w:t>Before changing code, read the ratified Canonical Build Blueprint, Intelligence Specification v1.0, Slice 12 Implementation Specification and Build Plan v1.0 (Sections 12-15, 31-32 and 40-41),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Make every top-level route, consequential action and critical role journey complete, state-safe and testable before device observation.</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Create a route/component/action inventory mapped to owning role, requirement, API/command, authoritative state, permission, browser test and evidence.</w:t>
      </w:r>
    </w:p>
    <w:p>
      <w:pPr>
        <w:pStyle w:val="ListBullet"/>
        <w:spacing w:after="60"/>
      </w:pPr>
      <w:r>
        <w:t>Implement/repair all empty, loading, slow, offline, queued, partial, stale, conflicted, superseded, denied, expired, error, success and recovery states.</w:t>
      </w:r>
    </w:p>
    <w:p>
      <w:pPr>
        <w:pStyle w:val="ListBullet"/>
        <w:spacing w:after="60"/>
      </w:pPr>
      <w:r>
        <w:t>Ensure forms preserve entered work across validation/recoverable failure; live updates do not steal focus, reorder active work or erase input.</w:t>
      </w:r>
    </w:p>
    <w:p>
      <w:pPr>
        <w:pStyle w:val="ListBullet"/>
        <w:spacing w:after="60"/>
      </w:pPr>
      <w:r>
        <w:t>Ensure every consequential action previews scope, exclusions, effect, authority, downstream invalidation and recovery; server response remains truth.</w:t>
      </w:r>
    </w:p>
    <w:p>
      <w:pPr>
        <w:pStyle w:val="ListBullet"/>
        <w:spacing w:after="60"/>
      </w:pPr>
      <w:r>
        <w:t>Automate critical journeys for CEO, Event Director, Guest Services, Planner/Seating, Communications, Credential Admin, Gate/EDR, Knowledge owner, Privacy/Security and Support/SRE.</w:t>
      </w:r>
    </w:p>
    <w:p>
      <w:pPr>
        <w:pStyle w:val="ListBullet"/>
        <w:spacing w:after="60"/>
      </w:pPr>
      <w:r>
        <w:t>Test event switching clears/re-scopes lists, drafts, recent items, subscriptions, workers and caches; privacy reset/logout removes sensitive local state.</w:t>
      </w:r>
    </w:p>
    <w:p>
      <w:pPr>
        <w:pStyle w:val="Heading3"/>
      </w:pPr>
      <w:r>
        <w:t>Frontend obligations</w:t>
      </w:r>
    </w:p>
    <w:p>
      <w:pPr>
        <w:pStyle w:val="ListBullet"/>
        <w:spacing w:after="60"/>
      </w:pPr>
      <w:r>
        <w:t>Treat the route/state inventory as a product completeness gate, not a test-only spreadsheet.</w:t>
      </w:r>
    </w:p>
    <w:p>
      <w:pPr>
        <w:pStyle w:val="ListBullet"/>
        <w:spacing w:after="60"/>
      </w:pPr>
      <w:r>
        <w:t>Ensure dense tables/charts/canvases/timelines have usable narrow-screen or task-specific alternatives and accessible equivalent meaning.</w:t>
      </w:r>
    </w:p>
    <w:p>
      <w:pPr>
        <w:pStyle w:val="ListBullet"/>
        <w:spacing w:after="60"/>
      </w:pPr>
      <w:r>
        <w:t>Use dignified plain failure copy with a safe next action and visible support path.</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S12-F01-F18 and A02/A06/A39-A41 in real browsers.</w:t>
      </w:r>
    </w:p>
    <w:p>
      <w:pPr>
        <w:pStyle w:val="ListBullet"/>
        <w:spacing w:after="60"/>
      </w:pPr>
      <w:r>
        <w:t>No client-only permission/status truth; no sensitive persistence after context reset.</w:t>
      </w:r>
    </w:p>
    <w:p>
      <w:pPr>
        <w:pStyle w:val="ListBullet"/>
        <w:spacing w:after="60"/>
      </w:pPr>
      <w:r>
        <w:t>Each role completes its critical path without direct DB/script/engineering help.</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a critical route has an unnamed owner/state, destructive effect is hidden, mobile/assistive meaning is reduced or automation bypasses the UI.</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Complete frontend coverage exists and every critical journey/state has executable browser evidence.</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S12-05</w:t>
      </w:r>
    </w:p>
    <w:p>
      <w:pPr>
        <w:pStyle w:val="Heading1"/>
      </w:pPr>
      <w:r>
        <w:t>Responsive, device, accessibility and observed usability qualification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S12-06</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16-17 and 40-41</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slice-12/s12-05-&lt;short-description&gt;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S12-05</w:t>
        <w:br/>
        <w:t>BUILD UNIT: S12-06</w:t>
        <w:br/>
        <w:t>LAST_ACCEPTED_COMMIT: &lt;accepted full commit hash from S12-04&gt;</w:t>
        <w:br/>
        <w:br/>
        <w:t>Before changing code, read the ratified Canonical Build Blueprint, Intelligence Specification v1.0, Slice 12 Implementation Specification and Build Plan v1.0 (Sections 16-17 and 40-41),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Prove representative users can operate the complete system across the ratified browser, device, input and assistive matrix.</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Execute supported iOS/Android guest flows at 320/360/390, staff mobile/tablet at 360/768 portrait/landscape, desktop at 1280+, layout studio and approved Gate/EDR devices.</w:t>
      </w:r>
    </w:p>
    <w:p>
      <w:pPr>
        <w:pStyle w:val="ListBullet"/>
        <w:spacing w:after="60"/>
      </w:pPr>
      <w:r>
        <w:t>Test approved browser versions, camera/scanner, interruptions, low light/glare/damaged screen/print, printer/card rendering and network states.</w:t>
      </w:r>
    </w:p>
    <w:p>
      <w:pPr>
        <w:pStyle w:val="ListBullet"/>
        <w:spacing w:after="60"/>
      </w:pPr>
      <w:r>
        <w:t>Perform WCAG 2.2 AA target checks: semantics, names, headings, landmarks, keyboard, focus, screen reader, 200% zoom, reflow, touch targets, errors, announcements and no-colour-only meaning.</w:t>
      </w:r>
    </w:p>
    <w:p>
      <w:pPr>
        <w:pStyle w:val="ListBullet"/>
        <w:spacing w:after="60"/>
      </w:pPr>
      <w:r>
        <w:t>Observe representative business users performing named tasks without coaching; record time, errors, comprehension, abandonment, workaround and dignity impact.</w:t>
      </w:r>
    </w:p>
    <w:p>
      <w:pPr>
        <w:pStyle w:val="ListBullet"/>
        <w:spacing w:after="60"/>
      </w:pPr>
      <w:r>
        <w:t>Correct findings and repeat exact tasks on the new candidate; preserve before/after evidence and independent review.</w:t>
      </w:r>
    </w:p>
    <w:p>
      <w:pPr>
        <w:pStyle w:val="ListBullet"/>
        <w:spacing w:after="60"/>
      </w:pPr>
      <w:r>
        <w:t>Document unsupported combinations and an equivalent safe route; do not silently degrade critical work.</w:t>
      </w:r>
    </w:p>
    <w:p>
      <w:pPr>
        <w:pStyle w:val="Heading3"/>
      </w:pPr>
      <w:r>
        <w:t>Frontend obligations</w:t>
      </w:r>
    </w:p>
    <w:p>
      <w:pPr>
        <w:pStyle w:val="ListBullet"/>
        <w:spacing w:after="60"/>
      </w:pPr>
      <w:r>
        <w:t>Inspect complete navigation, data density, responsive transformations, modal/focus behavior, live updates, canvas alternatives, failure/recovery and privacy reset.</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A06/A17/A39/A40 and S12-F01-F18; automated accessibility plus manual/observed scripts.</w:t>
      </w:r>
    </w:p>
    <w:p>
      <w:pPr>
        <w:pStyle w:val="ListBullet"/>
        <w:spacing w:after="60"/>
      </w:pPr>
      <w:r>
        <w:t>Matrix report with exact device/browser/assistive versions and candidate.</w:t>
      </w:r>
    </w:p>
    <w:p>
      <w:pPr>
        <w:pStyle w:val="ListBullet"/>
        <w:spacing w:after="60"/>
      </w:pPr>
      <w:r>
        <w:t>Zero Critical usability/accessibility defect; High blocks by default.</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a representative role needs engineering/coaching, a critical task has no accessible equivalent, required device is unavailable or observed findings are only documented rather than corrected/retested.</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Supported matrix and observed role journeys pass on the exact candidate.</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S12-06</w:t>
      </w:r>
    </w:p>
    <w:p>
      <w:pPr>
        <w:pStyle w:val="Heading1"/>
      </w:pPr>
      <w:r>
        <w:t>600-guest performance, concurrency and provider-capacity qualification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S12-07</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10, 18 and 38-41</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slice-12/s12-06-&lt;short-description&gt;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S12-06</w:t>
        <w:br/>
        <w:t>BUILD UNIT: S12-07</w:t>
        <w:br/>
        <w:t>LAST_ACCEPTED_COMMIT: &lt;accepted full commit hash from S12-05&gt;</w:t>
        <w:br/>
        <w:br/>
        <w:t>Before changing code, read the ratified Canonical Build Blueprint, Intelligence Specification v1.0, Slice 12 Implementation Specification and Build Plan v1.0 (Sections 10, 18 and 38-41),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Prove the system and operational fallbacks meet ratified journey budgets under the full reference-event workload and saturation.</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Model arrival bursts, 600-guest intake/RSVP, campaigns/inbound, 500+ seating, credential creation/render, nine devices/15 sessions, EDR scans, dashboards, alerts and intelligence recomputation.</w:t>
      </w:r>
    </w:p>
    <w:p>
      <w:pPr>
        <w:pStyle w:val="ListBullet"/>
        <w:spacing w:after="60"/>
      </w:pPr>
      <w:r>
        <w:t>Measure frontend Core Web Vitals/journey timings, API/worker/queue/search/storage/provider percentiles, error/timeout/retry rates, resource saturation and recovery.</w:t>
      </w:r>
    </w:p>
    <w:p>
      <w:pPr>
        <w:pStyle w:val="ListBullet"/>
        <w:spacing w:after="60"/>
      </w:pPr>
      <w:r>
        <w:t>Exercise concurrency races for guest edits, RSVP, seating publish, credential revoke/regenerate, duplicate scan/admission, close and decisions.</w:t>
      </w:r>
    </w:p>
    <w:p>
      <w:pPr>
        <w:pStyle w:val="ListBullet"/>
        <w:spacing w:after="60"/>
      </w:pPr>
      <w:r>
        <w:t>Apply rate limits, backpressure, quotas, circuit breakers and graceful degradation without weakening safety, privacy, idempotency or event-day priority.</w:t>
      </w:r>
    </w:p>
    <w:p>
      <w:pPr>
        <w:pStyle w:val="ListBullet"/>
        <w:spacing w:after="60"/>
      </w:pPr>
      <w:r>
        <w:t>Capacity-test manual/QR/fallback paths and provider contractual limits; record headroom and scale/disable thresholds.</w:t>
      </w:r>
    </w:p>
    <w:p>
      <w:pPr>
        <w:pStyle w:val="ListBullet"/>
        <w:spacing w:after="60"/>
      </w:pPr>
      <w:r>
        <w:t>Attach reproducible scripts, datasets, dashboards and results to the candidate evidence graph.</w:t>
      </w:r>
    </w:p>
    <w:p>
      <w:pPr>
        <w:pStyle w:val="Heading3"/>
      </w:pPr>
      <w:r>
        <w:t>Frontend obligations</w:t>
      </w:r>
    </w:p>
    <w:p>
      <w:pPr>
        <w:pStyle w:val="ListBullet"/>
        <w:spacing w:after="60"/>
      </w:pPr>
      <w:r>
        <w:t>Validate long lists, virtualisation/pagination, filters, canvases, live updates and operator flows under target load; loading must remain cancellable and truthful.</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Ratified journey budgets and tail percentiles pass at reference load and agreed headroom.</w:t>
      </w:r>
    </w:p>
    <w:p>
      <w:pPr>
        <w:pStyle w:val="ListBullet"/>
        <w:spacing w:after="60"/>
      </w:pPr>
      <w:r>
        <w:t>Race/property tests create one authorised business effect and preserve all accepted events.</w:t>
      </w:r>
    </w:p>
    <w:p>
      <w:pPr>
        <w:pStyle w:val="ListBullet"/>
        <w:spacing w:after="60"/>
      </w:pPr>
      <w:r>
        <w:t>Saturation/fallback recovery has no duplicate send/admission/credential or hidden data loss.</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budgets were not ratified before the run, load uses toy paths, frontend results are omitted, provider capacity is assumed or test tuning weakens production controls.</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Performance, concurrency, provider capacity and fallback capacity are independently accepted.</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S12-07</w:t>
      </w:r>
    </w:p>
    <w:p>
      <w:pPr>
        <w:pStyle w:val="Heading1"/>
      </w:pPr>
      <w:r>
        <w:t>Offline fleet, partition, replay and reconciliation harness</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S12-08</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19 and 29, Appendices A-C</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slice-12/s12-07-&lt;short-description&gt;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S12-07</w:t>
        <w:br/>
        <w:t>BUILD UNIT: S12-08</w:t>
        <w:br/>
        <w:t>LAST_ACCEPTED_COMMIT: &lt;accepted full commit hash from S12-06&gt;</w:t>
        <w:br/>
        <w:br/>
        <w:t>Before changing code, read the ratified Canonical Build Blueprint, Intelligence Specification v1.0, Slice 12 Implementation Specification and Build Plan v1.0 (Sections 19 and 29, Appendices A-C),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Prove event-day work survives device and network partitions with no accepted event lost and every ambiguity visible.</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Implement or harden harness control for nine devices/15 sessions, local event journal, cryptographic/device identity, sequence, time, sync cursor, acknowledgement and revocation.</w:t>
      </w:r>
    </w:p>
    <w:p>
      <w:pPr>
        <w:pStyle w:val="ListBullet"/>
        <w:spacing w:after="60"/>
      </w:pPr>
      <w:r>
        <w:t>Inject offline duration, intermittent network, reordering, duplicate replay, clock skew, device restart, low storage, stale snapshot, lost device and concurrent admissions.</w:t>
      </w:r>
    </w:p>
    <w:p>
      <w:pPr>
        <w:pStyle w:val="ListBullet"/>
        <w:spacing w:after="60"/>
      </w:pPr>
      <w:r>
        <w:t>Verify append-before-success UI, idempotent server acceptance, deterministic conflict classification and authorised resolution without overwriting local history.</w:t>
      </w:r>
    </w:p>
    <w:p>
      <w:pPr>
        <w:pStyle w:val="ListBullet"/>
        <w:spacing w:after="60"/>
      </w:pPr>
      <w:r>
        <w:t>Build whole-ledger reconciliation engine for guest lifecycle, RSVP, communications, seating, credentials, EDR, intelligence, FaceGate/cross-event where enabled, providers and audit.</w:t>
      </w:r>
    </w:p>
    <w:p>
      <w:pPr>
        <w:pStyle w:val="ListBullet"/>
        <w:spacing w:after="60"/>
      </w:pPr>
      <w:r>
        <w:t>Require every difference to retain source totals, records, cause, owner, resolution, evidence and sign-off; never net differences away.</w:t>
      </w:r>
    </w:p>
    <w:p>
      <w:pPr>
        <w:pStyle w:val="ListBullet"/>
        <w:spacing w:after="60"/>
      </w:pPr>
      <w:r>
        <w:t>Test event close with unsynced/late devices, superseding EDR snapshot and safe reopen/correction authority.</w:t>
      </w:r>
    </w:p>
    <w:p>
      <w:pPr>
        <w:pStyle w:val="Heading3"/>
      </w:pPr>
      <w:r>
        <w:t>Frontend obligations</w:t>
      </w:r>
    </w:p>
    <w:p>
      <w:pPr>
        <w:pStyle w:val="ListBullet"/>
        <w:spacing w:after="60"/>
      </w:pPr>
      <w:r>
        <w:t>Validate Gate/EDR offline/pending/synced/conflict/rejected states, fleet health, lost-device action, handover and reconciliation UX on approved devices.</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A16/A18-A23/A35/A44 plus repeated partition/reconnect property tests.</w:t>
      </w:r>
    </w:p>
    <w:p>
      <w:pPr>
        <w:pStyle w:val="ListBullet"/>
        <w:spacing w:after="60"/>
      </w:pPr>
      <w:r>
        <w:t>All accepted local events appear in canonical history; conflicts remain visible until authorised resolution.</w:t>
      </w:r>
    </w:p>
    <w:p>
      <w:pPr>
        <w:pStyle w:val="ListBullet"/>
        <w:spacing w:after="60"/>
      </w:pPr>
      <w:r>
        <w:t>Reconciliation certificate closes every ledger and device/session.</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a local success can precede durable journal, last-write-wins hides conflict, a lost device cannot be revoked or reconciliation depends on manual database inspection.</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Offline fleet and full reconciliation pass with zero unexplained or lost accepted event.</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S12-08</w:t>
      </w:r>
    </w:p>
    <w:p>
      <w:pPr>
        <w:pStyle w:val="Heading1"/>
      </w:pPr>
      <w:r>
        <w:t>Failure, disaster, backup, restore, rollback and continuity drills</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S12-09</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20, 24 and 36, 38-41</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slice-12/s12-08-&lt;short-description&gt;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S12-08</w:t>
        <w:br/>
        <w:t>BUILD UNIT: S12-09</w:t>
        <w:br/>
        <w:t>LAST_ACCEPTED_COMMIT: &lt;accepted full commit hash from S12-07&gt;</w:t>
        <w:br/>
        <w:br/>
        <w:t>Before changing code, read the ratified Canonical Build Blueprint, Intelligence Specification v1.0, Slice 12 Implementation Specification and Build Plan v1.0 (Sections 20, 24 and 36, 38-41),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Demonstrate owned, rehearsed recovery from component, deployment and site failure while preserving history, privacy and operability.</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Inject messaging, map, solver, object storage, database failover, queue/worker, EDR partition, search/cache, FaceGate, AI, deployment and region/site loss using approved fault controls.</w:t>
      </w:r>
    </w:p>
    <w:p>
      <w:pPr>
        <w:pStyle w:val="ListBullet"/>
        <w:spacing w:after="60"/>
      </w:pPr>
      <w:r>
        <w:t>Verify timeouts, circuit breakers, queue preservation, dead-letter ownership, safe degraded/stop behavior, status communication and manual/QR alternatives.</w:t>
      </w:r>
    </w:p>
    <w:p>
      <w:pPr>
        <w:pStyle w:val="ListBullet"/>
        <w:spacing w:after="60"/>
      </w:pPr>
      <w:r>
        <w:t>Restore encrypted backups into an isolated environment and reconcile tenant isolation, accepted events, audit, revocations, consent withdrawals, deletion/anonymisation and provider disposition.</w:t>
      </w:r>
    </w:p>
    <w:p>
      <w:pPr>
        <w:pStyle w:val="ListBullet"/>
        <w:spacing w:after="60"/>
      </w:pPr>
      <w:r>
        <w:t>Rehearse candidate-aware rollback, database compatibility, expand/contract migration, kill switches and forward-fix; preserve post-deploy accepted writes.</w:t>
      </w:r>
    </w:p>
    <w:p>
      <w:pPr>
        <w:pStyle w:val="ListBullet"/>
        <w:spacing w:after="60"/>
      </w:pPr>
      <w:r>
        <w:t>Measure approved RPO/RTO by service/data class and record any actual data gap explicitly.</w:t>
      </w:r>
    </w:p>
    <w:p>
      <w:pPr>
        <w:pStyle w:val="ListBullet"/>
        <w:spacing w:after="60"/>
      </w:pPr>
      <w:r>
        <w:t>Exercise incident command, escalation, provider contact, evidence capture and handover through runbooks, not engineering improvisation.</w:t>
      </w:r>
    </w:p>
    <w:p>
      <w:pPr>
        <w:pStyle w:val="Heading3"/>
      </w:pPr>
      <w:r>
        <w:t>Frontend obligations</w:t>
      </w:r>
    </w:p>
    <w:p>
      <w:pPr>
        <w:pStyle w:val="ListBullet"/>
        <w:spacing w:after="60"/>
      </w:pPr>
      <w:r>
        <w:t>Verify every failure surface names affected capability, preserved work, safe action, owner, fallback and recovery status without exposing sensitive detail.</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A10/A31/A34/A36-A38/A42-A44/A49.</w:t>
      </w:r>
    </w:p>
    <w:p>
      <w:pPr>
        <w:pStyle w:val="ListBullet"/>
        <w:spacing w:after="60"/>
      </w:pPr>
      <w:r>
        <w:t>Backup restore and projection rebuild cannot revive access or deleted/withdrawn data.</w:t>
      </w:r>
    </w:p>
    <w:p>
      <w:pPr>
        <w:pStyle w:val="ListBullet"/>
        <w:spacing w:after="60"/>
      </w:pPr>
      <w:r>
        <w:t>Rollback preserves accepted events and returns supported frontend/backend versions together.</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fault injection risks production, recovery needs undocumented knowledge, rollback discards accepted writes, restore violates privacy or a failure has no owner/runbook.</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All mandatory disaster/failure, restore and rollback drills meet ratified integrity and recovery gates.</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S12-09</w:t>
      </w:r>
    </w:p>
    <w:p>
      <w:pPr>
        <w:pStyle w:val="Heading1"/>
      </w:pPr>
      <w:r>
        <w:t>Security, privacy, retention, deletion and rights qualification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S12-10</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21-22 and 40-42</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slice-12/s12-09-&lt;short-description&gt;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S12-09</w:t>
        <w:br/>
        <w:t>BUILD UNIT: S12-10</w:t>
        <w:br/>
        <w:t>LAST_ACCEPTED_COMMIT: &lt;accepted full commit hash from S12-08&gt;</w:t>
        <w:br/>
        <w:br/>
        <w:t>Before changing code, read the ratified Canonical Build Blueprint, Intelligence Specification v1.0, Slice 12 Implementation Specification and Build Plan v1.0 (Sections 21-22 and 40-42),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Independently prove hostile access, privacy minimisation and full data disposition across the integrated candidate.</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Run threat-led authentication/session, CSRF, IDOR, injection, replay, enumeration, privilege/escalation, service identity, support access, lost device, webhook, QR and audit-tamper tests.</w:t>
      </w:r>
    </w:p>
    <w:p>
      <w:pPr>
        <w:pStyle w:val="ListBullet"/>
        <w:spacing w:after="60"/>
      </w:pPr>
      <w:r>
        <w:t>Scan URLs, DOM after reset, browser storage, caches, search, logs, traces, analytics, notifications, exports, screenshots, backups, AI and provider boundaries for prohibited data.</w:t>
      </w:r>
    </w:p>
    <w:p>
      <w:pPr>
        <w:pStyle w:val="ListBullet"/>
        <w:spacing w:after="60"/>
      </w:pPr>
      <w:r>
        <w:t>Verify purpose, consent/choice, restricted-field masks, access logs, timeouts, event/role switch and privacy reset across all roles.</w:t>
      </w:r>
    </w:p>
    <w:p>
      <w:pPr>
        <w:pStyle w:val="ListBullet"/>
        <w:spacing w:after="60"/>
      </w:pPr>
      <w:r>
        <w:t>Execute rights cases for access, correction, restriction and deletion; verify policy clocks, legal holds, provider deletion and minimal audit.</w:t>
      </w:r>
    </w:p>
    <w:p>
      <w:pPr>
        <w:pStyle w:val="ListBullet"/>
        <w:spacing w:after="60"/>
      </w:pPr>
      <w:r>
        <w:t>Restore/rebuild after deletion and prove payload does not return; test secret/provider credential rotation and stale-consumer denial.</w:t>
      </w:r>
    </w:p>
    <w:p>
      <w:pPr>
        <w:pStyle w:val="ListBullet"/>
        <w:spacing w:after="60"/>
      </w:pPr>
      <w:r>
        <w:t>Run cross-event re-identification/differencing and FaceGate Core-isolation/withdrawal/deletion negative tests, regardless of general release.</w:t>
      </w:r>
    </w:p>
    <w:p>
      <w:pPr>
        <w:pStyle w:val="Heading3"/>
      </w:pPr>
      <w:r>
        <w:t>Frontend obligations</w:t>
      </w:r>
    </w:p>
    <w:p>
      <w:pPr>
        <w:pStyle w:val="ListBullet"/>
        <w:spacing w:after="60"/>
      </w:pPr>
      <w:r>
        <w:t>Observe privacy and security operations through supported UIs with least-privilege evidence; support must not require broad guest visibility.</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A01/A05/A07-A08/A15-A16/A20/A29-A32/A37/A41-A42/A46.</w:t>
      </w:r>
    </w:p>
    <w:p>
      <w:pPr>
        <w:pStyle w:val="ListBullet"/>
        <w:spacing w:after="60"/>
      </w:pPr>
      <w:r>
        <w:t>Independent penetration/privacy review with zero Critical; High blocks by default.</w:t>
      </w:r>
    </w:p>
    <w:p>
      <w:pPr>
        <w:pStyle w:val="ListBullet"/>
        <w:spacing w:after="60"/>
      </w:pPr>
      <w:r>
        <w:t>Complete rights/deletion/provider/rebuild evidence on exact candidate.</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testing is not authorised, restricted data appears in a prohibited surface, deletion cannot be verified, support needs broad access or a specialist feature bypasses its separate gate.</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Security/privacy qualification passes with verified retention, rights and non-resurrection.</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S12-10</w:t>
      </w:r>
    </w:p>
    <w:p>
      <w:pPr>
        <w:pStyle w:val="Heading1"/>
      </w:pPr>
      <w:r>
        <w:t>Observability, SLO, alert, incident and support readiness</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S12-11</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23, 25 and 37-40</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slice-12/s12-10-&lt;short-description&gt;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S12-10</w:t>
        <w:br/>
        <w:t>BUILD UNIT: S12-11</w:t>
        <w:br/>
        <w:t>LAST_ACCEPTED_COMMIT: &lt;accepted full commit hash from S12-09&gt;</w:t>
        <w:br/>
        <w:br/>
        <w:t>Before changing code, read the ratified Canonical Build Blueprint, Intelligence Specification v1.0, Slice 12 Implementation Specification and Build Plan v1.0 (Sections 23, 25 and 37-40),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Make operational truth actionable and privacy-safe for on-call and support before any live pilot.</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Implement/verify RED/USE and business-health telemetry for critical journeys, queues, workers, providers, devices, sync, evidence/gates and deployments with organisation/client/event scope.</w:t>
      </w:r>
    </w:p>
    <w:p>
      <w:pPr>
        <w:pStyle w:val="ListBullet"/>
        <w:spacing w:after="60"/>
      </w:pPr>
      <w:r>
        <w:t>Define SLO/SLI/error-budget and event-day alert policies from ratified targets; distinguish healthy/degraded/partial/stale/unknown.</w:t>
      </w:r>
    </w:p>
    <w:p>
      <w:pPr>
        <w:pStyle w:val="ListBullet"/>
        <w:spacing w:after="60"/>
      </w:pPr>
      <w:r>
        <w:t>Test material alert dedupe, routing, acknowledgement, escalation, runbook link, silence authority/expiry, incident creation and resolution evidence.</w:t>
      </w:r>
    </w:p>
    <w:p>
      <w:pPr>
        <w:pStyle w:val="ListBullet"/>
        <w:spacing w:after="60"/>
      </w:pPr>
      <w:r>
        <w:t>Complete service catalogue, dependency map, dashboards, on-call rota, escalation tree, provider contacts, status templates, handover and post-incident review.</w:t>
      </w:r>
    </w:p>
    <w:p>
      <w:pPr>
        <w:pStyle w:val="ListBullet"/>
        <w:spacing w:after="60"/>
      </w:pPr>
      <w:r>
        <w:t>Implement scoped audited break-glass/support access with expiry and minimum data; exercise common support journeys.</w:t>
      </w:r>
    </w:p>
    <w:p>
      <w:pPr>
        <w:pStyle w:val="ListBullet"/>
        <w:spacing w:after="60"/>
      </w:pPr>
      <w:r>
        <w:t>Prove missing telemetry, collector failure and dashboard staleness cannot show healthy.</w:t>
      </w:r>
    </w:p>
    <w:p>
      <w:pPr>
        <w:pStyle w:val="Heading3"/>
      </w:pPr>
      <w:r>
        <w:t>Frontend obligations</w:t>
      </w:r>
    </w:p>
    <w:p>
      <w:pPr>
        <w:pStyle w:val="ListBullet"/>
        <w:spacing w:after="60"/>
      </w:pPr>
      <w:r>
        <w:t>Build/qualify operations views and support entry points for health, alerts, incidents, devices, providers, queues, deployments and guest-safe recovery.</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A41-A43 and failure-to-alert/alert-to-runbook exercises.</w:t>
      </w:r>
    </w:p>
    <w:p>
      <w:pPr>
        <w:pStyle w:val="ListBullet"/>
        <w:spacing w:after="60"/>
      </w:pPr>
      <w:r>
        <w:t>No sensitive payload in telemetry/support; missing telemetry displays Unknown.</w:t>
      </w:r>
    </w:p>
    <w:p>
      <w:pPr>
        <w:pStyle w:val="ListBullet"/>
        <w:spacing w:after="60"/>
      </w:pPr>
      <w:r>
        <w:t>Representative on-call resolves injected incidents within ratified response targets.</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alerts have no owner/runbook, dashboards rely on unscoped data, support access is broad/permanent or a telemetry outage appears healthy.</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SLOs, alerts, on-call, support and incident operations are independently accepted.</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S12-11</w:t>
      </w:r>
    </w:p>
    <w:p>
      <w:pPr>
        <w:pStyle w:val="Heading1"/>
      </w:pPr>
      <w:r>
        <w:t>AI shadow, FaceGate and cross-event specialist gates</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S12-12</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26-28 and 40-41</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slice-12/s12-11-&lt;short-description&gt;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S12-11</w:t>
        <w:br/>
        <w:t>BUILD UNIT: S12-12</w:t>
        <w:br/>
        <w:t>LAST_ACCEPTED_COMMIT: &lt;accepted full commit hash from S12-10&gt;</w:t>
        <w:br/>
        <w:br/>
        <w:t>Before changing code, read the ratified Canonical Build Blueprint, Intelligence Specification v1.0, Slice 12 Implementation Specification and Build Plan v1.0 (Sections 26-28 and 40-41),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Re-run the three separately governed capability gates and prove the general release cannot expand their authority.</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Run AI gold/shadow cases for grounding, hallucination, omission, confidence/calibration, privacy, prompt injection, provider failure and human override using exact model/prompt/config/source hashes.</w:t>
      </w:r>
    </w:p>
    <w:p>
      <w:pPr>
        <w:pStyle w:val="ListBullet"/>
        <w:spacing w:after="60"/>
      </w:pPr>
      <w:r>
        <w:t>Prove AI identity cannot approve, publish, message, export, execute, alter doctrine or write operational ledgers.</w:t>
      </w:r>
    </w:p>
    <w:p>
      <w:pPr>
        <w:pStyle w:val="ListBullet"/>
        <w:spacing w:after="60"/>
      </w:pPr>
      <w:r>
        <w:t>Run FaceGate consent/refusal/withdrawal, capture quality, false/failed/multiple match, subgroup uncertainty, provider failure, deletion and equally usable QR/manual fallback tests.</w:t>
      </w:r>
    </w:p>
    <w:p>
      <w:pPr>
        <w:pStyle w:val="ListBullet"/>
        <w:spacing w:after="60"/>
      </w:pPr>
      <w:r>
        <w:t>Prove FaceGate cannot write attendance and no biometric payload/provider reference enters Core, EDR, general audit, logs, analytics or backups.</w:t>
      </w:r>
    </w:p>
    <w:p>
      <w:pPr>
        <w:pStyle w:val="ListBullet"/>
        <w:spacing w:after="60"/>
      </w:pPr>
      <w:r>
        <w:t>Run cross-event policy/link/unlink, Level 2/3 denial, cohort/re-identification, provenance, learning promotion and deletion tests.</w:t>
      </w:r>
    </w:p>
    <w:p>
      <w:pPr>
        <w:pStyle w:val="ListBullet"/>
        <w:spacing w:after="60"/>
      </w:pPr>
      <w:r>
        <w:t>Record each capability as disabled/shadow/limited/authorised with exact scope, independent approval, expiry and kill switch.</w:t>
      </w:r>
    </w:p>
    <w:p>
      <w:pPr>
        <w:pStyle w:val="Heading3"/>
      </w:pPr>
      <w:r>
        <w:t>Frontend obligations</w:t>
      </w:r>
    </w:p>
    <w:p>
      <w:pPr>
        <w:pStyle w:val="ListBullet"/>
        <w:spacing w:after="60"/>
      </w:pPr>
      <w:r>
        <w:t>Qualify specialist shadow/review surfaces, consent/choice/fallback and safe-denial states without presenting advisory output as authority.</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A27-A33/A46 and all Slice 9-11 specialist acceptance suites.</w:t>
      </w:r>
    </w:p>
    <w:p>
      <w:pPr>
        <w:pStyle w:val="ListBullet"/>
        <w:spacing w:after="60"/>
      </w:pPr>
      <w:r>
        <w:t>General release/CEO action cannot toggle an unapproved specialist capability.</w:t>
      </w:r>
    </w:p>
    <w:p>
      <w:pPr>
        <w:pStyle w:val="ListBullet"/>
        <w:spacing w:after="60"/>
      </w:pPr>
      <w:r>
        <w:t>Each gate retains independent Legal/Privacy/Security/domain approval and evidence.</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any specialist gate lacks current authority/evidence, AI has an execution route, biometric isolation fails or cross-client data can be inferred.</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Specialist capabilities are independently bounded; unapproved capability remains OFF without degrading deterministic operation.</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S12-12</w:t>
      </w:r>
    </w:p>
    <w:p>
      <w:pPr>
        <w:pStyle w:val="Heading1"/>
      </w:pPr>
      <w:r>
        <w:t>Full synthetic Lagos reference-event rehearsal</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S12-13</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10-12, 19-30 and 39-41</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slice-12/s12-12-&lt;short-description&gt;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S12-12</w:t>
        <w:br/>
        <w:t>BUILD UNIT: S12-13</w:t>
        <w:br/>
        <w:t>LAST_ACCEPTED_COMMIT: &lt;accepted full commit hash from S12-11&gt;</w:t>
        <w:br/>
        <w:br/>
        <w:t>Before changing code, read the ratified Canonical Build Blueprint, Intelligence Specification v1.0, Slice 12 Implementation Specification and Build Plan v1.0 (Sections 10-12, 19-30 and 39-41),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Execute the entire 600-guest event lifecycle with real roles, production interfaces and mandatory faults, then reconcile every ledger.</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Run organisation/client/event setup, authority/protocol, guest intake/quarantine/promotion, RSVP, communications/inbound, venue/layout/seating, credentials, standards/evidence/intelligence, EDR, close, outcomes and cross-event candidate handoff.</w:t>
      </w:r>
    </w:p>
    <w:p>
      <w:pPr>
        <w:pStyle w:val="ListBullet"/>
        <w:spacing w:after="60"/>
      </w:pPr>
      <w:r>
        <w:t>Follow the scenario clock from T-90 through post-event; inject precedence conflict, malformed data, opt-out, provider delay/outage, impossible seating, stale credential, lost/offline devices, duplicate admission, storage/database/worker failure and stale evidence.</w:t>
      </w:r>
    </w:p>
    <w:p>
      <w:pPr>
        <w:pStyle w:val="ListBullet"/>
        <w:spacing w:after="60"/>
      </w:pPr>
      <w:r>
        <w:t>Require CEO, Event Director, Guest Services, Planner, Communications, Credential, Gate/EDR, Knowledge, Privacy/Security and Support roles to work through supported UI without engineering help.</w:t>
      </w:r>
    </w:p>
    <w:p>
      <w:pPr>
        <w:pStyle w:val="ListBullet"/>
        <w:spacing w:after="60"/>
      </w:pPr>
      <w:r>
        <w:t>Capture exact timings, decisions, denials, fallbacks, incidents, observations, evidence, data versions and system health.</w:t>
      </w:r>
    </w:p>
    <w:p>
      <w:pPr>
        <w:pStyle w:val="ListBullet"/>
        <w:spacing w:after="60"/>
      </w:pPr>
      <w:r>
        <w:t>Run whole-ledger reconciliation and resolve every difference under authority; preserve conflict and correction history.</w:t>
      </w:r>
    </w:p>
    <w:p>
      <w:pPr>
        <w:pStyle w:val="ListBullet"/>
        <w:spacing w:after="60"/>
      </w:pPr>
      <w:r>
        <w:t>Repeat corrected steps on a new candidate where required and independently review A01-A50 coverage.</w:t>
      </w:r>
    </w:p>
    <w:p>
      <w:pPr>
        <w:pStyle w:val="Heading3"/>
      </w:pPr>
      <w:r>
        <w:t>Frontend obligations</w:t>
      </w:r>
    </w:p>
    <w:p>
      <w:pPr>
        <w:pStyle w:val="ListBullet"/>
        <w:spacing w:after="60"/>
      </w:pPr>
      <w:r>
        <w:t>Use production-grade UI on supported devices. Screenshots may supplement but cannot replace browser interaction, observation and ledger proof.</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A01-A44 plus complete role-journey, failure, accessibility, performance and reconciliation evidence.</w:t>
      </w:r>
    </w:p>
    <w:p>
      <w:pPr>
        <w:pStyle w:val="ListBullet"/>
        <w:spacing w:after="60"/>
      </w:pPr>
      <w:r>
        <w:t>Expected dataset ledger totals equal final authoritative totals with explained versioned exceptions.</w:t>
      </w:r>
    </w:p>
    <w:p>
      <w:pPr>
        <w:pStyle w:val="ListBullet"/>
        <w:spacing w:after="60"/>
      </w:pPr>
      <w:r>
        <w:t>No hidden intervention, guest harm, privacy breach, lost accepted event or Critical/High blocker.</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scenario steps are skipped, fixtures are manually corrected in storage, faults are simulated only in prose, roles need engineering help or any ledger remains unreconciled.</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The synthetic reference event passes end to end and G3 evidence is complete.</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S12-13</w:t>
      </w:r>
    </w:p>
    <w:p>
      <w:pPr>
        <w:pStyle w:val="Heading1"/>
      </w:pPr>
      <w:r>
        <w:t>Pilot Control Room and Release Evidence Dashboard</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S12-14</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31-34 and Appendix A-B</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slice-12/s12-13-&lt;short-description&gt;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S12-13</w:t>
        <w:br/>
        <w:t>BUILD UNIT: S12-14</w:t>
        <w:br/>
        <w:t>LAST_ACCEPTED_COMMIT: &lt;accepted full commit hash from S12-12&gt;</w:t>
        <w:br/>
        <w:br/>
        <w:t>Before changing code, read the ratified Canonical Build Blueprint, Intelligence Specification v1.0, Slice 12 Implementation Specification and Build Plan v1.0 (Sections 31-34 and Appendix A-B),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Deliver the operational and governance frontends that keep pilot health, gate evidence and release authority truthful under pressure.</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Implement permission-minimised APIs/projections for candidate, G0-G6, domain/cross-cutting gates, defects, evidence, freshness, pilot scope, observations, incidents, reconciliation, residual risk, operations and decision history.</w:t>
      </w:r>
    </w:p>
    <w:p>
      <w:pPr>
        <w:pStyle w:val="ListBullet"/>
        <w:spacing w:after="60"/>
      </w:pPr>
      <w:r>
        <w:t>Build Pilot Control Room panels for event window, role coverage, device/network/provider/service health, capacity, incidents, stop criteria, fallback, observer notes, reconciliation and close.</w:t>
      </w:r>
    </w:p>
    <w:p>
      <w:pPr>
        <w:pStyle w:val="ListBullet"/>
        <w:spacing w:after="60"/>
      </w:pPr>
      <w:r>
        <w:t>Build Release Evidence Dashboard for manifest, gate board, traceability, defects, evidence detail, pilot, residual risk, SLO/runbook/support/rollback readiness, decision and history.</w:t>
      </w:r>
    </w:p>
    <w:p>
      <w:pPr>
        <w:pStyle w:val="ListBullet"/>
        <w:spacing w:after="60"/>
      </w:pPr>
      <w:r>
        <w:t>Prevent aggregate progress from hiding Critical, failed, stale, Unknown or missing gates; no direct Green or approval control outside authority workflow.</w:t>
      </w:r>
    </w:p>
    <w:p>
      <w:pPr>
        <w:pStyle w:val="ListBullet"/>
        <w:spacing w:after="60"/>
      </w:pPr>
      <w:r>
        <w:t>Implement event/client/role masking, safe links to restricted evidence, stable filters, deep links, export policy, audit and live-update behavior.</w:t>
      </w:r>
    </w:p>
    <w:p>
      <w:pPr>
        <w:pStyle w:val="ListBullet"/>
        <w:spacing w:after="60"/>
      </w:pPr>
      <w:r>
        <w:t>Cover empty/claimed/verifying/passed/failed/stale/waived/N/A, degraded/offline, permission-denied, conflict and superseded-candidate states.</w:t>
      </w:r>
    </w:p>
    <w:p>
      <w:pPr>
        <w:pStyle w:val="Heading3"/>
      </w:pPr>
      <w:r>
        <w:t>Frontend obligations</w:t>
      </w:r>
    </w:p>
    <w:p>
      <w:pPr>
        <w:pStyle w:val="ListBullet"/>
        <w:spacing w:after="60"/>
      </w:pPr>
      <w:r>
        <w:t>Design both surfaces for 1280 command use and 768 tablet observation; provide safe 360 incident/stop/fallback essentials.</w:t>
      </w:r>
    </w:p>
    <w:p>
      <w:pPr>
        <w:pStyle w:val="ListBullet"/>
        <w:spacing w:after="60"/>
      </w:pPr>
      <w:r>
        <w:t>Live updates must not steal focus or reorder active investigation; charts require equivalent table/summary and no-colour meaning.</w:t>
      </w:r>
    </w:p>
    <w:p>
      <w:pPr>
        <w:pStyle w:val="ListBullet"/>
        <w:spacing w:after="60"/>
      </w:pPr>
      <w:r>
        <w:t>Stop/fallback controls show exact scope, consequence, authority, acknowledgement and recovery.</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S12-F01-F18, A44/A47/A48 and real browser role/permission/state tests.</w:t>
      </w:r>
    </w:p>
    <w:p>
      <w:pPr>
        <w:pStyle w:val="ListBullet"/>
        <w:spacing w:after="60"/>
      </w:pPr>
      <w:r>
        <w:t>Critical failure remains prominent under filters, aggregates and stale telemetry.</w:t>
      </w:r>
    </w:p>
    <w:p>
      <w:pPr>
        <w:pStyle w:val="ListBullet"/>
        <w:spacing w:after="60"/>
      </w:pPr>
      <w:r>
        <w:t>Observed Event Director, observer, Release Manager, CEO and independent reviewer tasks.</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dashboards create a new operational ledger, evidence detail leaks restricted data, a Critical can be hidden or a stop/approval action lacks exact authority.</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Pilot and release frontends are truthful, accessible, responsive and accepted by their operating roles.</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S12-14</w:t>
      </w:r>
    </w:p>
    <w:p>
      <w:pPr>
        <w:pStyle w:val="Heading1"/>
      </w:pPr>
      <w:r>
        <w:t>Supervised pilot preparation, training, approvals and dry run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S12-15</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25, 30, 35-38 and 43-44</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slice-12/s12-14-&lt;short-description&gt;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S12-14</w:t>
        <w:br/>
        <w:t>BUILD UNIT: S12-15</w:t>
        <w:br/>
        <w:t>LAST_ACCEPTED_COMMIT: &lt;accepted full commit hash from S12-13&gt;</w:t>
        <w:br/>
        <w:br/>
        <w:t>Before changing code, read the ratified Canonical Build Blueprint, Intelligence Specification v1.0, Slice 12 Implementation Specification and Build Plan v1.0 (Sections 25, 30, 35-38 and 43-44),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Prepare a bounded real-event pilot with informed participants, rehearsed fallbacks, named stop authority and no reliance on undocumented support.</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Select a low-risk representative pilot; freeze exact event, users/roles, candidate, capabilities, providers, data purposes, notices/consents, retention, observation and support scope.</w:t>
      </w:r>
    </w:p>
    <w:p>
      <w:pPr>
        <w:pStyle w:val="ListBullet"/>
        <w:spacing w:after="60"/>
      </w:pPr>
      <w:r>
        <w:t>Obtain current Legal/Privacy/Security/Accessibility/Operations/domain approvals and separately record AI/FaceGate/cross-event disabled or exact authorised stage.</w:t>
      </w:r>
    </w:p>
    <w:p>
      <w:pPr>
        <w:pStyle w:val="ListBullet"/>
        <w:spacing w:after="60"/>
      </w:pPr>
      <w:r>
        <w:t>Create staffing, training, competency/acknowledgement, device/provisioning, venue/network, printer/card, manual/QR fallback, incident, communication, reconciliation and cleanup plans.</w:t>
      </w:r>
    </w:p>
    <w:p>
      <w:pPr>
        <w:pStyle w:val="ListBullet"/>
        <w:spacing w:after="60"/>
      </w:pPr>
      <w:r>
        <w:t>Configure pilot flags, access windows, kill switches, dashboards, alerts, on-call/provider escalation and rollback target.</w:t>
      </w:r>
    </w:p>
    <w:p>
      <w:pPr>
        <w:pStyle w:val="ListBullet"/>
        <w:spacing w:after="60"/>
      </w:pPr>
      <w:r>
        <w:t>Run a full dry run with representative roles, failure injection, pilot stop, fallback, handover, close and reconciliation.</w:t>
      </w:r>
    </w:p>
    <w:p>
      <w:pPr>
        <w:pStyle w:val="ListBullet"/>
        <w:spacing w:after="60"/>
      </w:pPr>
      <w:r>
        <w:t>Issue a signed go/no-go pack; unresolved ambiguity is no-go, not a local workaround.</w:t>
      </w:r>
    </w:p>
    <w:p>
      <w:pPr>
        <w:pStyle w:val="Heading3"/>
      </w:pPr>
      <w:r>
        <w:t>Frontend obligations</w:t>
      </w:r>
    </w:p>
    <w:p>
      <w:pPr>
        <w:pStyle w:val="ListBullet"/>
        <w:spacing w:after="60"/>
      </w:pPr>
      <w:r>
        <w:t>Train on the real supported interfaces and failure states; validate Pilot Control Room and guest/operator fallbacks on-site or in a faithful venue simulation.</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A39/A40/A43/A44/A46 plus pilot readiness checklist and dry-run reconciliation.</w:t>
      </w:r>
    </w:p>
    <w:p>
      <w:pPr>
        <w:pStyle w:val="ListBullet"/>
        <w:spacing w:after="60"/>
      </w:pPr>
      <w:r>
        <w:t>All staff demonstrate role tasks and stop/fallback routes without engineering help.</w:t>
      </w:r>
    </w:p>
    <w:p>
      <w:pPr>
        <w:pStyle w:val="ListBullet"/>
        <w:spacing w:after="60"/>
      </w:pPr>
      <w:r>
        <w:t>Exact pilot scope/conditions/expiry and named decision/incident/security/privacy authorities accepted.</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the live event is not low-risk/representative, notice/consent/retention is unresolved, fallback capacity is unproven, staff are unready or any Critical/High pilot blocker remains.</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G5 entry is authorised for the exact bounded pilot; go/no-go and stop/fallback readiness are signed.</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S12-15</w:t>
      </w:r>
    </w:p>
    <w:p>
      <w:pPr>
        <w:pStyle w:val="Heading1"/>
      </w:pPr>
      <w:r>
        <w:t>Supervised pilot execution, close and reconciliation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S12-16</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29-30, 35-38 and Appendices B-C</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slice-12/s12-15-&lt;short-description&gt;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S12-15</w:t>
        <w:br/>
        <w:t>BUILD UNIT: S12-16</w:t>
        <w:br/>
        <w:t>LAST_ACCEPTED_COMMIT: &lt;accepted full commit hash from S12-14&gt;</w:t>
        <w:br/>
        <w:br/>
        <w:t>Before changing code, read the ratified Canonical Build Blueprint, Intelligence Specification v1.0, Slice 12 Implementation Specification and Build Plan v1.0 (Sections 29-30, 35-38 and Appendices B-C),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Run the authorised pilot safely, observe real use, preserve incident truth and reconcile the event before any release conclusion.</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Verify candidate/scope/flags/roles/devices/providers/telemetry and readiness immediately before start; record go decision.</w:t>
      </w:r>
    </w:p>
    <w:p>
      <w:pPr>
        <w:pStyle w:val="ListBullet"/>
        <w:spacing w:after="60"/>
      </w:pPr>
      <w:r>
        <w:t>Observe representative tasks and accessibility needs without covert research or coaching; record structured context, action, state, impact, intervention, finding and owner.</w:t>
      </w:r>
    </w:p>
    <w:p>
      <w:pPr>
        <w:pStyle w:val="ListBullet"/>
        <w:spacing w:after="60"/>
      </w:pPr>
      <w:r>
        <w:t>Operate Pilot Control Room, alerts, incident command, provider escalation, stop criteria, manual/QR fallback and handover under named authority.</w:t>
      </w:r>
    </w:p>
    <w:p>
      <w:pPr>
        <w:pStyle w:val="ListBullet"/>
        <w:spacing w:after="60"/>
      </w:pPr>
      <w:r>
        <w:t>Treat any hotfix/config/policy/flag change as a new candidate; stop or replay affected gates before resuming.</w:t>
      </w:r>
    </w:p>
    <w:p>
      <w:pPr>
        <w:pStyle w:val="ListBullet"/>
        <w:spacing w:after="60"/>
      </w:pPr>
      <w:r>
        <w:t>Close event through Event Director authority; collect devices, revoke temporary access, drain/reconcile queues/providers and execute approved cleanup/retention.</w:t>
      </w:r>
    </w:p>
    <w:p>
      <w:pPr>
        <w:pStyle w:val="ListBullet"/>
        <w:spacing w:after="60"/>
      </w:pPr>
      <w:r>
        <w:t>Reconcile every operational ledger, incident, override, exception and observation; no release decision while differences or material findings remain open.</w:t>
      </w:r>
    </w:p>
    <w:p>
      <w:pPr>
        <w:pStyle w:val="Heading3"/>
      </w:pPr>
      <w:r>
        <w:t>Frontend obligations</w:t>
      </w:r>
    </w:p>
    <w:p>
      <w:pPr>
        <w:pStyle w:val="ListBullet"/>
        <w:spacing w:after="60"/>
      </w:pPr>
      <w:r>
        <w:t>Use only supported production interfaces for business operations and the Control Room for observation; do not allow engineers to silently repair live state.</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A35/A39/A43-A45 plus exact pilot observation and reconciliation certificates.</w:t>
      </w:r>
    </w:p>
    <w:p>
      <w:pPr>
        <w:pStyle w:val="ListBullet"/>
        <w:spacing w:after="60"/>
      </w:pPr>
      <w:r>
        <w:t>No guest harm, Critical privacy/security/safety incident or lost accepted event.</w:t>
      </w:r>
    </w:p>
    <w:p>
      <w:pPr>
        <w:pStyle w:val="ListBullet"/>
        <w:spacing w:after="60"/>
      </w:pPr>
      <w:r>
        <w:t>All interventions, defects and usability findings have evidence, severity, owner and retest requirement.</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Activate stop/fallback immediately at ratified criteria. Stop release work if candidate changes, reconciliation is incomplete, incident evidence is missing or users require hidden intervention.</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Pilot closes safely; all ledgers reconcile; field evidence and findings are complete and independently reviewed.</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S12-16</w:t>
      </w:r>
    </w:p>
    <w:p>
      <w:pPr>
        <w:pStyle w:val="Heading1"/>
      </w:pPr>
      <w:r>
        <w:t>Defect correction, independent regression and candidate freeze</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S12-17</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33-36 and 39-45</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slice-12/s12-16-&lt;short-description&gt;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S12-16</w:t>
        <w:br/>
        <w:t>BUILD UNIT: S12-17</w:t>
        <w:br/>
        <w:t>LAST_ACCEPTED_COMMIT: &lt;accepted full commit hash from S12-15&gt;</w:t>
        <w:br/>
        <w:br/>
        <w:t>Before changing code, read the ratified Canonical Build Blueprint, Intelligence Specification v1.0, Slice 12 Implementation Specification and Build Plan v1.0 (Sections 33-36 and 39-45),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Correct pilot and qualification findings, independently replay all affected evidence and freeze the production candidate with zero unresolved Critical defect.</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Triage every defect/finding by hard invariant, severity, affected journey/data/client/event/capability, exposure, workaround, owner and release impact.</w:t>
      </w:r>
    </w:p>
    <w:p>
      <w:pPr>
        <w:pStyle w:val="ListBullet"/>
        <w:spacing w:after="60"/>
      </w:pPr>
      <w:r>
        <w:t>Correct through focused changes; create a new candidate for every material change and invalidate dependent evidence automatically.</w:t>
      </w:r>
    </w:p>
    <w:p>
      <w:pPr>
        <w:pStyle w:val="ListBullet"/>
        <w:spacing w:after="60"/>
      </w:pPr>
      <w:r>
        <w:t>Replay direct tests, adjacent contracts, critical browser journeys, security/privacy, accessibility, performance, offline/failure, reconciliation and pilot dry-run evidence affected by the change.</w:t>
      </w:r>
    </w:p>
    <w:p>
      <w:pPr>
        <w:pStyle w:val="ListBullet"/>
        <w:spacing w:after="60"/>
      </w:pPr>
      <w:r>
        <w:t>Have independent reviewers rerun and accept evidence; developer self-report remains a claim.</w:t>
      </w:r>
    </w:p>
    <w:p>
      <w:pPr>
        <w:pStyle w:val="ListBullet"/>
        <w:spacing w:after="60"/>
      </w:pPr>
      <w:r>
        <w:t>Remove production mocks, bypasses, dead flags, hidden TODOs, debug access and unowned waivers; verify secrets/dependencies and clean-room reproducibility.</w:t>
      </w:r>
    </w:p>
    <w:p>
      <w:pPr>
        <w:pStyle w:val="ListBullet"/>
        <w:spacing w:after="60"/>
      </w:pPr>
      <w:r>
        <w:t>Freeze exact candidate manifest, evidence graph, defect/residual-risk register, rollback point and support package.</w:t>
      </w:r>
    </w:p>
    <w:p>
      <w:pPr>
        <w:pStyle w:val="Heading3"/>
      </w:pPr>
      <w:r>
        <w:t>Frontend obligations</w:t>
      </w:r>
    </w:p>
    <w:p>
      <w:pPr>
        <w:pStyle w:val="ListBullet"/>
        <w:spacing w:after="60"/>
      </w:pPr>
      <w:r>
        <w:t>Re-observe every materially changed role journey/state/device; do not accept screenshot-only regression.</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A45/A47/A50 and full affected A01-A49 regression on exact candidate.</w:t>
      </w:r>
    </w:p>
    <w:p>
      <w:pPr>
        <w:pStyle w:val="ListBullet"/>
        <w:spacing w:after="60"/>
      </w:pPr>
      <w:r>
        <w:t>Zero Critical/hard-invariant defect; High blocks unless a ratified bounded non-critical exception exists.</w:t>
      </w:r>
    </w:p>
    <w:p>
      <w:pPr>
        <w:pStyle w:val="ListBullet"/>
        <w:spacing w:after="60"/>
      </w:pPr>
      <w:r>
        <w:t>Clean tree, reproducible build/deploy/migrate/seed/test and current evidence only.</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evidence is inherited across a changed candidate, reviewer independence is absent, a waiver hides a hard invariant or clean-room reproduction fails.</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Production candidate is immutable, current, clean-room reproducible and independently accepted for G0-G6 review.</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PromptLabel"/>
      </w:pPr>
      <w:r>
        <w:rPr>
          <w:b/>
        </w:rPr>
        <w:t>PROMPT S12-17</w:t>
      </w:r>
    </w:p>
    <w:p>
      <w:pPr>
        <w:pStyle w:val="Heading1"/>
      </w:pPr>
      <w:r>
        <w:t>G0-G6 review, CEO authorisation, staged release and handoff</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Build unit</w:t>
            </w:r>
          </w:p>
        </w:tc>
        <w:tc>
          <w:tcPr>
            <w:tcW w:type="dxa" w:w="7128"/>
            <w:tcMar>
              <w:top w:w="80" w:type="dxa"/>
              <w:start w:w="120" w:type="dxa"/>
              <w:bottom w:w="80" w:type="dxa"/>
              <w:end w:w="120" w:type="dxa"/>
            </w:tcMar>
            <w:vAlign w:val="center"/>
          </w:tcPr>
          <w:p>
            <w:pPr>
              <w:spacing w:after="20" w:line="250" w:lineRule="auto"/>
            </w:pPr>
            <w:r>
              <w:t>S12-17</w:t>
            </w:r>
          </w:p>
        </w:tc>
      </w:tr>
      <w:tr>
        <w:tc>
          <w:tcPr>
            <w:tcW w:type="dxa" w:w="2232"/>
            <w:tcMar>
              <w:top w:w="80" w:type="dxa"/>
              <w:start w:w="120" w:type="dxa"/>
              <w:bottom w:w="80" w:type="dxa"/>
              <w:end w:w="120" w:type="dxa"/>
            </w:tcMar>
            <w:vAlign w:val="center"/>
            <w:shd w:fill="F7F8FA"/>
          </w:tcPr>
          <w:p>
            <w:pPr>
              <w:spacing w:after="20" w:line="250" w:lineRule="auto"/>
            </w:pPr>
            <w:r>
              <w:t>Run order</w:t>
            </w:r>
          </w:p>
        </w:tc>
        <w:tc>
          <w:tcPr>
            <w:tcW w:type="dxa" w:w="7128"/>
            <w:tcMar>
              <w:top w:w="80" w:type="dxa"/>
              <w:start w:w="120" w:type="dxa"/>
              <w:bottom w:w="80" w:type="dxa"/>
              <w:end w:w="120" w:type="dxa"/>
            </w:tcMar>
            <w:vAlign w:val="center"/>
            <w:shd w:fill="F7F8FA"/>
          </w:tcPr>
          <w:p>
            <w:pPr>
              <w:spacing w:after="20" w:line="250" w:lineRule="auto"/>
            </w:pPr>
            <w:r>
              <w:t>Only after the preceding prompt is independently accepted</w:t>
            </w:r>
          </w:p>
        </w:tc>
      </w:tr>
      <w:tr>
        <w:tc>
          <w:tcPr>
            <w:tcW w:type="dxa" w:w="2232"/>
            <w:tcMar>
              <w:top w:w="80" w:type="dxa"/>
              <w:start w:w="120" w:type="dxa"/>
              <w:bottom w:w="80" w:type="dxa"/>
              <w:end w:w="120" w:type="dxa"/>
            </w:tcMar>
            <w:vAlign w:val="center"/>
          </w:tcPr>
          <w:p>
            <w:pPr>
              <w:spacing w:after="20" w:line="250" w:lineRule="auto"/>
            </w:pPr>
            <w:r>
              <w:t>Controlling specification</w:t>
            </w:r>
          </w:p>
        </w:tc>
        <w:tc>
          <w:tcPr>
            <w:tcW w:type="dxa" w:w="7128"/>
            <w:tcMar>
              <w:top w:w="80" w:type="dxa"/>
              <w:start w:w="120" w:type="dxa"/>
              <w:bottom w:w="80" w:type="dxa"/>
              <w:end w:w="120" w:type="dxa"/>
            </w:tcMar>
            <w:vAlign w:val="center"/>
          </w:tcPr>
          <w:p>
            <w:pPr>
              <w:spacing w:after="20" w:line="250" w:lineRule="auto"/>
            </w:pPr>
            <w:r>
              <w:t>Sections 33-38, 44-45 and Appendices A-E</w:t>
            </w:r>
          </w:p>
        </w:tc>
      </w:tr>
      <w:tr>
        <w:tc>
          <w:tcPr>
            <w:tcW w:type="dxa" w:w="2232"/>
            <w:tcMar>
              <w:top w:w="80" w:type="dxa"/>
              <w:start w:w="120" w:type="dxa"/>
              <w:bottom w:w="80" w:type="dxa"/>
              <w:end w:w="120" w:type="dxa"/>
            </w:tcMar>
            <w:vAlign w:val="center"/>
            <w:shd w:fill="F7F8FA"/>
          </w:tcPr>
          <w:p>
            <w:pPr>
              <w:spacing w:after="20" w:line="250" w:lineRule="auto"/>
            </w:pPr>
            <w:r>
              <w:t>Commit convention</w:t>
            </w:r>
          </w:p>
        </w:tc>
        <w:tc>
          <w:tcPr>
            <w:tcW w:type="dxa" w:w="7128"/>
            <w:tcMar>
              <w:top w:w="80" w:type="dxa"/>
              <w:start w:w="120" w:type="dxa"/>
              <w:bottom w:w="80" w:type="dxa"/>
              <w:end w:w="120" w:type="dxa"/>
            </w:tcMar>
            <w:vAlign w:val="center"/>
            <w:shd w:fill="F7F8FA"/>
          </w:tcPr>
          <w:p>
            <w:pPr>
              <w:spacing w:after="20" w:line="250" w:lineRule="auto"/>
            </w:pPr>
            <w:r>
              <w:t>slice-12/s12-17-&lt;short-description&gt;</w:t>
            </w:r>
          </w:p>
        </w:tc>
      </w:tr>
    </w:tbl>
    <w:p>
      <w:pPr>
        <w:spacing w:after="0"/>
      </w:pPr>
    </w:p>
    <w:p>
      <w:pPr>
        <w:pStyle w:val="Heading2"/>
      </w:pPr>
      <w:r>
        <w:t>Paste into Cursor</w:t>
      </w:r>
    </w:p>
    <w:p>
      <w:pPr>
        <w:pStyle w:val="CodeBlock"/>
      </w:pPr>
      <w:r>
        <w:t>You are implementing Maison Doclar Event Intelligence System - Slice 12: Whole-system Validation and Release.</w:t>
        <w:br/>
        <w:br/>
        <w:t>PROMPT ID: S12-17</w:t>
        <w:br/>
        <w:t>BUILD UNIT: S12-17</w:t>
        <w:br/>
        <w:t>LAST_ACCEPTED_COMMIT: &lt;accepted full commit hash from S12-16&gt;</w:t>
        <w:br/>
        <w:br/>
        <w:t>Before changing code, read the ratified Canonical Build Blueprint, Intelligence Specification v1.0, Slice 12 Implementation Specification and Build Plan v1.0 (Sections 33-38, 44-45 and Appendices A-E), repository AGENTS.md/Cursor rules, ADRs, current-state report, build ledger, preceding completion report and every item brought forward. Treat them as binding. If they conflict, stop and report the exact conflict; do not invent a compromise.</w:t>
        <w:br/>
        <w:br/>
        <w:t>Implement only this prompt. Production remains OFF unless this is S12-17 and the recorded G6 decision explicitly authorises a bounded stage. Validation code must not become a second source of operational truth.</w:t>
      </w:r>
    </w:p>
    <w:p>
      <w:pPr>
        <w:pStyle w:val="Heading3"/>
      </w:pPr>
      <w:r>
        <w:t>Objective</w:t>
      </w:r>
    </w:p>
    <w:p>
      <w:r>
        <w:t>Complete the canonical gates, obtain an exact CEO decision and execute only the authorised rollout stage with tested stop, rollback and support.</w:t>
      </w:r>
    </w:p>
    <w:p>
      <w:pPr>
        <w:pStyle w:val="Heading3"/>
      </w:pPr>
      <w:r>
        <w:t>Mandatory laws</w:t>
      </w:r>
    </w:p>
    <w:p>
      <w:pPr>
        <w:pStyle w:val="ListBullet"/>
        <w:spacing w:after="60"/>
      </w:pPr>
      <w:r>
        <w:t>The release candidate is immutable: exact commit, artifact, migration, configuration, knowledge, policy, provider and feature-flag versions are bound together.</w:t>
      </w:r>
    </w:p>
    <w:p>
      <w:pPr>
        <w:pStyle w:val="ListBullet"/>
        <w:spacing w:after="60"/>
      </w:pPr>
      <w:r>
        <w:t>Evidence is valid only for the exact candidate and dependency hashes it tested; changed or stale evidence cannot pass a gate.</w:t>
      </w:r>
    </w:p>
    <w:p>
      <w:pPr>
        <w:pStyle w:val="ListBullet"/>
        <w:spacing w:after="60"/>
      </w:pPr>
      <w:r>
        <w:t>Every binding law and acceptance criterion from Slices 1-11 remains in force. Slice 12 may verify or harden them, never weaken them.</w:t>
      </w:r>
    </w:p>
    <w:p>
      <w:pPr>
        <w:pStyle w:val="ListBullet"/>
        <w:spacing w:after="60"/>
      </w:pPr>
      <w:r>
        <w:t>Critical business-role journeys must complete through supported interfaces without direct database edits, hidden scripts, pre-resolved data or engineering intervention.</w:t>
      </w:r>
    </w:p>
    <w:p>
      <w:pPr>
        <w:pStyle w:val="ListBullet"/>
        <w:spacing w:after="60"/>
      </w:pPr>
      <w:r>
        <w:t>Frontend is operational infrastructure. Usability, accessibility, responsive behavior, data density, recovery and truthful failure states are release gates.</w:t>
      </w:r>
    </w:p>
    <w:p>
      <w:pPr>
        <w:pStyle w:val="ListBullet"/>
        <w:spacing w:after="60"/>
      </w:pPr>
      <w:r>
        <w:t>Organisation, client and event isolation is enforced at UI, route/action, service, repository, worker, cache, search, export, provider and AI boundaries.</w:t>
      </w:r>
    </w:p>
    <w:p>
      <w:pPr>
        <w:pStyle w:val="ListBullet"/>
        <w:spacing w:after="60"/>
      </w:pPr>
      <w:r>
        <w:t>Permissions, authority and status are server-derived. Every consequential allowed or denied action is auditable.</w:t>
      </w:r>
    </w:p>
    <w:p>
      <w:pPr>
        <w:pStyle w:val="ListBullet"/>
        <w:spacing w:after="60"/>
      </w:pPr>
      <w:r>
        <w:t>Accepted local/offline events are preserved. Replay is idempotent; ordering ambiguity and conflict are surfaced for authorised resolution.</w:t>
      </w:r>
    </w:p>
    <w:p>
      <w:pPr>
        <w:pStyle w:val="ListBullet"/>
        <w:spacing w:after="60"/>
      </w:pPr>
      <w:r>
        <w:t>Each domain has one authoritative ledger. Reconciliation detects difference and never silently nets, overwrites or invents correction.</w:t>
      </w:r>
    </w:p>
    <w:p>
      <w:pPr>
        <w:pStyle w:val="ListBullet"/>
        <w:spacing w:after="60"/>
      </w:pPr>
      <w:r>
        <w:t>Unknown, stale, partial, degraded and missing telemetry or evidence remain visible; they never become healthy or Green.</w:t>
      </w:r>
    </w:p>
    <w:p>
      <w:pPr>
        <w:pStyle w:val="ListBullet"/>
        <w:spacing w:after="60"/>
      </w:pPr>
      <w:r>
        <w:t>Every failure, alert, queue and dead letter has an owner, response target, runbook, escalation and resolution evidence.</w:t>
      </w:r>
    </w:p>
    <w:p>
      <w:pPr>
        <w:pStyle w:val="ListBullet"/>
        <w:spacing w:after="60"/>
      </w:pPr>
      <w:r>
        <w:t>Restore, rollback, rebuild and forward-fix preserve accepted history and cannot revive revoked access, withdrawn consent or deleted payload.</w:t>
      </w:r>
    </w:p>
    <w:p>
      <w:pPr>
        <w:pStyle w:val="ListBullet"/>
        <w:spacing w:after="60"/>
      </w:pPr>
      <w:r>
        <w:t>Privacy survives URLs, DOM, caches, logs, traces, analytics, screenshots, exports, support tools, backups and provider operations.</w:t>
      </w:r>
    </w:p>
    <w:p>
      <w:pPr>
        <w:pStyle w:val="ListBullet"/>
        <w:spacing w:after="60"/>
      </w:pPr>
      <w:r>
        <w:t>Security is proven by direct endpoint, replay, IDOR, enumeration, lost-device, credential-rotation and privilege tests, not hidden routes.</w:t>
      </w:r>
    </w:p>
    <w:p>
      <w:pPr>
        <w:pStyle w:val="ListBullet"/>
        <w:spacing w:after="60"/>
      </w:pPr>
      <w:r>
        <w:t>AI stays advisory and human-controlled; its shadow gate cannot grant execution, approval, publication, communication or doctrine authority.</w:t>
      </w:r>
    </w:p>
    <w:p>
      <w:pPr>
        <w:pStyle w:val="ListBullet"/>
        <w:spacing w:after="60"/>
      </w:pPr>
      <w:r>
        <w:t>FaceGate and cross-event learning remain separately gated and default OFF unless their exact capability, scope, event and stage are authorised.</w:t>
      </w:r>
    </w:p>
    <w:p>
      <w:pPr>
        <w:pStyle w:val="ListBullet"/>
        <w:spacing w:after="60"/>
      </w:pPr>
      <w:r>
        <w:t>Pilot evidence is structured and reconciled. Anecdote, screenshots, demos or aggregate readiness cannot replace ledger and observed-task proof.</w:t>
      </w:r>
    </w:p>
    <w:p>
      <w:pPr>
        <w:pStyle w:val="ListBullet"/>
        <w:spacing w:after="60"/>
      </w:pPr>
      <w:r>
        <w:t>Zero unresolved Critical defects or hard-invariant violations are permitted at production authorisation; High defects block by default.</w:t>
      </w:r>
    </w:p>
    <w:p>
      <w:pPr>
        <w:pStyle w:val="ListBullet"/>
        <w:spacing w:after="60"/>
      </w:pPr>
      <w:r>
        <w:t>Production authority is bounded to exact clients/events, roles, capabilities, region, rollout stage, conditions, expiry and revocation.</w:t>
      </w:r>
    </w:p>
    <w:p>
      <w:pPr>
        <w:pStyle w:val="ListBullet"/>
        <w:spacing w:after="60"/>
      </w:pPr>
      <w:r>
        <w:t>Release is reversible: rollback, kill switches, manual/QR fallback, support and monitoring are tested before enablement.</w:t>
      </w:r>
    </w:p>
    <w:p>
      <w:pPr>
        <w:pStyle w:val="Heading3"/>
      </w:pPr>
      <w:r>
        <w:t>Required work</w:t>
      </w:r>
    </w:p>
    <w:p>
      <w:pPr>
        <w:pStyle w:val="ListBullet"/>
        <w:spacing w:after="60"/>
      </w:pPr>
      <w:r>
        <w:t>Assemble G0 Blueprint/ADR, G1 foundation, G2 all Slice 1-11 domains, G3 reference event, G4 AI shadow, G5 supervised pilot and G6 production authorisation evidence against the frozen candidate.</w:t>
      </w:r>
    </w:p>
    <w:p>
      <w:pPr>
        <w:pStyle w:val="ListBullet"/>
        <w:spacing w:after="60"/>
      </w:pPr>
      <w:r>
        <w:t>Verify no orphan requirement/screen/API/migration/flag/test/evidence, stale approval, unresolved reconciliation difference or hidden Critical/High blocker.</w:t>
      </w:r>
    </w:p>
    <w:p>
      <w:pPr>
        <w:pStyle w:val="ListBullet"/>
        <w:spacing w:after="60"/>
      </w:pPr>
      <w:r>
        <w:t>Present CEO decision pack with exact organisations/clients/events, users/roles, capabilities, environment/region, rollout stage, conditions, expiry/revocation, specialist states, residual risks, SLO/support and rollback.</w:t>
      </w:r>
    </w:p>
    <w:p>
      <w:pPr>
        <w:pStyle w:val="ListBullet"/>
        <w:spacing w:after="60"/>
      </w:pPr>
      <w:r>
        <w:t>Record approve/conditional/reject/pause with rationale and signatures; conditional approval cannot waive hard invariants or activate separately gated capabilities.</w:t>
      </w:r>
    </w:p>
    <w:p>
      <w:pPr>
        <w:pStyle w:val="ListBullet"/>
        <w:spacing w:after="60"/>
      </w:pPr>
      <w:r>
        <w:t>If authorised, execute only the stated dark/internal/pilot/limited/controlled stage; watch promotion/stop thresholds and preserve audit.</w:t>
      </w:r>
    </w:p>
    <w:p>
      <w:pPr>
        <w:pStyle w:val="ListBullet"/>
        <w:spacing w:after="60"/>
      </w:pPr>
      <w:r>
        <w:t>Handover release manifest, dashboards, alerts, runbooks, on-call/provider contacts, support access, rollback/kill switches, incident authority and post-release review schedule.</w:t>
      </w:r>
    </w:p>
    <w:p>
      <w:pPr>
        <w:pStyle w:val="Heading3"/>
      </w:pPr>
      <w:r>
        <w:t>Frontend obligations</w:t>
      </w:r>
    </w:p>
    <w:p>
      <w:pPr>
        <w:pStyle w:val="ListBullet"/>
        <w:spacing w:after="60"/>
      </w:pPr>
      <w:r>
        <w:t>CEO and Release Manager use the Release Evidence Dashboard and supported decision workflow; the UI must show failed/stale/Unknown evidence and exact consequences.</w:t>
      </w:r>
    </w:p>
    <w:p>
      <w:pPr>
        <w:pStyle w:val="Heading3"/>
      </w:pPr>
      <w:r>
        <w:t>Explicit exclusions</w:t>
      </w:r>
    </w:p>
    <w:p>
      <w:pPr>
        <w:pStyle w:val="ListBullet"/>
        <w:spacing w:after="60"/>
      </w:pPr>
      <w:r>
        <w:t>Do not rebuild Slice 1-11 features, replace canonical domain ledgers or create a second source of truth for validation convenience.</w:t>
      </w:r>
    </w:p>
    <w:p>
      <w:pPr>
        <w:pStyle w:val="ListBullet"/>
        <w:spacing w:after="60"/>
      </w:pPr>
      <w:r>
        <w:t>Do not mutate a frozen candidate. Any code, config, migration, provider, policy, knowledge or flag change creates a new candidate and invalidates affected evidence.</w:t>
      </w:r>
    </w:p>
    <w:p>
      <w:pPr>
        <w:pStyle w:val="ListBullet"/>
        <w:spacing w:after="60"/>
      </w:pPr>
      <w:r>
        <w:t>Do not mark gates passed from CI status, screenshots, demos, seeded assertions, self-review or “works on my machine”.</w:t>
      </w:r>
    </w:p>
    <w:p>
      <w:pPr>
        <w:pStyle w:val="ListBullet"/>
        <w:spacing w:after="60"/>
      </w:pPr>
      <w:r>
        <w:t>Do not bypass production interfaces with database edits, admin scripts, hidden feature flags, engineering assistance or pre-resolved fixtures during observed journeys.</w:t>
      </w:r>
    </w:p>
    <w:p>
      <w:pPr>
        <w:pStyle w:val="ListBullet"/>
        <w:spacing w:after="60"/>
      </w:pPr>
      <w:r>
        <w:t>Do not average Critical failure, Unknown, stale, missing, waived or not-applicable evidence into Green.</w:t>
      </w:r>
    </w:p>
    <w:p>
      <w:pPr>
        <w:pStyle w:val="ListBullet"/>
        <w:spacing w:after="60"/>
      </w:pPr>
      <w:r>
        <w:t>Do not discard, silently deduplicate or overwrite accepted offline events or reconciliation differences.</w:t>
      </w:r>
    </w:p>
    <w:p>
      <w:pPr>
        <w:pStyle w:val="ListBullet"/>
        <w:spacing w:after="60"/>
      </w:pPr>
      <w:r>
        <w:t>Do not use real guest data in synthetic testing; pilot data use must be minimised, approved, purpose-bound and disposed under policy.</w:t>
      </w:r>
    </w:p>
    <w:p>
      <w:pPr>
        <w:pStyle w:val="ListBullet"/>
        <w:spacing w:after="60"/>
      </w:pPr>
      <w:r>
        <w:t>Do not enable AI, FaceGate or cross-client capabilities through the general system release decision.</w:t>
      </w:r>
    </w:p>
    <w:p>
      <w:pPr>
        <w:pStyle w:val="ListBullet"/>
        <w:spacing w:after="60"/>
      </w:pPr>
      <w:r>
        <w:t>Do not invent performance budgets, recovery objectives, supported devices, retention periods, consent language or pilot authority in code.</w:t>
      </w:r>
    </w:p>
    <w:p>
      <w:pPr>
        <w:pStyle w:val="ListBullet"/>
        <w:spacing w:after="60"/>
      </w:pPr>
      <w:r>
        <w:t>Do not hide unresolved work in TODOs, temporary mocks, permissive defaults, unexplained waivers, manual runbook gaps or items brought forward.</w:t>
      </w:r>
    </w:p>
    <w:p>
      <w:pPr>
        <w:pStyle w:val="Heading3"/>
      </w:pPr>
      <w:r>
        <w:t>Verification required</w:t>
      </w:r>
    </w:p>
    <w:p>
      <w:pPr>
        <w:pStyle w:val="ListBullet"/>
        <w:spacing w:after="60"/>
      </w:pPr>
      <w:r>
        <w:t>A46-A50, G0-G6 and complete clean-room release rehearsal.</w:t>
      </w:r>
    </w:p>
    <w:p>
      <w:pPr>
        <w:pStyle w:val="ListBullet"/>
        <w:spacing w:after="60"/>
      </w:pPr>
      <w:r>
        <w:t>Canary/limited stop or rollback preserves accepted events, revocations, withdrawals, deletion and audit.</w:t>
      </w:r>
    </w:p>
    <w:p>
      <w:pPr>
        <w:pStyle w:val="ListBullet"/>
        <w:spacing w:after="60"/>
      </w:pPr>
      <w:r>
        <w:t>Post-release monitoring and support acknowledge ownership before any enablement.</w:t>
      </w:r>
    </w:p>
    <w:p>
      <w:pPr>
        <w:pStyle w:val="ListBullet"/>
        <w:spacing w:after="60"/>
      </w:pPr>
      <w:r>
        <w:t>Run repository-standard format, lint, typecheck, schema/static validation, unit, property, database, contract, integration and affected end-to-end suites. Report each exact command, dataset/environment and result; never write only “tests pass”.</w:t>
      </w:r>
    </w:p>
    <w:p>
      <w:pPr>
        <w:pStyle w:val="ListBullet"/>
        <w:spacing w:after="60"/>
      </w:pPr>
      <w:r>
        <w:t>Bind every result to the exact release candidate, commit, artifact, migrations, config, policies/knowledge, providers/models, flags and dataset checksum; stale evidence fails.</w:t>
      </w:r>
    </w:p>
    <w:p>
      <w:pPr>
        <w:pStyle w:val="ListBullet"/>
        <w:spacing w:after="60"/>
      </w:pPr>
      <w:r>
        <w:t>For UI changes, use real browser interaction at the ratified device widths and roles, including keyboard, screen reader, 200% zoom, touch, slow/offline network and every named truth/permission/failure state.</w:t>
      </w:r>
    </w:p>
    <w:p>
      <w:pPr>
        <w:pStyle w:val="ListBullet"/>
        <w:spacing w:after="60"/>
      </w:pPr>
      <w:r>
        <w:t>Prove organisation/client/event isolation, server authority, privacy minimisation, idempotency and audit through negative tests at every affected boundary.</w:t>
      </w:r>
    </w:p>
    <w:p>
      <w:pPr>
        <w:pStyle w:val="ListBullet"/>
        <w:spacing w:after="60"/>
      </w:pPr>
      <w:r>
        <w:t>Record defects, observations and reconciliation differences honestly. A screenshot, demo, seed assertion or developer claim is not independent acceptance.</w:t>
      </w:r>
    </w:p>
    <w:p>
      <w:pPr>
        <w:pStyle w:val="Heading3"/>
      </w:pPr>
      <w:r>
        <w:t>Stop conditions</w:t>
      </w:r>
    </w:p>
    <w:p>
      <w:pPr>
        <w:pStyle w:val="ListBullet"/>
        <w:spacing w:after="60"/>
      </w:pPr>
      <w:r>
        <w:t>Stop if any gate is stale/failed/missing, CEO scope is ambiguous, specialist authority is implied, rollback/support is unready or deployment would exceed the recorded stage.</w:t>
      </w:r>
    </w:p>
    <w:p>
      <w:pPr>
        <w:pStyle w:val="ListBullet"/>
        <w:spacing w:after="60"/>
      </w:pPr>
      <w:r>
        <w:t>Stop on overlapping user changes, missing LAST_ACCEPTED_COMMIT, absent prerequisite, ambiguous ratified decision, unsafe live-system effect, failed mandatory gate or evidence that belongs to another candidate. Preserve evidence and request a decision.</w:t>
      </w:r>
    </w:p>
    <w:p>
      <w:pPr>
        <w:pStyle w:val="Heading3"/>
      </w:pPr>
      <w:r>
        <w:t>Acceptance gate</w:t>
      </w:r>
    </w:p>
    <w:p>
      <w:pPr>
        <w:pStyle w:val="ListBullet"/>
        <w:spacing w:after="60"/>
      </w:pPr>
      <w:r>
        <w:t>CEO records controlled production authorisation for the exact scope/stage, or records a safe rejection/pause; Slice 12 closes with full operational handoff.</w:t>
      </w:r>
    </w:p>
    <w:p>
      <w:pPr>
        <w:pStyle w:val="Heading3"/>
      </w:pPr>
      <w:r>
        <w:t>Commit and handover</w:t>
      </w:r>
    </w:p>
    <w:p>
      <w:pPr>
        <w:pStyle w:val="ListBullet"/>
        <w:spacing w:after="60"/>
      </w:pPr>
      <w:r>
        <w:t>Update current-state report, build ledger, traceability/evidence graph, decision/defect/risk registers and relevant architecture, data, API/event, UI, security/privacy, operations and release documentation.</w:t>
      </w:r>
    </w:p>
    <w:p>
      <w:pPr>
        <w:pStyle w:val="ListBullet"/>
        <w:spacing w:after="60"/>
      </w:pPr>
      <w:r>
        <w:t>List changed files, contracts/migrations/config/flags, authoritative-ledger effect, exact test/browser/observation evidence, defects, limitations, recovery and rollback.</w:t>
      </w:r>
    </w:p>
    <w:p>
      <w:pPr>
        <w:pStyle w:val="ListBullet"/>
        <w:spacing w:after="60"/>
      </w:pPr>
      <w:r>
        <w:t>State CANDIDATE IMPACT: unchanged, or identify the new candidate and every invalidated/replayed gate. Never silently mutate a frozen candidate.</w:t>
      </w:r>
    </w:p>
    <w:p>
      <w:pPr>
        <w:pStyle w:val="ListBullet"/>
        <w:spacing w:after="60"/>
      </w:pPr>
      <w:r>
        <w:t>State ITEMS BROUGHT FORWARD: NONE, or enumerate owner, reason, impact and target prompt. Do not defer anything required by this gate.</w:t>
      </w:r>
    </w:p>
    <w:p>
      <w:pPr>
        <w:pStyle w:val="ListBullet"/>
        <w:spacing w:after="60"/>
      </w:pPr>
      <w:r>
        <w:t>Create one focused commit for this prompt and report the full hash. Do not begin the next prompt.</w:t>
      </w:r>
    </w:p>
    <w:p>
      <w:pPr>
        <w:pStyle w:val="ListBullet"/>
        <w:spacing w:after="60"/>
      </w:pPr>
      <w:r>
        <w:t>End exactly: This report is a claim awaiting independent verification.</w:t>
      </w:r>
    </w:p>
    <w:p>
      <w:pPr>
        <w:spacing w:after="0" w:line="20" w:lineRule="exact"/>
      </w:pPr>
      <w:r>
        <w:rPr>
          <w:sz w:val="2"/>
        </w:rPr>
        <w:br w:type="page"/>
      </w:r>
    </w:p>
    <w:p>
      <w:pPr>
        <w:pStyle w:val="Heading1"/>
      </w:pPr>
      <w:r>
        <w:t>Independent reviewer checklist</w:t>
      </w:r>
    </w:p>
    <w:p>
      <w:pPr>
        <w:pStyle w:val="ListBullet"/>
        <w:spacing w:after="60"/>
      </w:pPr>
      <w:r>
        <w:t>Diff is limited to the prompt and based on the declared LAST_ACCEPTED_COMMIT.</w:t>
      </w:r>
    </w:p>
    <w:p>
      <w:pPr>
        <w:pStyle w:val="ListBullet"/>
        <w:spacing w:after="60"/>
      </w:pPr>
      <w:r>
        <w:t>Candidate identity is exact; changed dependencies created a new candidate and invalidated/replayed affected evidence.</w:t>
      </w:r>
    </w:p>
    <w:p>
      <w:pPr>
        <w:pStyle w:val="ListBullet"/>
        <w:spacing w:after="60"/>
      </w:pPr>
      <w:r>
        <w:t>All prior slice laws, event/client isolation, server authority, privacy and canonical-ledger ownership remain intact.</w:t>
      </w:r>
    </w:p>
    <w:p>
      <w:pPr>
        <w:pStyle w:val="ListBullet"/>
        <w:spacing w:after="60"/>
      </w:pPr>
      <w:r>
        <w:t>Frontend evidence uses real interaction across required roles, states, devices and assistive use; no engineering shortcut.</w:t>
      </w:r>
    </w:p>
    <w:p>
      <w:pPr>
        <w:pStyle w:val="ListBullet"/>
        <w:spacing w:after="60"/>
      </w:pPr>
      <w:r>
        <w:t>Offline/failure/rollback/restore preserve accepted events and do not revive revoked, withdrawn or deleted data.</w:t>
      </w:r>
    </w:p>
    <w:p>
      <w:pPr>
        <w:pStyle w:val="ListBullet"/>
        <w:spacing w:after="60"/>
      </w:pPr>
      <w:r>
        <w:t>Every ledger difference, incident, defect, Unknown/stale/failed gate and residual risk is visible and owned.</w:t>
      </w:r>
    </w:p>
    <w:p>
      <w:pPr>
        <w:pStyle w:val="ListBullet"/>
        <w:spacing w:after="60"/>
      </w:pPr>
      <w:r>
        <w:t>AI, FaceGate and cross-event capability states are independently authorised and cannot be expanded by general release.</w:t>
      </w:r>
    </w:p>
    <w:p>
      <w:pPr>
        <w:pStyle w:val="ListBullet"/>
        <w:spacing w:after="60"/>
      </w:pPr>
      <w:r>
        <w:t>Exact commands, datasets, environments, artifacts, observations, reviewer and results are recorded.</w:t>
      </w:r>
    </w:p>
    <w:p>
      <w:pPr>
        <w:pStyle w:val="ListBullet"/>
        <w:spacing w:after="60"/>
      </w:pPr>
      <w:r>
        <w:t>Items brought forward do not include anything required by the current acceptance gate.</w:t>
      </w:r>
    </w:p>
    <w:p>
      <w:pPr>
        <w:pStyle w:val="ListBullet"/>
        <w:spacing w:after="60"/>
      </w:pPr>
      <w:r>
        <w:t>The completion report ends with the independent-verification disclaimer.</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Final boundary</w:t>
            </w:r>
          </w:p>
        </w:tc>
      </w:tr>
      <w:tr>
        <w:tc>
          <w:tcPr>
            <w:tcW w:type="dxa" w:w="9360"/>
            <w:tcMar>
              <w:top w:w="80" w:type="dxa"/>
              <w:start w:w="120" w:type="dxa"/>
              <w:bottom w:w="80" w:type="dxa"/>
              <w:end w:w="120" w:type="dxa"/>
            </w:tcMar>
            <w:vAlign w:val="center"/>
            <w:shd w:fill="FFF8E8"/>
          </w:tcPr>
          <w:p>
            <w:pPr>
              <w:spacing w:after="20" w:line="250" w:lineRule="auto"/>
            </w:pPr>
            <w:r>
              <w:t>Acceptance of S12-17 closes the canonical build only for the exact scope and rollout stage recorded by the CEO. It does not create general authority for another client, event, region, capability, provider, privacy purpose or future candidate.</w:t>
            </w:r>
          </w:p>
        </w:tc>
      </w:tr>
    </w:tbl>
    <w:p>
      <w:pPr>
        <w:spacing w:after="0"/>
      </w:pPr>
    </w:p>
    <w:sectPr w:rsidR="00FC693F" w:rsidRPr="0006063C" w:rsidSect="00034616">
      <w:headerReference w:type="default" r:id="rId9"/>
      <w:footerReference w:type="default" r:id="rId10"/>
      <w:pgSz w:w="12240" w:h="15840"/>
      <w:pgMar w:top="1123"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Slice 12 - Cursor Prompt Pack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MAISON DOCLAR  |  CANONICAL BUILD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22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7" w:hanging="259"/>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7" w:hanging="259"/>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Label">
    <w:name w:val="Prompt Label"/>
    <w:pPr>
      <w:spacing w:after="40"/>
    </w:pPr>
    <w:rPr>
      <w:rFonts w:ascii="Calibri" w:hAnsi="Calibri"/>
      <w:b/>
      <w:color w:val="A57C2A"/>
      <w:sz w:val="18"/>
    </w:rPr>
  </w:style>
  <w:style w:type="paragraph" w:customStyle="1" w:styleId="CodeBlock">
    <w:name w:val="Code Block"/>
    <w:pPr>
      <w:spacing w:after="160"/>
      <w:ind w:left="230" w:right="23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12 Cursor Prompt Pack</dc:title>
  <dc:subject>Whole-system Validation and Release sequential Cursor prompts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