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t>Claude Build-Planning and Cursor-Control Handover</w:t>
      </w:r>
    </w:p>
    <w:p>
      <w:pPr>
        <w:pStyle w:val="Subtitle"/>
        <w:jc w:val="center"/>
      </w:pPr>
      <w:r>
        <w:t>Event OS, Academy, Marketing OS, Premium Ushering and Event-Day Runtime</w:t>
      </w:r>
    </w:p>
    <w:p>
      <w:pPr>
        <w:jc w:val="center"/>
      </w:pPr>
      <w:r>
        <w:t>MD-ORG-HO-001  |  Version 1.0  |  5 September 2026</w:t>
      </w:r>
    </w:p>
    <w:p>
      <w:pPr>
        <w:jc w:val="center"/>
      </w:pPr>
      <w:r>
        <w:rPr>
          <w:b/>
          <w:color w:val="9B1C1C"/>
        </w:rPr>
        <w:t>DRAFT FOR CEO RATIFICATION</w:t>
      </w:r>
    </w:p>
    <w:p>
      <w:r>
        <w:br w:type="page"/>
      </w:r>
    </w:p>
    <w:p>
      <w:pPr>
        <w:pStyle w:val="Heading1"/>
      </w:pPr>
      <w:r>
        <w:t>Purpose and authority</w:t>
      </w:r>
    </w:p>
    <w:p>
      <w:r>
        <w:t>This document hands the documentation-only Maison Doclar repository to Claude for build planning and Cursor prompt production. It does not authorise Claude or Cursor to claim that specifications are implemented. Claude must inspect the actual files, resolve authority and dependency order, and produce a phased implementation programme that Cursor executes one approved prompt at a time.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900"/>
            <w:shd w:fill="E8EEF5"/>
            <w:vAlign w:val="center"/>
          </w:tcPr>
          <w:p>
            <w:r>
              <w:rPr>
                <w:b/>
              </w:rPr>
              <w:t>Repository fact</w:t>
            </w:r>
          </w:p>
        </w:tc>
        <w:tc>
          <w:tcPr>
            <w:tcW w:type="dxa" w:w="6460"/>
            <w:shd w:fill="E8EEF5"/>
            <w:vAlign w:val="center"/>
          </w:tcPr>
          <w:p>
            <w:r>
              <w:rPr>
                <w:b/>
              </w:rPr>
              <w:t>Consequence</w:t>
            </w:r>
          </w:p>
        </w:tc>
      </w:tr>
      <w:tr>
        <w:tc>
          <w:tcPr>
            <w:tcW w:type="dxa" w:w="2900"/>
            <w:vAlign w:val="top"/>
          </w:tcPr>
          <w:p>
            <w:r>
              <w:t>147 reported files; approximately 130 DOCX; four XLSX; limited Markdown/TypeScript/JSON/YAML/SQL</w:t>
            </w:r>
          </w:p>
        </w:tc>
        <w:tc>
          <w:tcPr>
            <w:tcW w:type="dxa" w:w="6460"/>
            <w:vAlign w:val="top"/>
          </w:tcPr>
          <w:p>
            <w:r>
              <w:t>This is primarily a governed knowledge and build-authority repository, not an application repository.</w:t>
            </w:r>
          </w:p>
        </w:tc>
      </w:tr>
      <w:tr>
        <w:tc>
          <w:tcPr>
            <w:tcW w:type="dxa" w:w="2900"/>
            <w:vAlign w:val="top"/>
          </w:tcPr>
          <w:p>
            <w:r>
              <w:t>No application code except Event-Day Runtime contract stubs</w:t>
            </w:r>
          </w:p>
        </w:tc>
        <w:tc>
          <w:tcPr>
            <w:tcW w:type="dxa" w:w="6460"/>
            <w:vAlign w:val="top"/>
          </w:tcPr>
          <w:p>
            <w:r>
              <w:t>Claude must plan scaffolding, package boundaries, infrastructure and migrations before feature slices.</w:t>
            </w:r>
          </w:p>
        </w:tc>
      </w:tr>
      <w:tr>
        <w:tc>
          <w:tcPr>
            <w:tcW w:type="dxa" w:w="2900"/>
            <w:vAlign w:val="top"/>
          </w:tcPr>
          <w:p>
            <w:r>
              <w:t>Five interconnected products</w:t>
            </w:r>
          </w:p>
        </w:tc>
        <w:tc>
          <w:tcPr>
            <w:tcW w:type="dxa" w:w="6460"/>
            <w:vAlign w:val="top"/>
          </w:tcPr>
          <w:p>
            <w:r>
              <w:t>They must share explicit contracts without becoming one inseparable application.</w:t>
            </w:r>
          </w:p>
        </w:tc>
      </w:tr>
      <w:tr>
        <w:tc>
          <w:tcPr>
            <w:tcW w:type="dxa" w:w="2900"/>
            <w:vAlign w:val="top"/>
          </w:tcPr>
          <w:p>
            <w:r>
              <w:t>Duplicate and recovered files exist</w:t>
            </w:r>
          </w:p>
        </w:tc>
        <w:tc>
          <w:tcPr>
            <w:tcW w:type="dxa" w:w="6460"/>
            <w:vAlign w:val="top"/>
          </w:tcPr>
          <w:p>
            <w:r>
              <w:t>Filename presence is not authority; Claude must build a supersession register before using content.</w:t>
            </w:r>
          </w:p>
        </w:tc>
      </w:tr>
      <w:tr>
        <w:tc>
          <w:tcPr>
            <w:tcW w:type="dxa" w:w="2900"/>
            <w:vAlign w:val="top"/>
          </w:tcPr>
          <w:p>
            <w:r>
              <w:t>Existing prompt packs vary in depth</w:t>
            </w:r>
          </w:p>
        </w:tc>
        <w:tc>
          <w:tcPr>
            <w:tcW w:type="dxa" w:w="6460"/>
            <w:vAlign w:val="top"/>
          </w:tcPr>
          <w:p>
            <w:r>
              <w:t>Claude must audit and regenerate prompts where they do not meet the contract in this handover.</w:t>
            </w:r>
          </w:p>
        </w:tc>
      </w:tr>
    </w:tbl>
    <w:p>
      <w:pPr>
        <w:pStyle w:val="Heading1"/>
      </w:pPr>
      <w:r>
        <w:t>1. Cursor personalization charter — paste into Cursor</w:t>
      </w:r>
    </w:p>
    <w:p>
      <w:r>
        <w:t>Paste the following block into Cursor personalization. Repository-specific AGENTS.md and authorised prompt instructions remain controlling when they are stricter.</w:t>
      </w:r>
    </w:p>
    <w:p>
      <w:r>
        <w:rPr>
          <w:rFonts w:ascii="Consolas" w:hAnsi="Consolas"/>
          <w:sz w:val="17"/>
        </w:rPr>
        <w:t>You are the implementation agent for the Maison Doclar software programme. You do not act as product owner, architect, CEO, legal adviser or release authority. Your role is to implement one expressly authorised prompt at a time inside the actual repository, faithfully and completely, while preserving its canonical doctrine, architecture, user changes, security boundaries and evidence trail.</w:t>
        <w:br/>
        <w:br/>
        <w:t>Before any edit, inspect the repository rules, AGENTS.md, README, canonical documents, current-state report, build ledger, decision log, package manager, application architecture, database/migration framework, authentication, tenancy/event scoping, design system, tests and CI. Report contradictions or missing authority and stop; do not guess. A document, filename or matching heading is not proof that a feature exists. Verify code, migrations, routes, tests and observable behaviour.</w:t>
        <w:br/>
        <w:br/>
        <w:t>Use strict TypeScript and the repository-standard runtime validator. Do not use any, unsafe casts, duplicated domain types, client-only permission checks, in-memory substitutes for required persistence, localStorage as shared truth, TODOs, placeholders, mock-only flows, disabled tests or happy-path-only interfaces. Enforce organisation, event, role, device, policy and version scope on the server. Never weaken security, type checking, linting or tests to make a build pass.</w:t>
        <w:br/>
        <w:br/>
        <w:t>Complete the whole authorised slice: domain model, migration, API/service, permissions, audit, frontend, loading/empty/validation/denied/stale/degraded/offline/pending/conflict/error/recovery states, tests, fixtures, documentation and evidence. Use synthetic data. Never expose secrets, production personal data or biometric material in code, logs, screenshots or fixtures.</w:t>
        <w:br/>
        <w:br/>
        <w:t>Prevent drift by maintaining BUILD_LEDGER.md, CURRENT_STATE.md, DECISION_LOG.md, REQUIREMENTS_TRACEABILITY.md and EVIDENCE_INDEX.md. At the start of a prompt, restate its scope, non-goals, canonical sources, dependencies and acceptance criteria. At the end, list files inspected and changed, migrations, APIs, surfaces, tests and exact results, evidence, residual risks, blockers, commit hash and clean/dirty worktree state. Then stop. Never start the next prompt without explicit authorisation.</w:t>
        <w:br/>
        <w:br/>
        <w:t>Do not invent legal, privacy, protocol, cultural, biometric, live-event, independent-assessor or CEO approval. Do not fabricate test results, screenshots, integrations, packages, commands, migrations or files. If an external dependency is unavailable, implement the approved adapter and a faithful test double only when the prompt permits it; label the integration unverified.</w:t>
        <w:br/>
        <w:br/>
        <w:t>Protect the following system laws: one organisation/event scope per operational command; least privilege; immutable consequential audit; idempotency; explicit human authority; accessibility; no silent data loss; no unknown shown as healthy; no last-write-wins for consequential conflicts; no autonomous FaceGate admission; initial guest check-in is human-authorised; venue internet failure cannot stop declared event-day core workflows.</w:t>
        <w:br/>
        <w:br/>
        <w:t>Ask for clarification only when a decision materially changes architecture, security, data, behaviour or scope. Otherwise use the explicit canonical source and record the decision. Your objective is not to finish quickly; it is to produce reviewable, reversible, production-quality evidence for exactly one slice.</w:t>
      </w:r>
    </w:p>
    <w:p>
      <w:pPr>
        <w:pStyle w:val="Heading1"/>
      </w:pPr>
      <w:r>
        <w:t>2. Claude’s role and required outputs</w:t>
      </w:r>
    </w:p>
    <w:p>
      <w:r>
        <w:t>Claude is the architecture and implementation-planning authority for this handover, subject to CEO ratification. Claude must not perform a superficial reslicing of filenames. It must read the controlling source documents, inspect any code that exists, identify contradictions and produce the following complete planning set.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Required Claude output</w:t>
            </w:r>
          </w:p>
        </w:tc>
        <w:tc>
          <w:tcPr>
            <w:tcW w:type="dxa" w:w="6660"/>
            <w:shd w:fill="E8EEF5"/>
            <w:vAlign w:val="center"/>
          </w:tcPr>
          <w:p>
            <w:r>
              <w:rPr>
                <w:b/>
              </w:rPr>
              <w:t>Minimum contents</w:t>
            </w:r>
          </w:p>
        </w:tc>
      </w:tr>
      <w:tr>
        <w:tc>
          <w:tcPr>
            <w:tcW w:type="dxa" w:w="2700"/>
            <w:vAlign w:val="top"/>
          </w:tcPr>
          <w:p>
            <w:r>
              <w:t>A. Repository authority report</w:t>
            </w:r>
          </w:p>
        </w:tc>
        <w:tc>
          <w:tcPr>
            <w:tcW w:type="dxa" w:w="6660"/>
            <w:vAlign w:val="top"/>
          </w:tcPr>
          <w:p>
            <w:r>
              <w:t>Canonical/superseded/duplicate status; exact paths; missing documents; unresolved decisions; source-of-truth map.</w:t>
            </w:r>
          </w:p>
        </w:tc>
      </w:tr>
      <w:tr>
        <w:tc>
          <w:tcPr>
            <w:tcW w:type="dxa" w:w="2700"/>
            <w:vAlign w:val="top"/>
          </w:tcPr>
          <w:p>
            <w:r>
              <w:t>B. Target architecture</w:t>
            </w:r>
          </w:p>
        </w:tc>
        <w:tc>
          <w:tcPr>
            <w:tcW w:type="dxa" w:w="6660"/>
            <w:vAlign w:val="top"/>
          </w:tcPr>
          <w:p>
            <w:r>
              <w:t>Repository topology, applications/packages, databases, identity, tenancy, event scope, shared contracts, deployment, local runtime and integration boundaries.</w:t>
            </w:r>
          </w:p>
        </w:tc>
      </w:tr>
      <w:tr>
        <w:tc>
          <w:tcPr>
            <w:tcW w:type="dxa" w:w="2700"/>
            <w:vAlign w:val="top"/>
          </w:tcPr>
          <w:p>
            <w:r>
              <w:t>C. Master phased plan</w:t>
            </w:r>
          </w:p>
        </w:tc>
        <w:tc>
          <w:tcPr>
            <w:tcW w:type="dxa" w:w="6660"/>
            <w:vAlign w:val="top"/>
          </w:tcPr>
          <w:p>
            <w:r>
              <w:t>Gates, phases, slices, dependencies, entry/exit criteria, owners and release blockers across all five products.</w:t>
            </w:r>
          </w:p>
        </w:tc>
      </w:tr>
      <w:tr>
        <w:tc>
          <w:tcPr>
            <w:tcW w:type="dxa" w:w="2700"/>
            <w:vAlign w:val="top"/>
          </w:tcPr>
          <w:p>
            <w:r>
              <w:t>D. Per-slice implementation specification</w:t>
            </w:r>
          </w:p>
        </w:tc>
        <w:tc>
          <w:tcPr>
            <w:tcW w:type="dxa" w:w="6660"/>
            <w:vAlign w:val="top"/>
          </w:tcPr>
          <w:p>
            <w:r>
              <w:t>Outcome, source references, current state, in/out scope, domain/data/API/UI/security/offline/integration/test/evidence requirements.</w:t>
            </w:r>
          </w:p>
        </w:tc>
      </w:tr>
      <w:tr>
        <w:tc>
          <w:tcPr>
            <w:tcW w:type="dxa" w:w="2700"/>
            <w:vAlign w:val="top"/>
          </w:tcPr>
          <w:p>
            <w:r>
              <w:t>E. File and commit manifest</w:t>
            </w:r>
          </w:p>
        </w:tc>
        <w:tc>
          <w:tcPr>
            <w:tcW w:type="dxa" w:w="6660"/>
            <w:vAlign w:val="top"/>
          </w:tcPr>
          <w:p>
            <w:r>
              <w:t>Existing files to inspect, files expected to add/change, migrations, tests, docs and one coherent commit boundary.</w:t>
            </w:r>
          </w:p>
        </w:tc>
      </w:tr>
      <w:tr>
        <w:tc>
          <w:tcPr>
            <w:tcW w:type="dxa" w:w="2700"/>
            <w:vAlign w:val="top"/>
          </w:tcPr>
          <w:p>
            <w:r>
              <w:t>F. Cursor prompt pack</w:t>
            </w:r>
          </w:p>
        </w:tc>
        <w:tc>
          <w:tcPr>
            <w:tcW w:type="dxa" w:w="6660"/>
            <w:vAlign w:val="top"/>
          </w:tcPr>
          <w:p>
            <w:r>
              <w:t>Directly pasteable prompts, one execution unit at a time, using the template in this document.</w:t>
            </w:r>
          </w:p>
        </w:tc>
      </w:tr>
      <w:tr>
        <w:tc>
          <w:tcPr>
            <w:tcW w:type="dxa" w:w="2700"/>
            <w:vAlign w:val="top"/>
          </w:tcPr>
          <w:p>
            <w:r>
              <w:t>G. Verification pack</w:t>
            </w:r>
          </w:p>
        </w:tc>
        <w:tc>
          <w:tcPr>
            <w:tcW w:type="dxa" w:w="6660"/>
            <w:vAlign w:val="top"/>
          </w:tcPr>
          <w:p>
            <w:r>
              <w:t>Post-build review template, automated commands, browser/live checks, evidence index and independent acceptance gates.</w:t>
            </w:r>
          </w:p>
        </w:tc>
      </w:tr>
      <w:tr>
        <w:tc>
          <w:tcPr>
            <w:tcW w:type="dxa" w:w="2700"/>
            <w:vAlign w:val="top"/>
          </w:tcPr>
          <w:p>
            <w:r>
              <w:t>H. Risk and decision registers</w:t>
            </w:r>
          </w:p>
        </w:tc>
        <w:tc>
          <w:tcPr>
            <w:tcW w:type="dxa" w:w="6660"/>
            <w:vAlign w:val="top"/>
          </w:tcPr>
          <w:p>
            <w:r>
              <w:t>Architecture, privacy, biometric, protocol, content, live validation, vendor and CEO decisions kept visible.</w:t>
            </w:r>
          </w:p>
        </w:tc>
      </w:tr>
    </w:tbl>
    <w:p>
      <w:pPr>
        <w:pStyle w:val="Heading1"/>
      </w:pPr>
      <w:r>
        <w:t>3. Repository evidence and immediate conclusions</w:t>
      </w:r>
    </w:p>
    <w:p>
      <w:pPr>
        <w:pStyle w:val="ListBullet"/>
      </w:pPr>
      <w:r>
        <w:t>The repository inventory reports ten top-level folders but enumerates nine named product/control folders; Claude must verify the actual root and account for the discrepancy.</w:t>
      </w:r>
    </w:p>
    <w:p>
      <w:pPr>
        <w:pStyle w:val="ListBullet"/>
      </w:pPr>
      <w:r>
        <w:t>The repository contains governance and specifications but no established application scaffold. Claude must not assume Next.js, monorepo, database, hosting or identity decisions merely from historic preferences.</w:t>
      </w:r>
    </w:p>
    <w:p>
      <w:pPr>
        <w:pStyle w:val="ListBullet"/>
      </w:pPr>
      <w:r>
        <w:t>Event-Day Runtime v2 is the only area with repository-readable contracts and a reference schema. These are starting contracts, not proof of integration with Event OS.</w:t>
      </w:r>
    </w:p>
    <w:p>
      <w:pPr>
        <w:pStyle w:val="ListBullet"/>
      </w:pPr>
      <w:r>
        <w:t>The document control pack includes recovered copies; product folders include possible authoritative originals. Claude must compare content/hash/version before choosing authority.</w:t>
      </w:r>
    </w:p>
    <w:p>
      <w:pPr>
        <w:pStyle w:val="ListBullet"/>
      </w:pPr>
      <w:r>
        <w:t>Files carrying “(1)” are suspected duplicates, not automatically safe to delete. Record and quarantine before any deletion proposal.</w:t>
      </w:r>
    </w:p>
    <w:p>
      <w:pPr>
        <w:pStyle w:val="ListBullet"/>
      </w:pPr>
      <w:r>
        <w:t>The strategic plan and comprehensive CEO handbook are doctrine inputs, not executable requirements by themselves.</w:t>
      </w:r>
    </w:p>
    <w:p>
      <w:pPr>
        <w:pStyle w:val="ListBullet"/>
      </w:pPr>
      <w:r>
        <w:t>Existing OS, Academy and Marketing prompt packs must be audited for depth against the Cursor contract; their existence does not authorise execution.</w:t>
      </w:r>
    </w:p>
    <w:p>
      <w:pPr>
        <w:pStyle w:val="Heading1"/>
      </w:pPr>
      <w:r>
        <w:t>4. Authority hierarchy Claude must establish</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900"/>
            <w:shd w:fill="E8EEF5"/>
            <w:vAlign w:val="center"/>
          </w:tcPr>
          <w:p>
            <w:r>
              <w:rPr>
                <w:b/>
              </w:rPr>
              <w:t>Priority</w:t>
            </w:r>
          </w:p>
        </w:tc>
        <w:tc>
          <w:tcPr>
            <w:tcW w:type="dxa" w:w="3400"/>
            <w:shd w:fill="E8EEF5"/>
            <w:vAlign w:val="center"/>
          </w:tcPr>
          <w:p>
            <w:r>
              <w:rPr>
                <w:b/>
              </w:rPr>
              <w:t>Source class</w:t>
            </w:r>
          </w:p>
        </w:tc>
        <w:tc>
          <w:tcPr>
            <w:tcW w:type="dxa" w:w="5060"/>
            <w:shd w:fill="E8EEF5"/>
            <w:vAlign w:val="center"/>
          </w:tcPr>
          <w:p>
            <w:r>
              <w:rPr>
                <w:b/>
              </w:rPr>
              <w:t>Treatment</w:t>
            </w:r>
          </w:p>
        </w:tc>
      </w:tr>
      <w:tr>
        <w:tc>
          <w:tcPr>
            <w:tcW w:type="dxa" w:w="900"/>
            <w:vAlign w:val="top"/>
          </w:tcPr>
          <w:p>
            <w:r>
              <w:t>1</w:t>
            </w:r>
          </w:p>
        </w:tc>
        <w:tc>
          <w:tcPr>
            <w:tcW w:type="dxa" w:w="3400"/>
            <w:vAlign w:val="top"/>
          </w:tcPr>
          <w:p>
            <w:r>
              <w:t>CEO-ratified canonical doctrine and explicit later CEO decisions</w:t>
            </w:r>
          </w:p>
        </w:tc>
        <w:tc>
          <w:tcPr>
            <w:tcW w:type="dxa" w:w="5060"/>
            <w:vAlign w:val="top"/>
          </w:tcPr>
          <w:p>
            <w:r>
              <w:t>Controlling unless unlawful or technically impossible; surface conflict immediately.</w:t>
            </w:r>
          </w:p>
        </w:tc>
      </w:tr>
      <w:tr>
        <w:tc>
          <w:tcPr>
            <w:tcW w:type="dxa" w:w="900"/>
            <w:vAlign w:val="top"/>
          </w:tcPr>
          <w:p>
            <w:r>
              <w:t>2</w:t>
            </w:r>
          </w:p>
        </w:tc>
        <w:tc>
          <w:tcPr>
            <w:tcW w:type="dxa" w:w="3400"/>
            <w:vAlign w:val="top"/>
          </w:tcPr>
          <w:p>
            <w:r>
              <w:t>Canonical product blueprint and ratified integration contracts</w:t>
            </w:r>
          </w:p>
        </w:tc>
        <w:tc>
          <w:tcPr>
            <w:tcW w:type="dxa" w:w="5060"/>
            <w:vAlign w:val="top"/>
          </w:tcPr>
          <w:p>
            <w:r>
              <w:t>Controls product behaviour and boundaries.</w:t>
            </w:r>
          </w:p>
        </w:tc>
      </w:tr>
      <w:tr>
        <w:tc>
          <w:tcPr>
            <w:tcW w:type="dxa" w:w="900"/>
            <w:vAlign w:val="top"/>
          </w:tcPr>
          <w:p>
            <w:r>
              <w:t>3</w:t>
            </w:r>
          </w:p>
        </w:tc>
        <w:tc>
          <w:tcPr>
            <w:tcW w:type="dxa" w:w="3400"/>
            <w:vAlign w:val="top"/>
          </w:tcPr>
          <w:p>
            <w:r>
              <w:t>Reconciliation/traceability registers</w:t>
            </w:r>
          </w:p>
        </w:tc>
        <w:tc>
          <w:tcPr>
            <w:tcW w:type="dxa" w:w="5060"/>
            <w:vAlign w:val="top"/>
          </w:tcPr>
          <w:p>
            <w:r>
              <w:t>Proves destination and exposes gaps; mapping is not implementation.</w:t>
            </w:r>
          </w:p>
        </w:tc>
      </w:tr>
      <w:tr>
        <w:tc>
          <w:tcPr>
            <w:tcW w:type="dxa" w:w="900"/>
            <w:vAlign w:val="top"/>
          </w:tcPr>
          <w:p>
            <w:r>
              <w:t>4</w:t>
            </w:r>
          </w:p>
        </w:tc>
        <w:tc>
          <w:tcPr>
            <w:tcW w:type="dxa" w:w="3400"/>
            <w:vAlign w:val="top"/>
          </w:tcPr>
          <w:p>
            <w:r>
              <w:t>Implementation specifications and accepted ADRs</w:t>
            </w:r>
          </w:p>
        </w:tc>
        <w:tc>
          <w:tcPr>
            <w:tcW w:type="dxa" w:w="5060"/>
            <w:vAlign w:val="top"/>
          </w:tcPr>
          <w:p>
            <w:r>
              <w:t>Controls how an approved requirement is built.</w:t>
            </w:r>
          </w:p>
        </w:tc>
      </w:tr>
      <w:tr>
        <w:tc>
          <w:tcPr>
            <w:tcW w:type="dxa" w:w="900"/>
            <w:vAlign w:val="top"/>
          </w:tcPr>
          <w:p>
            <w:r>
              <w:t>5</w:t>
            </w:r>
          </w:p>
        </w:tc>
        <w:tc>
          <w:tcPr>
            <w:tcW w:type="dxa" w:w="3400"/>
            <w:vAlign w:val="top"/>
          </w:tcPr>
          <w:p>
            <w:r>
              <w:t>Cursor prompt packs</w:t>
            </w:r>
          </w:p>
        </w:tc>
        <w:tc>
          <w:tcPr>
            <w:tcW w:type="dxa" w:w="5060"/>
            <w:vAlign w:val="top"/>
          </w:tcPr>
          <w:p>
            <w:r>
              <w:t>Execution vehicles only; regenerate when incomplete or contradictory.</w:t>
            </w:r>
          </w:p>
        </w:tc>
      </w:tr>
      <w:tr>
        <w:tc>
          <w:tcPr>
            <w:tcW w:type="dxa" w:w="900"/>
            <w:vAlign w:val="top"/>
          </w:tcPr>
          <w:p>
            <w:r>
              <w:t>6</w:t>
            </w:r>
          </w:p>
        </w:tc>
        <w:tc>
          <w:tcPr>
            <w:tcW w:type="dxa" w:w="3400"/>
            <w:vAlign w:val="top"/>
          </w:tcPr>
          <w:p>
            <w:r>
              <w:t>Recovered, duplicate, quick-reference and summary documents</w:t>
            </w:r>
          </w:p>
        </w:tc>
        <w:tc>
          <w:tcPr>
            <w:tcW w:type="dxa" w:w="5060"/>
            <w:vAlign w:val="top"/>
          </w:tcPr>
          <w:p>
            <w:r>
              <w:t>Context/evidence; never silently override a canonical source.</w:t>
            </w:r>
          </w:p>
        </w:tc>
      </w:tr>
      <w:tr>
        <w:tc>
          <w:tcPr>
            <w:tcW w:type="dxa" w:w="900"/>
            <w:vAlign w:val="top"/>
          </w:tcPr>
          <w:p>
            <w:r>
              <w:t>7</w:t>
            </w:r>
          </w:p>
        </w:tc>
        <w:tc>
          <w:tcPr>
            <w:tcW w:type="dxa" w:w="3400"/>
            <w:vAlign w:val="top"/>
          </w:tcPr>
          <w:p>
            <w:r>
              <w:t>Inventory descriptions</w:t>
            </w:r>
          </w:p>
        </w:tc>
        <w:tc>
          <w:tcPr>
            <w:tcW w:type="dxa" w:w="5060"/>
            <w:vAlign w:val="top"/>
          </w:tcPr>
          <w:p>
            <w:r>
              <w:t>Navigation aid only; Claude must open the actual file.</w:t>
            </w:r>
          </w:p>
        </w:tc>
      </w:tr>
    </w:tbl>
    <w:p>
      <w:r>
        <w:t>Claude must produce `DOCUMENT_AUTHORITY_REGISTER.md` with path, title, version, status, owner, hash, authority class, supersedes/superseded-by, conflicts and decision. It must not delete or rename source material during planning.</w:t>
      </w:r>
    </w:p>
    <w:p>
      <w:pPr>
        <w:pStyle w:val="Heading1"/>
      </w:pPr>
      <w:r>
        <w:t>5. Proposed target repository shape for Claude to validate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00"/>
            <w:shd w:fill="E8EEF5"/>
            <w:vAlign w:val="center"/>
          </w:tcPr>
          <w:p>
            <w:r>
              <w:rPr>
                <w:b/>
              </w:rPr>
              <w:t>Path</w:t>
            </w:r>
          </w:p>
        </w:tc>
        <w:tc>
          <w:tcPr>
            <w:tcW w:type="dxa" w:w="6960"/>
            <w:shd w:fill="E8EEF5"/>
            <w:vAlign w:val="center"/>
          </w:tcPr>
          <w:p>
            <w:r>
              <w:rPr>
                <w:b/>
              </w:rPr>
              <w:t>Responsibility</w:t>
            </w:r>
          </w:p>
        </w:tc>
      </w:tr>
      <w:tr>
        <w:tc>
          <w:tcPr>
            <w:tcW w:type="dxa" w:w="2400"/>
            <w:vAlign w:val="top"/>
          </w:tcPr>
          <w:p>
            <w:r>
              <w:t>apps/event-os</w:t>
            </w:r>
          </w:p>
        </w:tc>
        <w:tc>
          <w:tcPr>
            <w:tcW w:type="dxa" w:w="6960"/>
            <w:vAlign w:val="top"/>
          </w:tcPr>
          <w:p>
            <w:r>
              <w:t>Cloud planning, CRM/guest operations, event command and permanent reconciled record</w:t>
            </w:r>
          </w:p>
        </w:tc>
      </w:tr>
      <w:tr>
        <w:tc>
          <w:tcPr>
            <w:tcW w:type="dxa" w:w="2400"/>
            <w:vAlign w:val="top"/>
          </w:tcPr>
          <w:p>
            <w:r>
              <w:t>apps/academy</w:t>
            </w:r>
          </w:p>
        </w:tc>
        <w:tc>
          <w:tcPr>
            <w:tcW w:type="dxa" w:w="6960"/>
            <w:vAlign w:val="top"/>
          </w:tcPr>
          <w:p>
            <w:r>
              <w:t>Learning, assessment, certification, operational authorisation and content administration</w:t>
            </w:r>
          </w:p>
        </w:tc>
      </w:tr>
      <w:tr>
        <w:tc>
          <w:tcPr>
            <w:tcW w:type="dxa" w:w="2400"/>
            <w:vAlign w:val="top"/>
          </w:tcPr>
          <w:p>
            <w:r>
              <w:t>apps/marketing</w:t>
            </w:r>
          </w:p>
        </w:tc>
        <w:tc>
          <w:tcPr>
            <w:tcW w:type="dxa" w:w="6960"/>
            <w:vAlign w:val="top"/>
          </w:tcPr>
          <w:p>
            <w:r>
              <w:t>Strategy, audiences, campaigns, content, channels, experiments, attribution and governed AI assistance</w:t>
            </w:r>
          </w:p>
        </w:tc>
      </w:tr>
      <w:tr>
        <w:tc>
          <w:tcPr>
            <w:tcW w:type="dxa" w:w="2400"/>
            <w:vAlign w:val="top"/>
          </w:tcPr>
          <w:p>
            <w:r>
              <w:t>apps/usher-console</w:t>
            </w:r>
          </w:p>
        </w:tc>
        <w:tc>
          <w:tcPr>
            <w:tcW w:type="dxa" w:w="6960"/>
            <w:vAlign w:val="top"/>
          </w:tcPr>
          <w:p>
            <w:r>
              <w:t>Premium ushering deployment, posts, requests, service quality and offline-capable field surfaces</w:t>
            </w:r>
          </w:p>
        </w:tc>
      </w:tr>
      <w:tr>
        <w:tc>
          <w:tcPr>
            <w:tcW w:type="dxa" w:w="2400"/>
            <w:vAlign w:val="top"/>
          </w:tcPr>
          <w:p>
            <w:r>
              <w:t>apps/event-edge</w:t>
            </w:r>
          </w:p>
        </w:tc>
        <w:tc>
          <w:tcPr>
            <w:tcW w:type="dxa" w:w="6960"/>
            <w:vAlign w:val="top"/>
          </w:tcPr>
          <w:p>
            <w:r>
              <w:t>Locally deployed event-day server, PWA assets, event package, ledger, health and reconciliation export</w:t>
            </w:r>
          </w:p>
        </w:tc>
      </w:tr>
      <w:tr>
        <w:tc>
          <w:tcPr>
            <w:tcW w:type="dxa" w:w="2400"/>
            <w:vAlign w:val="top"/>
          </w:tcPr>
          <w:p>
            <w:r>
              <w:t>packages/contracts</w:t>
            </w:r>
          </w:p>
        </w:tc>
        <w:tc>
          <w:tcPr>
            <w:tcW w:type="dxa" w:w="6960"/>
            <w:vAlign w:val="top"/>
          </w:tcPr>
          <w:p>
            <w:r>
              <w:t>Versioned Zod/OpenAPI/event contracts; no application-specific imports</w:t>
            </w:r>
          </w:p>
        </w:tc>
      </w:tr>
      <w:tr>
        <w:tc>
          <w:tcPr>
            <w:tcW w:type="dxa" w:w="2400"/>
            <w:vAlign w:val="top"/>
          </w:tcPr>
          <w:p>
            <w:r>
              <w:t>packages/authz</w:t>
            </w:r>
          </w:p>
        </w:tc>
        <w:tc>
          <w:tcPr>
            <w:tcW w:type="dxa" w:w="6960"/>
            <w:vAlign w:val="top"/>
          </w:tcPr>
          <w:p>
            <w:r>
              <w:t>Server-side organisation/event/role/device/capability policy</w:t>
            </w:r>
          </w:p>
        </w:tc>
      </w:tr>
      <w:tr>
        <w:tc>
          <w:tcPr>
            <w:tcW w:type="dxa" w:w="2400"/>
            <w:vAlign w:val="top"/>
          </w:tcPr>
          <w:p>
            <w:r>
              <w:t>packages/domain</w:t>
            </w:r>
          </w:p>
        </w:tc>
        <w:tc>
          <w:tcPr>
            <w:tcW w:type="dxa" w:w="6960"/>
            <w:vAlign w:val="top"/>
          </w:tcPr>
          <w:p>
            <w:r>
              <w:t>Shared value objects and carefully governed cross-product primitives</w:t>
            </w:r>
          </w:p>
        </w:tc>
      </w:tr>
      <w:tr>
        <w:tc>
          <w:tcPr>
            <w:tcW w:type="dxa" w:w="2400"/>
            <w:vAlign w:val="top"/>
          </w:tcPr>
          <w:p>
            <w:r>
              <w:t>packages/ui</w:t>
            </w:r>
          </w:p>
        </w:tc>
        <w:tc>
          <w:tcPr>
            <w:tcW w:type="dxa" w:w="6960"/>
            <w:vAlign w:val="top"/>
          </w:tcPr>
          <w:p>
            <w:r>
              <w:t>Accessible design tokens/components; product themes remain configurable</w:t>
            </w:r>
          </w:p>
        </w:tc>
      </w:tr>
      <w:tr>
        <w:tc>
          <w:tcPr>
            <w:tcW w:type="dxa" w:w="2400"/>
            <w:vAlign w:val="top"/>
          </w:tcPr>
          <w:p>
            <w:r>
              <w:t>packages/observability</w:t>
            </w:r>
          </w:p>
        </w:tc>
        <w:tc>
          <w:tcPr>
            <w:tcW w:type="dxa" w:w="6960"/>
            <w:vAlign w:val="top"/>
          </w:tcPr>
          <w:p>
            <w:r>
              <w:t>Audit, correlation, health, evidence and redaction conventions</w:t>
            </w:r>
          </w:p>
        </w:tc>
      </w:tr>
      <w:tr>
        <w:tc>
          <w:tcPr>
            <w:tcW w:type="dxa" w:w="2400"/>
            <w:vAlign w:val="top"/>
          </w:tcPr>
          <w:p>
            <w:r>
              <w:t>packages/testing</w:t>
            </w:r>
          </w:p>
        </w:tc>
        <w:tc>
          <w:tcPr>
            <w:tcW w:type="dxa" w:w="6960"/>
            <w:vAlign w:val="top"/>
          </w:tcPr>
          <w:p>
            <w:r>
              <w:t>Factories, synthetic fixtures, contract and isolation harnesses</w:t>
            </w:r>
          </w:p>
        </w:tc>
      </w:tr>
      <w:tr>
        <w:tc>
          <w:tcPr>
            <w:tcW w:type="dxa" w:w="2400"/>
            <w:vAlign w:val="top"/>
          </w:tcPr>
          <w:p>
            <w:r>
              <w:t>infra</w:t>
            </w:r>
          </w:p>
        </w:tc>
        <w:tc>
          <w:tcPr>
            <w:tcW w:type="dxa" w:w="6960"/>
            <w:vAlign w:val="top"/>
          </w:tcPr>
          <w:p>
            <w:r>
              <w:t>Deployment, local cell, network examples, secrets interfaces, backup and recovery</w:t>
            </w:r>
          </w:p>
        </w:tc>
      </w:tr>
      <w:tr>
        <w:tc>
          <w:tcPr>
            <w:tcW w:type="dxa" w:w="2400"/>
            <w:vAlign w:val="top"/>
          </w:tcPr>
          <w:p>
            <w:r>
              <w:t>docs/control</w:t>
            </w:r>
          </w:p>
        </w:tc>
        <w:tc>
          <w:tcPr>
            <w:tcW w:type="dxa" w:w="6960"/>
            <w:vAlign w:val="top"/>
          </w:tcPr>
          <w:p>
            <w:r>
              <w:t>Authority register, current state, build ledger, decisions, traceability and evidence index</w:t>
            </w:r>
          </w:p>
        </w:tc>
      </w:tr>
      <w:tr>
        <w:tc>
          <w:tcPr>
            <w:tcW w:type="dxa" w:w="2400"/>
            <w:vAlign w:val="top"/>
          </w:tcPr>
          <w:p>
            <w:r>
              <w:t>docs/products</w:t>
            </w:r>
          </w:p>
        </w:tc>
        <w:tc>
          <w:tcPr>
            <w:tcW w:type="dxa" w:w="6960"/>
            <w:vAlign w:val="top"/>
          </w:tcPr>
          <w:p>
            <w:r>
              <w:t>Repository-readable canonical Markdown and accepted ADRs</w:t>
            </w:r>
          </w:p>
        </w:tc>
      </w:tr>
    </w:tbl>
    <w:p>
      <w:r>
        <w:t>This is a recommended monorepo shape, not a pre-decided technology choice. Claude must confirm whether one monorepo, separate repositories or a staged monorepo split best fits the actual environment. It must document the choice in an ADR before scaffolding.</w:t>
      </w:r>
    </w:p>
    <w:p>
      <w:pPr>
        <w:pStyle w:val="Heading1"/>
      </w:pPr>
      <w:r>
        <w:t>6. Cross-product system boundaries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00"/>
            <w:shd w:fill="E8EEF5"/>
            <w:vAlign w:val="center"/>
          </w:tcPr>
          <w:p>
            <w:r>
              <w:rPr>
                <w:b/>
              </w:rPr>
              <w:t>Producer</w:t>
            </w:r>
          </w:p>
        </w:tc>
        <w:tc>
          <w:tcPr>
            <w:tcW w:type="dxa" w:w="1900"/>
            <w:shd w:fill="E8EEF5"/>
            <w:vAlign w:val="center"/>
          </w:tcPr>
          <w:p>
            <w:r>
              <w:rPr>
                <w:b/>
              </w:rPr>
              <w:t>Consumer</w:t>
            </w:r>
          </w:p>
        </w:tc>
        <w:tc>
          <w:tcPr>
            <w:tcW w:type="dxa" w:w="5560"/>
            <w:shd w:fill="E8EEF5"/>
            <w:vAlign w:val="center"/>
          </w:tcPr>
          <w:p>
            <w:r>
              <w:rPr>
                <w:b/>
              </w:rPr>
              <w:t>Contract / rule</w:t>
            </w:r>
          </w:p>
        </w:tc>
      </w:tr>
      <w:tr>
        <w:tc>
          <w:tcPr>
            <w:tcW w:type="dxa" w:w="1900"/>
            <w:vAlign w:val="top"/>
          </w:tcPr>
          <w:p>
            <w:r>
              <w:t>Event OS</w:t>
            </w:r>
          </w:p>
        </w:tc>
        <w:tc>
          <w:tcPr>
            <w:tcW w:type="dxa" w:w="1900"/>
            <w:vAlign w:val="top"/>
          </w:tcPr>
          <w:p>
            <w:r>
              <w:t>Academy</w:t>
            </w:r>
          </w:p>
        </w:tc>
        <w:tc>
          <w:tcPr>
            <w:tcW w:type="dxa" w:w="5560"/>
            <w:vAlign w:val="top"/>
          </w:tcPr>
          <w:p>
            <w:r>
              <w:t>Role/competency requirements, event briefings and assignment needs; minimum necessary event context</w:t>
            </w:r>
          </w:p>
        </w:tc>
      </w:tr>
      <w:tr>
        <w:tc>
          <w:tcPr>
            <w:tcW w:type="dxa" w:w="1900"/>
            <w:vAlign w:val="top"/>
          </w:tcPr>
          <w:p>
            <w:r>
              <w:t>Academy</w:t>
            </w:r>
          </w:p>
        </w:tc>
        <w:tc>
          <w:tcPr>
            <w:tcW w:type="dxa" w:w="1900"/>
            <w:vAlign w:val="top"/>
          </w:tcPr>
          <w:p>
            <w:r>
              <w:t>Event OS</w:t>
            </w:r>
          </w:p>
        </w:tc>
        <w:tc>
          <w:tcPr>
            <w:tcW w:type="dxa" w:w="5560"/>
            <w:vAlign w:val="top"/>
          </w:tcPr>
          <w:p>
            <w:r>
              <w:t>Certification, expiry, suspension, practical authority and briefing completion; Event OS enforces deployment</w:t>
            </w:r>
          </w:p>
        </w:tc>
      </w:tr>
      <w:tr>
        <w:tc>
          <w:tcPr>
            <w:tcW w:type="dxa" w:w="1900"/>
            <w:vAlign w:val="top"/>
          </w:tcPr>
          <w:p>
            <w:r>
              <w:t>Event OS</w:t>
            </w:r>
          </w:p>
        </w:tc>
        <w:tc>
          <w:tcPr>
            <w:tcW w:type="dxa" w:w="1900"/>
            <w:vAlign w:val="top"/>
          </w:tcPr>
          <w:p>
            <w:r>
              <w:t>Marketing</w:t>
            </w:r>
          </w:p>
        </w:tc>
        <w:tc>
          <w:tcPr>
            <w:tcW w:type="dxa" w:w="5560"/>
            <w:vAlign w:val="top"/>
          </w:tcPr>
          <w:p>
            <w:r>
              <w:t>Approved event/service/product facts and consent-scoped outcomes; operational guest data is not automatically marketing data</w:t>
            </w:r>
          </w:p>
        </w:tc>
      </w:tr>
      <w:tr>
        <w:tc>
          <w:tcPr>
            <w:tcW w:type="dxa" w:w="1900"/>
            <w:vAlign w:val="top"/>
          </w:tcPr>
          <w:p>
            <w:r>
              <w:t>Marketing</w:t>
            </w:r>
          </w:p>
        </w:tc>
        <w:tc>
          <w:tcPr>
            <w:tcW w:type="dxa" w:w="1900"/>
            <w:vAlign w:val="top"/>
          </w:tcPr>
          <w:p>
            <w:r>
              <w:t>Event OS</w:t>
            </w:r>
          </w:p>
        </w:tc>
        <w:tc>
          <w:tcPr>
            <w:tcW w:type="dxa" w:w="5560"/>
            <w:vAlign w:val="top"/>
          </w:tcPr>
          <w:p>
            <w:r>
              <w:t>Qualified lead/client/campaign attribution through explicit CRM contract; no marketing automation mutates event command</w:t>
            </w:r>
          </w:p>
        </w:tc>
      </w:tr>
      <w:tr>
        <w:tc>
          <w:tcPr>
            <w:tcW w:type="dxa" w:w="1900"/>
            <w:vAlign w:val="top"/>
          </w:tcPr>
          <w:p>
            <w:r>
              <w:t>Event OS</w:t>
            </w:r>
          </w:p>
        </w:tc>
        <w:tc>
          <w:tcPr>
            <w:tcW w:type="dxa" w:w="1900"/>
            <w:vAlign w:val="top"/>
          </w:tcPr>
          <w:p>
            <w:r>
              <w:t>Ushering</w:t>
            </w:r>
          </w:p>
        </w:tc>
        <w:tc>
          <w:tcPr>
            <w:tcW w:type="dxa" w:w="5560"/>
            <w:vAlign w:val="top"/>
          </w:tcPr>
          <w:p>
            <w:r>
              <w:t>Event, venue, guest/table/route, posts, access and service-request package</w:t>
            </w:r>
          </w:p>
        </w:tc>
      </w:tr>
      <w:tr>
        <w:tc>
          <w:tcPr>
            <w:tcW w:type="dxa" w:w="1900"/>
            <w:vAlign w:val="top"/>
          </w:tcPr>
          <w:p>
            <w:r>
              <w:t>Ushering</w:t>
            </w:r>
          </w:p>
        </w:tc>
        <w:tc>
          <w:tcPr>
            <w:tcW w:type="dxa" w:w="1900"/>
            <w:vAlign w:val="top"/>
          </w:tcPr>
          <w:p>
            <w:r>
              <w:t>Event OS</w:t>
            </w:r>
          </w:p>
        </w:tc>
        <w:tc>
          <w:tcPr>
            <w:tcW w:type="dxa" w:w="5560"/>
            <w:vAlign w:val="top"/>
          </w:tcPr>
          <w:p>
            <w:r>
              <w:t>Post status, service requests, incidents, recovery and QA outcomes</w:t>
            </w:r>
          </w:p>
        </w:tc>
      </w:tr>
      <w:tr>
        <w:tc>
          <w:tcPr>
            <w:tcW w:type="dxa" w:w="1900"/>
            <w:vAlign w:val="top"/>
          </w:tcPr>
          <w:p>
            <w:r>
              <w:t>Event OS</w:t>
            </w:r>
          </w:p>
        </w:tc>
        <w:tc>
          <w:tcPr>
            <w:tcW w:type="dxa" w:w="1900"/>
            <w:vAlign w:val="top"/>
          </w:tcPr>
          <w:p>
            <w:r>
              <w:t>Event-Day Runtime</w:t>
            </w:r>
          </w:p>
        </w:tc>
        <w:tc>
          <w:tcPr>
            <w:tcW w:type="dxa" w:w="5560"/>
            <w:vAlign w:val="top"/>
          </w:tcPr>
          <w:p>
            <w:r>
              <w:t>Signed, event-scoped departmental package and device/user roster</w:t>
            </w:r>
          </w:p>
        </w:tc>
      </w:tr>
      <w:tr>
        <w:tc>
          <w:tcPr>
            <w:tcW w:type="dxa" w:w="1900"/>
            <w:vAlign w:val="top"/>
          </w:tcPr>
          <w:p>
            <w:r>
              <w:t>Event-Day Runtime</w:t>
            </w:r>
          </w:p>
        </w:tc>
        <w:tc>
          <w:tcPr>
            <w:tcW w:type="dxa" w:w="1900"/>
            <w:vAlign w:val="top"/>
          </w:tcPr>
          <w:p>
            <w:r>
              <w:t>Event OS</w:t>
            </w:r>
          </w:p>
        </w:tc>
        <w:tc>
          <w:tcPr>
            <w:tcW w:type="dxa" w:w="5560"/>
            <w:vAlign w:val="top"/>
          </w:tcPr>
          <w:p>
            <w:r>
              <w:t>Sealed immutable ledger, conflict-aware reconciliation and certificate</w:t>
            </w:r>
          </w:p>
        </w:tc>
      </w:tr>
      <w:tr>
        <w:tc>
          <w:tcPr>
            <w:tcW w:type="dxa" w:w="1900"/>
            <w:vAlign w:val="top"/>
          </w:tcPr>
          <w:p>
            <w:r>
              <w:t>Academy</w:t>
            </w:r>
          </w:p>
        </w:tc>
        <w:tc>
          <w:tcPr>
            <w:tcW w:type="dxa" w:w="1900"/>
            <w:vAlign w:val="top"/>
          </w:tcPr>
          <w:p>
            <w:r>
              <w:t>Ushering/Event runtime</w:t>
            </w:r>
          </w:p>
        </w:tc>
        <w:tc>
          <w:tcPr>
            <w:tcW w:type="dxa" w:w="5560"/>
            <w:vAlign w:val="top"/>
          </w:tcPr>
          <w:p>
            <w:r>
              <w:t>Current role-based competence and practical authorisation</w:t>
            </w:r>
          </w:p>
        </w:tc>
      </w:tr>
      <w:tr>
        <w:tc>
          <w:tcPr>
            <w:tcW w:type="dxa" w:w="1900"/>
            <w:vAlign w:val="top"/>
          </w:tcPr>
          <w:p>
            <w:r>
              <w:t>FaceGate</w:t>
            </w:r>
          </w:p>
        </w:tc>
        <w:tc>
          <w:tcPr>
            <w:tcW w:type="dxa" w:w="1900"/>
            <w:vAlign w:val="top"/>
          </w:tcPr>
          <w:p>
            <w:r>
              <w:t>Event-Day Runtime</w:t>
            </w:r>
          </w:p>
        </w:tc>
        <w:tc>
          <w:tcPr>
            <w:tcW w:type="dxa" w:w="5560"/>
            <w:vAlign w:val="top"/>
          </w:tcPr>
          <w:p>
            <w:r>
              <w:t>Signed short-lived return candidate only; never first check-in or autonomous admission</w:t>
            </w:r>
          </w:p>
        </w:tc>
      </w:tr>
    </w:tbl>
    <w:p>
      <w:pPr>
        <w:pStyle w:val="Heading1"/>
      </w:pPr>
      <w:r>
        <w:t>7. Dependency-led implementation programme Claude must refine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900"/>
            <w:shd w:fill="E8EEF5"/>
            <w:vAlign w:val="center"/>
          </w:tcPr>
          <w:p>
            <w:r>
              <w:rPr>
                <w:b/>
              </w:rPr>
              <w:t>Gate</w:t>
            </w:r>
          </w:p>
        </w:tc>
        <w:tc>
          <w:tcPr>
            <w:tcW w:type="dxa" w:w="2200"/>
            <w:shd w:fill="E8EEF5"/>
            <w:vAlign w:val="center"/>
          </w:tcPr>
          <w:p>
            <w:r>
              <w:rPr>
                <w:b/>
              </w:rPr>
              <w:t>Depends on</w:t>
            </w:r>
          </w:p>
        </w:tc>
        <w:tc>
          <w:tcPr>
            <w:tcW w:type="dxa" w:w="6260"/>
            <w:shd w:fill="E8EEF5"/>
            <w:vAlign w:val="center"/>
          </w:tcPr>
          <w:p>
            <w:r>
              <w:rPr>
                <w:b/>
              </w:rPr>
              <w:t>Required outcome</w:t>
            </w:r>
          </w:p>
        </w:tc>
      </w:tr>
      <w:tr>
        <w:tc>
          <w:tcPr>
            <w:tcW w:type="dxa" w:w="900"/>
            <w:vAlign w:val="top"/>
          </w:tcPr>
          <w:p>
            <w:r>
              <w:t>G0</w:t>
            </w:r>
          </w:p>
        </w:tc>
        <w:tc>
          <w:tcPr>
            <w:tcW w:type="dxa" w:w="2200"/>
            <w:vAlign w:val="top"/>
          </w:tcPr>
          <w:p>
            <w:r>
              <w:t>Authority and repository truth</w:t>
            </w:r>
          </w:p>
        </w:tc>
        <w:tc>
          <w:tcPr>
            <w:tcW w:type="dxa" w:w="6260"/>
            <w:vAlign w:val="top"/>
          </w:tcPr>
          <w:p>
            <w:r>
              <w:t>No code — Document authority, duplicate quarantine, constraints, decisions and baseline</w:t>
            </w:r>
          </w:p>
        </w:tc>
      </w:tr>
      <w:tr>
        <w:tc>
          <w:tcPr>
            <w:tcW w:type="dxa" w:w="900"/>
            <w:vAlign w:val="top"/>
          </w:tcPr>
          <w:p>
            <w:r>
              <w:t>G1</w:t>
            </w:r>
          </w:p>
        </w:tc>
        <w:tc>
          <w:tcPr>
            <w:tcW w:type="dxa" w:w="2200"/>
            <w:vAlign w:val="top"/>
          </w:tcPr>
          <w:p>
            <w:r>
              <w:t>Engineering foundation</w:t>
            </w:r>
          </w:p>
        </w:tc>
        <w:tc>
          <w:tcPr>
            <w:tcW w:type="dxa" w:w="6260"/>
            <w:vAlign w:val="top"/>
          </w:tcPr>
          <w:p>
            <w:r>
              <w:t>G0 — Workspace, CI, environments, coding standards, shared contracts, observability and test harness</w:t>
            </w:r>
          </w:p>
        </w:tc>
      </w:tr>
      <w:tr>
        <w:tc>
          <w:tcPr>
            <w:tcW w:type="dxa" w:w="900"/>
            <w:vAlign w:val="top"/>
          </w:tcPr>
          <w:p>
            <w:r>
              <w:t>G2</w:t>
            </w:r>
          </w:p>
        </w:tc>
        <w:tc>
          <w:tcPr>
            <w:tcW w:type="dxa" w:w="2200"/>
            <w:vAlign w:val="top"/>
          </w:tcPr>
          <w:p>
            <w:r>
              <w:t>Identity, tenancy and governance kernel</w:t>
            </w:r>
          </w:p>
        </w:tc>
        <w:tc>
          <w:tcPr>
            <w:tcW w:type="dxa" w:w="6260"/>
            <w:vAlign w:val="top"/>
          </w:tcPr>
          <w:p>
            <w:r>
              <w:t>G1 — Organisation/event scope, users, roles, permissions, approvals, audit and feature flags</w:t>
            </w:r>
          </w:p>
        </w:tc>
      </w:tr>
      <w:tr>
        <w:tc>
          <w:tcPr>
            <w:tcW w:type="dxa" w:w="900"/>
            <w:vAlign w:val="top"/>
          </w:tcPr>
          <w:p>
            <w:r>
              <w:t>G3</w:t>
            </w:r>
          </w:p>
        </w:tc>
        <w:tc>
          <w:tcPr>
            <w:tcW w:type="dxa" w:w="2200"/>
            <w:vAlign w:val="top"/>
          </w:tcPr>
          <w:p>
            <w:r>
              <w:t>Event OS foundational domains</w:t>
            </w:r>
          </w:p>
        </w:tc>
        <w:tc>
          <w:tcPr>
            <w:tcW w:type="dxa" w:w="6260"/>
            <w:vAlign w:val="top"/>
          </w:tcPr>
          <w:p>
            <w:r>
              <w:t>G2 — Clients, events, guests, venues, suppliers, staffing, schedules and readiness</w:t>
            </w:r>
          </w:p>
        </w:tc>
      </w:tr>
      <w:tr>
        <w:tc>
          <w:tcPr>
            <w:tcW w:type="dxa" w:w="900"/>
            <w:vAlign w:val="top"/>
          </w:tcPr>
          <w:p>
            <w:r>
              <w:t>G4</w:t>
            </w:r>
          </w:p>
        </w:tc>
        <w:tc>
          <w:tcPr>
            <w:tcW w:type="dxa" w:w="2200"/>
            <w:vAlign w:val="top"/>
          </w:tcPr>
          <w:p>
            <w:r>
              <w:t>Event OS operational command</w:t>
            </w:r>
          </w:p>
        </w:tc>
        <w:tc>
          <w:tcPr>
            <w:tcW w:type="dxa" w:w="6260"/>
            <w:vAlign w:val="top"/>
          </w:tcPr>
          <w:p>
            <w:r>
              <w:t>G3 — Seating/access, requests, incidents, critical moments, dashboards and intelligence boundaries</w:t>
            </w:r>
          </w:p>
        </w:tc>
      </w:tr>
      <w:tr>
        <w:tc>
          <w:tcPr>
            <w:tcW w:type="dxa" w:w="900"/>
            <w:vAlign w:val="top"/>
          </w:tcPr>
          <w:p>
            <w:r>
              <w:t>G5</w:t>
            </w:r>
          </w:p>
        </w:tc>
        <w:tc>
          <w:tcPr>
            <w:tcW w:type="dxa" w:w="2200"/>
            <w:vAlign w:val="top"/>
          </w:tcPr>
          <w:p>
            <w:r>
              <w:t>Academy foundation and content governance</w:t>
            </w:r>
          </w:p>
        </w:tc>
        <w:tc>
          <w:tcPr>
            <w:tcW w:type="dxa" w:w="6260"/>
            <w:vAlign w:val="top"/>
          </w:tcPr>
          <w:p>
            <w:r>
              <w:t>G2 — Learners, roles, competencies, curricula, content, versioning and administration</w:t>
            </w:r>
          </w:p>
        </w:tc>
      </w:tr>
      <w:tr>
        <w:tc>
          <w:tcPr>
            <w:tcW w:type="dxa" w:w="900"/>
            <w:vAlign w:val="top"/>
          </w:tcPr>
          <w:p>
            <w:r>
              <w:t>G6</w:t>
            </w:r>
          </w:p>
        </w:tc>
        <w:tc>
          <w:tcPr>
            <w:tcW w:type="dxa" w:w="2200"/>
            <w:vAlign w:val="top"/>
          </w:tcPr>
          <w:p>
            <w:r>
              <w:t>Academy assessment and authorisation</w:t>
            </w:r>
          </w:p>
        </w:tc>
        <w:tc>
          <w:tcPr>
            <w:tcW w:type="dxa" w:w="6260"/>
            <w:vAlign w:val="top"/>
          </w:tcPr>
          <w:p>
            <w:r>
              <w:t>G5 — Question bank, practicals, assessors, certification, expiry, suspension and OS contract</w:t>
            </w:r>
          </w:p>
        </w:tc>
      </w:tr>
      <w:tr>
        <w:tc>
          <w:tcPr>
            <w:tcW w:type="dxa" w:w="900"/>
            <w:vAlign w:val="top"/>
          </w:tcPr>
          <w:p>
            <w:r>
              <w:t>G7</w:t>
            </w:r>
          </w:p>
        </w:tc>
        <w:tc>
          <w:tcPr>
            <w:tcW w:type="dxa" w:w="2200"/>
            <w:vAlign w:val="top"/>
          </w:tcPr>
          <w:p>
            <w:r>
              <w:t>Marketing OS</w:t>
            </w:r>
          </w:p>
        </w:tc>
        <w:tc>
          <w:tcPr>
            <w:tcW w:type="dxa" w:w="6260"/>
            <w:vAlign w:val="top"/>
          </w:tcPr>
          <w:p>
            <w:r>
              <w:t>G1/G2 + approved CRM boundary — Strategy, brand, audience, campaigns, content, workflow, channels, experiments, analytics and AI governance</w:t>
            </w:r>
          </w:p>
        </w:tc>
      </w:tr>
      <w:tr>
        <w:tc>
          <w:tcPr>
            <w:tcW w:type="dxa" w:w="900"/>
            <w:vAlign w:val="top"/>
          </w:tcPr>
          <w:p>
            <w:r>
              <w:t>G8</w:t>
            </w:r>
          </w:p>
        </w:tc>
        <w:tc>
          <w:tcPr>
            <w:tcW w:type="dxa" w:w="2200"/>
            <w:vAlign w:val="top"/>
          </w:tcPr>
          <w:p>
            <w:r>
              <w:t>Premium Ushering</w:t>
            </w:r>
          </w:p>
        </w:tc>
        <w:tc>
          <w:tcPr>
            <w:tcW w:type="dxa" w:w="6260"/>
            <w:vAlign w:val="top"/>
          </w:tcPr>
          <w:p>
            <w:r>
              <w:t>G3/G4/G6 — Staffing/zoning, post plans, service requests, radios/pagers, field/manual workflows, QA and Academy module</w:t>
            </w:r>
          </w:p>
        </w:tc>
      </w:tr>
      <w:tr>
        <w:tc>
          <w:tcPr>
            <w:tcW w:type="dxa" w:w="900"/>
            <w:vAlign w:val="top"/>
          </w:tcPr>
          <w:p>
            <w:r>
              <w:t>G9</w:t>
            </w:r>
          </w:p>
        </w:tc>
        <w:tc>
          <w:tcPr>
            <w:tcW w:type="dxa" w:w="2200"/>
            <w:vAlign w:val="top"/>
          </w:tcPr>
          <w:p>
            <w:r>
              <w:t>Event-Day Runtime core</w:t>
            </w:r>
          </w:p>
        </w:tc>
        <w:tc>
          <w:tcPr>
            <w:tcW w:type="dxa" w:w="6260"/>
            <w:vAlign w:val="top"/>
          </w:tcPr>
          <w:p>
            <w:r>
              <w:t>G2/G3/G4 — Signed package, device profiles, local identity, ledger, PWA/scanning/surfaces, LAN health and fallback</w:t>
            </w:r>
          </w:p>
        </w:tc>
      </w:tr>
      <w:tr>
        <w:tc>
          <w:tcPr>
            <w:tcW w:type="dxa" w:w="900"/>
            <w:vAlign w:val="top"/>
          </w:tcPr>
          <w:p>
            <w:r>
              <w:t>G10</w:t>
            </w:r>
          </w:p>
        </w:tc>
        <w:tc>
          <w:tcPr>
            <w:tcW w:type="dxa" w:w="2200"/>
            <w:vAlign w:val="top"/>
          </w:tcPr>
          <w:p>
            <w:r>
              <w:t>FaceGate and optional peripherals</w:t>
            </w:r>
          </w:p>
        </w:tc>
        <w:tc>
          <w:tcPr>
            <w:tcW w:type="dxa" w:w="6260"/>
            <w:vAlign w:val="top"/>
          </w:tcPr>
          <w:p>
            <w:r>
              <w:t>G9 + external authority — Post-check-in consented enrolment; return-only assertion; hardware adapters</w:t>
            </w:r>
          </w:p>
        </w:tc>
      </w:tr>
      <w:tr>
        <w:tc>
          <w:tcPr>
            <w:tcW w:type="dxa" w:w="900"/>
            <w:vAlign w:val="top"/>
          </w:tcPr>
          <w:p>
            <w:r>
              <w:t>G11</w:t>
            </w:r>
          </w:p>
        </w:tc>
        <w:tc>
          <w:tcPr>
            <w:tcW w:type="dxa" w:w="2200"/>
            <w:vAlign w:val="top"/>
          </w:tcPr>
          <w:p>
            <w:r>
              <w:t>Reconciliation and change propagation</w:t>
            </w:r>
          </w:p>
        </w:tc>
        <w:tc>
          <w:tcPr>
            <w:tcW w:type="dxa" w:w="6260"/>
            <w:vAlign w:val="top"/>
          </w:tcPr>
          <w:p>
            <w:r>
              <w:t>G4/G6/G7/G8/G9 — Cross-system contracts, idempotency, doctrine/content impact and certification reassignment</w:t>
            </w:r>
          </w:p>
        </w:tc>
      </w:tr>
      <w:tr>
        <w:tc>
          <w:tcPr>
            <w:tcW w:type="dxa" w:w="900"/>
            <w:vAlign w:val="top"/>
          </w:tcPr>
          <w:p>
            <w:r>
              <w:t>G12</w:t>
            </w:r>
          </w:p>
        </w:tc>
        <w:tc>
          <w:tcPr>
            <w:tcW w:type="dxa" w:w="2200"/>
            <w:vAlign w:val="top"/>
          </w:tcPr>
          <w:p>
            <w:r>
              <w:t>System acceptance and release</w:t>
            </w:r>
          </w:p>
        </w:tc>
        <w:tc>
          <w:tcPr>
            <w:tcW w:type="dxa" w:w="6260"/>
            <w:vAlign w:val="top"/>
          </w:tcPr>
          <w:p>
            <w:r>
              <w:t>All — Security, accessibility, performance, offline, venue, rehearsal, pilot, independent acceptance and CEO release</w:t>
            </w:r>
          </w:p>
        </w:tc>
      </w:tr>
    </w:tbl>
    <w:p>
      <w:r>
        <w:t>Claude may overlap independent work only after shared contracts and authority are stable. It must identify the critical path and must not build Event-Day Runtime projections before the corresponding Event OS domains have canonical IDs, schemas and version semantics.</w:t>
      </w:r>
    </w:p>
    <w:p>
      <w:pPr>
        <w:pStyle w:val="Heading1"/>
      </w:pPr>
      <w:r>
        <w:t>8. Product-specific planning instructions</w:t>
      </w:r>
    </w:p>
    <w:p>
      <w:pPr>
        <w:pStyle w:val="Heading2"/>
      </w:pPr>
      <w:r>
        <w:t>8.1 Event OS</w:t>
      </w:r>
    </w:p>
    <w:p>
      <w:pPr>
        <w:pStyle w:val="ListBullet"/>
      </w:pPr>
      <w:r>
        <w:t>Read the canonical build blueprint, master build index, intelligence specification, reconciliation bundle, all 12 implementation plans and all 12 prompt packs.</w:t>
      </w:r>
    </w:p>
    <w:p>
      <w:pPr>
        <w:pStyle w:val="ListBullet"/>
      </w:pPr>
      <w:r>
        <w:t>Create a slice reconciliation table: original slice, current repository reality, retained requirement, missing requirement, new event-day/usher/marketing dependency and revised slice.</w:t>
      </w:r>
    </w:p>
    <w:p>
      <w:pPr>
        <w:pStyle w:val="ListBullet"/>
      </w:pPr>
      <w:r>
        <w:t>Preserve human authority: AI may recommend; authorised roles decide.</w:t>
      </w:r>
    </w:p>
    <w:p>
      <w:pPr>
        <w:pStyle w:val="ListBullet"/>
      </w:pPr>
      <w:r>
        <w:t>Require complete web surfaces and server-side isolation in every operational slice.</w:t>
      </w:r>
    </w:p>
    <w:p>
      <w:pPr>
        <w:pStyle w:val="ListBullet"/>
      </w:pPr>
      <w:r>
        <w:t>Treat the Event OS as the permanent record after reconciliation, not as an always-online event-day dependency.</w:t>
      </w:r>
    </w:p>
    <w:p>
      <w:pPr>
        <w:pStyle w:val="Heading2"/>
      </w:pPr>
      <w:r>
        <w:t>8.2 Academy</w:t>
      </w:r>
    </w:p>
    <w:p>
      <w:pPr>
        <w:pStyle w:val="ListBullet"/>
      </w:pPr>
      <w:r>
        <w:t>Read all numbered specifications, Gate 0, Slices 01–16, reconciliation prompt, ushering reconciliation and Academy–OS contract.</w:t>
      </w:r>
    </w:p>
    <w:p>
      <w:pPr>
        <w:pStyle w:val="ListBullet"/>
      </w:pPr>
      <w:r>
        <w:t>Separate architecture from unfinished courseware; define content-production slices as real deliverables.</w:t>
      </w:r>
    </w:p>
    <w:p>
      <w:pPr>
        <w:pStyle w:val="ListBullet"/>
      </w:pPr>
      <w:r>
        <w:t>Trace every operational competency to lesson, scenario, question, practical, rubric, assessor guidance, remediation and certification rule.</w:t>
      </w:r>
    </w:p>
    <w:p>
      <w:pPr>
        <w:pStyle w:val="ListBullet"/>
      </w:pPr>
      <w:r>
        <w:t>Implement certification expiry/suspension and signed readiness consumed by Event OS and event packages.</w:t>
      </w:r>
    </w:p>
    <w:p>
      <w:pPr>
        <w:pStyle w:val="ListBullet"/>
      </w:pPr>
      <w:r>
        <w:t>Add Event-Day Local Operations and Premium Ushering paths without duplicating canonical doctrine.</w:t>
      </w:r>
    </w:p>
    <w:p>
      <w:pPr>
        <w:pStyle w:val="Heading2"/>
      </w:pPr>
      <w:r>
        <w:t>8.3 Marketing OS</w:t>
      </w:r>
    </w:p>
    <w:p>
      <w:pPr>
        <w:pStyle w:val="ListBullet"/>
      </w:pPr>
      <w:r>
        <w:t>Read all seven Marketing documents and audit M0–M11 for production depth.</w:t>
      </w:r>
    </w:p>
    <w:p>
      <w:pPr>
        <w:pStyle w:val="ListBullet"/>
      </w:pPr>
      <w:r>
        <w:t>Maintain strict marketing consent/purpose boundaries; event attendance or guest data does not imply marketing permission.</w:t>
      </w:r>
    </w:p>
    <w:p>
      <w:pPr>
        <w:pStyle w:val="ListBullet"/>
      </w:pPr>
      <w:r>
        <w:t>Plan human approvals for brand, claims, spend, publication and sensitive outreach.</w:t>
      </w:r>
    </w:p>
    <w:p>
      <w:pPr>
        <w:pStyle w:val="ListBullet"/>
      </w:pPr>
      <w:r>
        <w:t>Require channel adapters, rate/permission controls, experiment design, attribution uncertainty and governed AI evidence.</w:t>
      </w:r>
    </w:p>
    <w:p>
      <w:pPr>
        <w:pStyle w:val="ListBullet"/>
      </w:pPr>
      <w:r>
        <w:t>Marketing may consume approved commercial signals but must not control event admission, operations or Academy certification.</w:t>
      </w:r>
    </w:p>
    <w:p>
      <w:pPr>
        <w:pStyle w:val="Heading2"/>
      </w:pPr>
      <w:r>
        <w:t>8.4 Premium Ushering</w:t>
      </w:r>
    </w:p>
    <w:p>
      <w:pPr>
        <w:pStyle w:val="ListBullet"/>
      </w:pPr>
      <w:r>
        <w:t>Read all 12 documents; treat the canonical operating system and Event OS traceability register as primary.</w:t>
      </w:r>
    </w:p>
    <w:p>
      <w:pPr>
        <w:pStyle w:val="ListBullet"/>
      </w:pPr>
      <w:r>
        <w:t>Build the field service model around posts, zones, routes, table/pager mapping, requests, acknowledgement, transfer, escalation, relief and QA.</w:t>
      </w:r>
    </w:p>
    <w:p>
      <w:pPr>
        <w:pStyle w:val="ListBullet"/>
      </w:pPr>
      <w:r>
        <w:t>Support app/PWA, radio/pager and fully printable modes; no single communications channel may be the sole operating method.</w:t>
      </w:r>
    </w:p>
    <w:p>
      <w:pPr>
        <w:pStyle w:val="ListBullet"/>
      </w:pPr>
      <w:r>
        <w:t>Connect staff eligibility to Academy and operational records to Event OS.</w:t>
      </w:r>
    </w:p>
    <w:p>
      <w:pPr>
        <w:pStyle w:val="ListBullet"/>
      </w:pPr>
      <w:r>
        <w:t>Keep the user experience discreet, premium and guest-centred under degradation.</w:t>
      </w:r>
    </w:p>
    <w:p>
      <w:pPr>
        <w:pStyle w:val="Heading2"/>
      </w:pPr>
      <w:r>
        <w:t>8.5 Event-Day Runtime</w:t>
      </w:r>
    </w:p>
    <w:p>
      <w:pPr>
        <w:pStyle w:val="ListBullet"/>
      </w:pPr>
      <w:r>
        <w:t>Use v2 controlled documents and repository specifications; the earlier v1 pack is superseded.</w:t>
      </w:r>
    </w:p>
    <w:p>
      <w:pPr>
        <w:pStyle w:val="ListBullet"/>
      </w:pPr>
      <w:r>
        <w:t>Audit R0–R23 against the actual architecture; do not paste reference SQL into production unchanged.</w:t>
      </w:r>
    </w:p>
    <w:p>
      <w:pPr>
        <w:pStyle w:val="ListBullet"/>
      </w:pPr>
      <w:r>
        <w:t>Implement twenty departmental projections, device profile generation, scan surfaces, single-writer ledger and deterministic reconciliation.</w:t>
      </w:r>
    </w:p>
    <w:p>
      <w:pPr>
        <w:pStyle w:val="ListBullet"/>
      </w:pPr>
      <w:r>
        <w:t>Initial check-in is human-authorised. FaceGate enrolment may follow consent; FaceGate is return-recognition support only.</w:t>
      </w:r>
    </w:p>
    <w:p>
      <w:pPr>
        <w:pStyle w:val="ListBullet"/>
      </w:pPr>
      <w:r>
        <w:t>Core runtime must cold-start and operate with every WAN route physically or logically removed.</w:t>
      </w:r>
    </w:p>
    <w:p>
      <w:pPr>
        <w:pStyle w:val="Heading1"/>
      </w:pPr>
      <w:r>
        <w:t>9. Required slice anatomy</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800"/>
            <w:shd w:fill="E8EEF5"/>
            <w:vAlign w:val="center"/>
          </w:tcPr>
          <w:p>
            <w:r>
              <w:rPr>
                <w:b/>
              </w:rPr>
              <w:t>Section</w:t>
            </w:r>
          </w:p>
        </w:tc>
        <w:tc>
          <w:tcPr>
            <w:tcW w:type="dxa" w:w="7560"/>
            <w:shd w:fill="E8EEF5"/>
            <w:vAlign w:val="center"/>
          </w:tcPr>
          <w:p>
            <w:r>
              <w:rPr>
                <w:b/>
              </w:rPr>
              <w:t>Claude must define</w:t>
            </w:r>
          </w:p>
        </w:tc>
      </w:tr>
      <w:tr>
        <w:tc>
          <w:tcPr>
            <w:tcW w:type="dxa" w:w="1800"/>
            <w:vAlign w:val="top"/>
          </w:tcPr>
          <w:p>
            <w:r>
              <w:t>Identity</w:t>
            </w:r>
          </w:p>
        </w:tc>
        <w:tc>
          <w:tcPr>
            <w:tcW w:type="dxa" w:w="7560"/>
            <w:vAlign w:val="top"/>
          </w:tcPr>
          <w:p>
            <w:r>
              <w:t>Product, gate, phase, slice ID, title, owner, dependencies and estimated review complexity</w:t>
            </w:r>
          </w:p>
        </w:tc>
      </w:tr>
      <w:tr>
        <w:tc>
          <w:tcPr>
            <w:tcW w:type="dxa" w:w="1800"/>
            <w:vAlign w:val="top"/>
          </w:tcPr>
          <w:p>
            <w:r>
              <w:t>Authority</w:t>
            </w:r>
          </w:p>
        </w:tc>
        <w:tc>
          <w:tcPr>
            <w:tcW w:type="dxa" w:w="7560"/>
            <w:vAlign w:val="top"/>
          </w:tcPr>
          <w:p>
            <w:r>
              <w:t>Exact canonical paths/sections/doctrine IDs and accepted ADRs</w:t>
            </w:r>
          </w:p>
        </w:tc>
      </w:tr>
      <w:tr>
        <w:tc>
          <w:tcPr>
            <w:tcW w:type="dxa" w:w="1800"/>
            <w:vAlign w:val="top"/>
          </w:tcPr>
          <w:p>
            <w:r>
              <w:t>Current state</w:t>
            </w:r>
          </w:p>
        </w:tc>
        <w:tc>
          <w:tcPr>
            <w:tcW w:type="dxa" w:w="7560"/>
            <w:vAlign w:val="top"/>
          </w:tcPr>
          <w:p>
            <w:r>
              <w:t>Files/code/tests actually present; evidence and gaps</w:t>
            </w:r>
          </w:p>
        </w:tc>
      </w:tr>
      <w:tr>
        <w:tc>
          <w:tcPr>
            <w:tcW w:type="dxa" w:w="1800"/>
            <w:vAlign w:val="top"/>
          </w:tcPr>
          <w:p>
            <w:r>
              <w:t>Outcome</w:t>
            </w:r>
          </w:p>
        </w:tc>
        <w:tc>
          <w:tcPr>
            <w:tcW w:type="dxa" w:w="7560"/>
            <w:vAlign w:val="top"/>
          </w:tcPr>
          <w:p>
            <w:r>
              <w:t>One observable end state expressed in user and system terms</w:t>
            </w:r>
          </w:p>
        </w:tc>
      </w:tr>
      <w:tr>
        <w:tc>
          <w:tcPr>
            <w:tcW w:type="dxa" w:w="1800"/>
            <w:vAlign w:val="top"/>
          </w:tcPr>
          <w:p>
            <w:r>
              <w:t>Scope/non-goals</w:t>
            </w:r>
          </w:p>
        </w:tc>
        <w:tc>
          <w:tcPr>
            <w:tcW w:type="dxa" w:w="7560"/>
            <w:vAlign w:val="top"/>
          </w:tcPr>
          <w:p>
            <w:r>
              <w:t>Included domains and explicit exclusions</w:t>
            </w:r>
          </w:p>
        </w:tc>
      </w:tr>
      <w:tr>
        <w:tc>
          <w:tcPr>
            <w:tcW w:type="dxa" w:w="1800"/>
            <w:vAlign w:val="top"/>
          </w:tcPr>
          <w:p>
            <w:r>
              <w:t>Domain/data</w:t>
            </w:r>
          </w:p>
        </w:tc>
        <w:tc>
          <w:tcPr>
            <w:tcW w:type="dxa" w:w="7560"/>
            <w:vAlign w:val="top"/>
          </w:tcPr>
          <w:p>
            <w:r>
              <w:t>Entities, invariants, state machines, Zod types, schema/migration/index/retention</w:t>
            </w:r>
          </w:p>
        </w:tc>
      </w:tr>
      <w:tr>
        <w:tc>
          <w:tcPr>
            <w:tcW w:type="dxa" w:w="1800"/>
            <w:vAlign w:val="top"/>
          </w:tcPr>
          <w:p>
            <w:r>
              <w:t>Services/API/events</w:t>
            </w:r>
          </w:p>
        </w:tc>
        <w:tc>
          <w:tcPr>
            <w:tcW w:type="dxa" w:w="7560"/>
            <w:vAlign w:val="top"/>
          </w:tcPr>
          <w:p>
            <w:r>
              <w:t>Commands, queries, idempotency, versions, errors and integration contract</w:t>
            </w:r>
          </w:p>
        </w:tc>
      </w:tr>
      <w:tr>
        <w:tc>
          <w:tcPr>
            <w:tcW w:type="dxa" w:w="1800"/>
            <w:vAlign w:val="top"/>
          </w:tcPr>
          <w:p>
            <w:r>
              <w:t>Security</w:t>
            </w:r>
          </w:p>
        </w:tc>
        <w:tc>
          <w:tcPr>
            <w:tcW w:type="dxa" w:w="7560"/>
            <w:vAlign w:val="top"/>
          </w:tcPr>
          <w:p>
            <w:r>
              <w:t>Authentication, server-side scope, role/device/capability, audit, privacy and abuse cases</w:t>
            </w:r>
          </w:p>
        </w:tc>
      </w:tr>
      <w:tr>
        <w:tc>
          <w:tcPr>
            <w:tcW w:type="dxa" w:w="1800"/>
            <w:vAlign w:val="top"/>
          </w:tcPr>
          <w:p>
            <w:r>
              <w:t>Frontend</w:t>
            </w:r>
          </w:p>
        </w:tc>
        <w:tc>
          <w:tcPr>
            <w:tcW w:type="dxa" w:w="7560"/>
            <w:vAlign w:val="top"/>
          </w:tcPr>
          <w:p>
            <w:r>
              <w:t>Routes, roles, components, fields and every applicable UI state</w:t>
            </w:r>
          </w:p>
        </w:tc>
      </w:tr>
      <w:tr>
        <w:tc>
          <w:tcPr>
            <w:tcW w:type="dxa" w:w="1800"/>
            <w:vAlign w:val="top"/>
          </w:tcPr>
          <w:p>
            <w:r>
              <w:t>Offline/degraded</w:t>
            </w:r>
          </w:p>
        </w:tc>
        <w:tc>
          <w:tcPr>
            <w:tcW w:type="dxa" w:w="7560"/>
            <w:vAlign w:val="top"/>
          </w:tcPr>
          <w:p>
            <w:r>
              <w:t>Connectivity assumptions, queues, conflicts, fallback and recovery</w:t>
            </w:r>
          </w:p>
        </w:tc>
      </w:tr>
      <w:tr>
        <w:tc>
          <w:tcPr>
            <w:tcW w:type="dxa" w:w="1800"/>
            <w:vAlign w:val="top"/>
          </w:tcPr>
          <w:p>
            <w:r>
              <w:t>Tests</w:t>
            </w:r>
          </w:p>
        </w:tc>
        <w:tc>
          <w:tcPr>
            <w:tcW w:type="dxa" w:w="7560"/>
            <w:vAlign w:val="top"/>
          </w:tcPr>
          <w:p>
            <w:r>
              <w:t>Unit, integration, contract, E2E, browser, accessibility, security, performance and failure</w:t>
            </w:r>
          </w:p>
        </w:tc>
      </w:tr>
      <w:tr>
        <w:tc>
          <w:tcPr>
            <w:tcW w:type="dxa" w:w="1800"/>
            <w:vAlign w:val="top"/>
          </w:tcPr>
          <w:p>
            <w:r>
              <w:t>Files/commit</w:t>
            </w:r>
          </w:p>
        </w:tc>
        <w:tc>
          <w:tcPr>
            <w:tcW w:type="dxa" w:w="7560"/>
            <w:vAlign w:val="top"/>
          </w:tcPr>
          <w:p>
            <w:r>
              <w:t>Inspect/add/change list, prohibited files, migration order and one commit message</w:t>
            </w:r>
          </w:p>
        </w:tc>
      </w:tr>
      <w:tr>
        <w:tc>
          <w:tcPr>
            <w:tcW w:type="dxa" w:w="1800"/>
            <w:vAlign w:val="top"/>
          </w:tcPr>
          <w:p>
            <w:r>
              <w:t>Evidence</w:t>
            </w:r>
          </w:p>
        </w:tc>
        <w:tc>
          <w:tcPr>
            <w:tcW w:type="dxa" w:w="7560"/>
            <w:vAlign w:val="top"/>
          </w:tcPr>
          <w:p>
            <w:r>
              <w:t>Commands/results, screenshots, logs/hashes, traceability and residual risk</w:t>
            </w:r>
          </w:p>
        </w:tc>
      </w:tr>
      <w:tr>
        <w:tc>
          <w:tcPr>
            <w:tcW w:type="dxa" w:w="1800"/>
            <w:vAlign w:val="top"/>
          </w:tcPr>
          <w:p>
            <w:r>
              <w:t>Stop conditions</w:t>
            </w:r>
          </w:p>
        </w:tc>
        <w:tc>
          <w:tcPr>
            <w:tcW w:type="dxa" w:w="7560"/>
            <w:vAlign w:val="top"/>
          </w:tcPr>
          <w:p>
            <w:r>
              <w:t>Decisions or failures that prohibit implementation or continuation</w:t>
            </w:r>
          </w:p>
        </w:tc>
      </w:tr>
    </w:tbl>
    <w:p>
      <w:pPr>
        <w:pStyle w:val="Heading1"/>
      </w:pPr>
      <w:r>
        <w:t>10. File and commit manifest Claude must produce</w:t>
      </w:r>
    </w:p>
    <w:p>
      <w:r>
        <w:t>For every slice, Claude must produce a table before the Cursor prompt. Paths may be exact when the target exists or explicit proposed paths after G1 establishes the repository shape.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200"/>
            <w:shd w:fill="E8EEF5"/>
            <w:vAlign w:val="center"/>
          </w:tcPr>
          <w:p>
            <w:r>
              <w:rPr>
                <w:b/>
              </w:rPr>
              <w:t>Action</w:t>
            </w:r>
          </w:p>
        </w:tc>
        <w:tc>
          <w:tcPr>
            <w:tcW w:type="dxa" w:w="3200"/>
            <w:shd w:fill="E8EEF5"/>
            <w:vAlign w:val="center"/>
          </w:tcPr>
          <w:p>
            <w:r>
              <w:rPr>
                <w:b/>
              </w:rPr>
              <w:t>Path</w:t>
            </w:r>
          </w:p>
        </w:tc>
        <w:tc>
          <w:tcPr>
            <w:tcW w:type="dxa" w:w="2500"/>
            <w:shd w:fill="E8EEF5"/>
            <w:vAlign w:val="center"/>
          </w:tcPr>
          <w:p>
            <w:r>
              <w:rPr>
                <w:b/>
              </w:rPr>
              <w:t>Reason</w:t>
            </w:r>
          </w:p>
        </w:tc>
        <w:tc>
          <w:tcPr>
            <w:tcW w:type="dxa" w:w="2460"/>
            <w:shd w:fill="E8EEF5"/>
            <w:vAlign w:val="center"/>
          </w:tcPr>
          <w:p>
            <w:r>
              <w:rPr>
                <w:b/>
              </w:rPr>
              <w:t>Acceptance evidence</w:t>
            </w:r>
          </w:p>
        </w:tc>
      </w:tr>
      <w:tr>
        <w:tc>
          <w:tcPr>
            <w:tcW w:type="dxa" w:w="1200"/>
            <w:vAlign w:val="top"/>
          </w:tcPr>
          <w:p>
            <w:r>
              <w:t>INSPECT</w:t>
            </w:r>
          </w:p>
        </w:tc>
        <w:tc>
          <w:tcPr>
            <w:tcW w:type="dxa" w:w="3200"/>
            <w:vAlign w:val="top"/>
          </w:tcPr>
          <w:p>
            <w:r>
              <w:t>Exact existing path</w:t>
            </w:r>
          </w:p>
        </w:tc>
        <w:tc>
          <w:tcPr>
            <w:tcW w:type="dxa" w:w="2500"/>
            <w:vAlign w:val="top"/>
          </w:tcPr>
          <w:p>
            <w:r>
              <w:t>Source, convention or dependency</w:t>
            </w:r>
          </w:p>
        </w:tc>
        <w:tc>
          <w:tcPr>
            <w:tcW w:type="dxa" w:w="2460"/>
            <w:vAlign w:val="top"/>
          </w:tcPr>
          <w:p>
            <w:r>
              <w:t>Finding cited in current-state note</w:t>
            </w:r>
          </w:p>
        </w:tc>
      </w:tr>
      <w:tr>
        <w:tc>
          <w:tcPr>
            <w:tcW w:type="dxa" w:w="1200"/>
            <w:vAlign w:val="top"/>
          </w:tcPr>
          <w:p>
            <w:r>
              <w:t>ADD</w:t>
            </w:r>
          </w:p>
        </w:tc>
        <w:tc>
          <w:tcPr>
            <w:tcW w:type="dxa" w:w="3200"/>
            <w:vAlign w:val="top"/>
          </w:tcPr>
          <w:p>
            <w:r>
              <w:t>Exact proposed path</w:t>
            </w:r>
          </w:p>
        </w:tc>
        <w:tc>
          <w:tcPr>
            <w:tcW w:type="dxa" w:w="2500"/>
            <w:vAlign w:val="top"/>
          </w:tcPr>
          <w:p>
            <w:r>
              <w:t>New implementation or test</w:t>
            </w:r>
          </w:p>
        </w:tc>
        <w:tc>
          <w:tcPr>
            <w:tcW w:type="dxa" w:w="2460"/>
            <w:vAlign w:val="top"/>
          </w:tcPr>
          <w:p>
            <w:r>
              <w:t>File exists and is exercised</w:t>
            </w:r>
          </w:p>
        </w:tc>
      </w:tr>
      <w:tr>
        <w:tc>
          <w:tcPr>
            <w:tcW w:type="dxa" w:w="1200"/>
            <w:vAlign w:val="top"/>
          </w:tcPr>
          <w:p>
            <w:r>
              <w:t>MODIFY</w:t>
            </w:r>
          </w:p>
        </w:tc>
        <w:tc>
          <w:tcPr>
            <w:tcW w:type="dxa" w:w="3200"/>
            <w:vAlign w:val="top"/>
          </w:tcPr>
          <w:p>
            <w:r>
              <w:t>Exact existing path</w:t>
            </w:r>
          </w:p>
        </w:tc>
        <w:tc>
          <w:tcPr>
            <w:tcW w:type="dxa" w:w="2500"/>
            <w:vAlign w:val="top"/>
          </w:tcPr>
          <w:p>
            <w:r>
              <w:t>Integration or extension</w:t>
            </w:r>
          </w:p>
        </w:tc>
        <w:tc>
          <w:tcPr>
            <w:tcW w:type="dxa" w:w="2460"/>
            <w:vAlign w:val="top"/>
          </w:tcPr>
          <w:p>
            <w:r>
              <w:t>Diff limited to authorised scope</w:t>
            </w:r>
          </w:p>
        </w:tc>
      </w:tr>
      <w:tr>
        <w:tc>
          <w:tcPr>
            <w:tcW w:type="dxa" w:w="1200"/>
            <w:vAlign w:val="top"/>
          </w:tcPr>
          <w:p>
            <w:r>
              <w:t>MIGRATE</w:t>
            </w:r>
          </w:p>
        </w:tc>
        <w:tc>
          <w:tcPr>
            <w:tcW w:type="dxa" w:w="3200"/>
            <w:vAlign w:val="top"/>
          </w:tcPr>
          <w:p>
            <w:r>
              <w:t>Migration path/name</w:t>
            </w:r>
          </w:p>
        </w:tc>
        <w:tc>
          <w:tcPr>
            <w:tcW w:type="dxa" w:w="2500"/>
            <w:vAlign w:val="top"/>
          </w:tcPr>
          <w:p>
            <w:r>
              <w:t>Persistent schema change</w:t>
            </w:r>
          </w:p>
        </w:tc>
        <w:tc>
          <w:tcPr>
            <w:tcW w:type="dxa" w:w="2460"/>
            <w:vAlign w:val="top"/>
          </w:tcPr>
          <w:p>
            <w:r>
              <w:t>Apply/containment/rollback evidence</w:t>
            </w:r>
          </w:p>
        </w:tc>
      </w:tr>
      <w:tr>
        <w:tc>
          <w:tcPr>
            <w:tcW w:type="dxa" w:w="1200"/>
            <w:vAlign w:val="top"/>
          </w:tcPr>
          <w:p>
            <w:r>
              <w:t>GENERATE</w:t>
            </w:r>
          </w:p>
        </w:tc>
        <w:tc>
          <w:tcPr>
            <w:tcW w:type="dxa" w:w="3200"/>
            <w:vAlign w:val="top"/>
          </w:tcPr>
          <w:p>
            <w:r>
              <w:t>Generated contract/client path</w:t>
            </w:r>
          </w:p>
        </w:tc>
        <w:tc>
          <w:tcPr>
            <w:tcW w:type="dxa" w:w="2500"/>
            <w:vAlign w:val="top"/>
          </w:tcPr>
          <w:p>
            <w:r>
              <w:t>Derived artifact</w:t>
            </w:r>
          </w:p>
        </w:tc>
        <w:tc>
          <w:tcPr>
            <w:tcW w:type="dxa" w:w="2460"/>
            <w:vAlign w:val="top"/>
          </w:tcPr>
          <w:p>
            <w:r>
              <w:t>Generation command and clean re-run</w:t>
            </w:r>
          </w:p>
        </w:tc>
      </w:tr>
      <w:tr>
        <w:tc>
          <w:tcPr>
            <w:tcW w:type="dxa" w:w="1200"/>
            <w:vAlign w:val="top"/>
          </w:tcPr>
          <w:p>
            <w:r>
              <w:t>DO NOT TOUCH</w:t>
            </w:r>
          </w:p>
        </w:tc>
        <w:tc>
          <w:tcPr>
            <w:tcW w:type="dxa" w:w="3200"/>
            <w:vAlign w:val="top"/>
          </w:tcPr>
          <w:p>
            <w:r>
              <w:t>Protected path/pattern</w:t>
            </w:r>
          </w:p>
        </w:tc>
        <w:tc>
          <w:tcPr>
            <w:tcW w:type="dxa" w:w="2500"/>
            <w:vAlign w:val="top"/>
          </w:tcPr>
          <w:p>
            <w:r>
              <w:t>Preserve unrelated/user/canonical work</w:t>
            </w:r>
          </w:p>
        </w:tc>
        <w:tc>
          <w:tcPr>
            <w:tcW w:type="dxa" w:w="2460"/>
            <w:vAlign w:val="top"/>
          </w:tcPr>
          <w:p>
            <w:r>
              <w:t>Diff proves no change</w:t>
            </w:r>
          </w:p>
        </w:tc>
      </w:tr>
    </w:tbl>
    <w:p>
      <w:r>
        <w:t>A commit must contain one coherent accepted slice: implementation, migration, tests, required generated artifacts and documentation. Do not mix unrelated cleanup. Suggested format: `feat(&lt;product&gt;): &lt;slice-id&gt; &lt;outcome&gt;`; use `fix`, `docs`, `test`, `chore` only when accurate. Claude must specify whether a migration and application change must be atomic.</w:t>
      </w:r>
    </w:p>
    <w:p>
      <w:pPr>
        <w:pStyle w:val="Heading1"/>
      </w:pPr>
      <w:r>
        <w:t>11. Optimised prompt template Claude must populate for Cursor</w:t>
      </w:r>
    </w:p>
    <w:p>
      <w:r>
        <w:rPr>
          <w:rFonts w:ascii="Consolas" w:hAnsi="Consolas"/>
          <w:sz w:val="16"/>
        </w:rPr>
        <w:t>PROMPT ID / TITLE</w:t>
        <w:br/>
        <w:t>You are authorised to execute only [ID]. Read the complete programme for context but do not begin any later prompt.</w:t>
        <w:br/>
        <w:br/>
        <w:t>CANONICAL AUTHORITY</w:t>
        <w:br/>
        <w:t>- [exact repository paths and section/doctrine IDs]</w:t>
        <w:br/>
        <w:t>- Precedence: [explicit order]</w:t>
        <w:br/>
        <w:br/>
        <w:t>DEPENDENCIES AND CURRENT STATE</w:t>
        <w:br/>
        <w:t>- Required accepted commits: [hashes/IDs]</w:t>
        <w:br/>
        <w:t>- First inspect: [exact paths]</w:t>
        <w:br/>
        <w:t>- Confirm baseline with: [commands]</w:t>
        <w:br/>
        <w:t>- If the reported state differs, stop and report the contradiction.</w:t>
        <w:br/>
        <w:br/>
        <w:t>OUTCOME</w:t>
        <w:br/>
        <w:t>[One observable, testable outcome.]</w:t>
        <w:br/>
        <w:br/>
        <w:t>IN SCOPE</w:t>
        <w:br/>
        <w:t>[Backend, frontend, data, permissions, integration, offline and operational work.]</w:t>
        <w:br/>
        <w:br/>
        <w:t>OUT OF SCOPE</w:t>
        <w:br/>
        <w:t>[Explicitly excluded work and later slices.]</w:t>
        <w:br/>
        <w:br/>
        <w:t>IMPLEMENTATION CONTRACT</w:t>
        <w:br/>
        <w:t>1. Domain and TypeScript/Zod schemas: [exact invariants/types].</w:t>
        <w:br/>
        <w:t>2. Persistence/migration: [tables, constraints, indexes, isolation, containment/rollback].</w:t>
        <w:br/>
        <w:t>3. Services/API/events: [commands, queries, idempotency, versions, error contract].</w:t>
        <w:br/>
        <w:t>4. Security/privacy/audit: [server enforcement and negative cases].</w:t>
        <w:br/>
        <w:t>5. Frontend surfaces: [routes, fields, actions and all required states].</w:t>
        <w:br/>
        <w:t>6. Offline/degraded/failure: [required behaviour and recovery].</w:t>
        <w:br/>
        <w:t>7. Integrations: [producer/consumer contract, adapter, test double limits].</w:t>
        <w:br/>
        <w:t>8. Observability: [health, logs, metrics, evidence and redaction].</w:t>
        <w:br/>
        <w:br/>
        <w:t>EXPECTED FILE MANIFEST</w:t>
        <w:br/>
        <w:t>- Inspect: [paths]</w:t>
        <w:br/>
        <w:t>- Add: [paths]</w:t>
        <w:br/>
        <w:t>- Modify: [paths]</w:t>
        <w:br/>
        <w:t>- Migration/generated: [paths]</w:t>
        <w:br/>
        <w:t>- Do not touch: [paths]</w:t>
        <w:br/>
        <w:t>Adapt a proposed path only to an established repository convention and record the mapping. Do not silently change architecture.</w:t>
        <w:br/>
        <w:br/>
        <w:t>TEST AND ACCEPTANCE CONTRACT</w:t>
        <w:br/>
        <w:t>- [exact unit/integration/contract/E2E/browser/accessibility/security/performance/failure cases]</w:t>
        <w:br/>
        <w:t>- Run: [exact commands]</w:t>
        <w:br/>
        <w:t>- Pass when: [objective acceptance criteria]</w:t>
        <w:br/>
        <w:br/>
        <w:t>EVIDENCE AND CLOSE</w:t>
        <w:br/>
        <w:t>Update BUILD_LEDGER.md, CURRENT_STATE.md, DECISION_LOG.md, REQUIREMENTS_TRACEABILITY.md and EVIDENCE_INDEX.md. Return scope summary, files inspected/changed, migrations, APIs, surfaces/states, tests and exact results, evidence paths, risks/blockers, commit hash and worktree status. Stop after the single coherent commit.</w:t>
        <w:br/>
        <w:br/>
        <w:t>STOP CONDITIONS</w:t>
        <w:br/>
        <w:t>[Specific blockers plus the standing Cursor charter.]</w:t>
      </w:r>
    </w:p>
    <w:p>
      <w:pPr>
        <w:pStyle w:val="Heading1"/>
      </w:pPr>
      <w:r>
        <w:t>12. Drift and hallucination controls Claude must embed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00"/>
            <w:shd w:fill="E8EEF5"/>
            <w:vAlign w:val="center"/>
          </w:tcPr>
          <w:p>
            <w:r>
              <w:rPr>
                <w:b/>
              </w:rPr>
              <w:t>Risk</w:t>
            </w:r>
          </w:p>
        </w:tc>
        <w:tc>
          <w:tcPr>
            <w:tcW w:type="dxa" w:w="6860"/>
            <w:shd w:fill="E8EEF5"/>
            <w:vAlign w:val="center"/>
          </w:tcPr>
          <w:p>
            <w:r>
              <w:rPr>
                <w:b/>
              </w:rPr>
              <w:t>Mandatory control</w:t>
            </w:r>
          </w:p>
        </w:tc>
      </w:tr>
      <w:tr>
        <w:tc>
          <w:tcPr>
            <w:tcW w:type="dxa" w:w="2500"/>
            <w:vAlign w:val="top"/>
          </w:tcPr>
          <w:p>
            <w:r>
              <w:t>Invented implementation</w:t>
            </w:r>
          </w:p>
        </w:tc>
        <w:tc>
          <w:tcPr>
            <w:tcW w:type="dxa" w:w="6860"/>
            <w:vAlign w:val="top"/>
          </w:tcPr>
          <w:p>
            <w:r>
              <w:t>Every current-state assertion cites an inspected code/file path and test or is labelled unknown.</w:t>
            </w:r>
          </w:p>
        </w:tc>
      </w:tr>
      <w:tr>
        <w:tc>
          <w:tcPr>
            <w:tcW w:type="dxa" w:w="2500"/>
            <w:vAlign w:val="top"/>
          </w:tcPr>
          <w:p>
            <w:r>
              <w:t>Prompt drift</w:t>
            </w:r>
          </w:p>
        </w:tc>
        <w:tc>
          <w:tcPr>
            <w:tcW w:type="dxa" w:w="6860"/>
            <w:vAlign w:val="top"/>
          </w:tcPr>
          <w:p>
            <w:r>
              <w:t>Prompt restates authorised scope/non-goals; Cursor stops after one commit.</w:t>
            </w:r>
          </w:p>
        </w:tc>
      </w:tr>
      <w:tr>
        <w:tc>
          <w:tcPr>
            <w:tcW w:type="dxa" w:w="2500"/>
            <w:vAlign w:val="top"/>
          </w:tcPr>
          <w:p>
            <w:r>
              <w:t>Document/code mismatch</w:t>
            </w:r>
          </w:p>
        </w:tc>
        <w:tc>
          <w:tcPr>
            <w:tcW w:type="dxa" w:w="6860"/>
            <w:vAlign w:val="top"/>
          </w:tcPr>
          <w:p>
            <w:r>
              <w:t>Requirements traceability links doctrine → slice → file → test → evidence.</w:t>
            </w:r>
          </w:p>
        </w:tc>
      </w:tr>
      <w:tr>
        <w:tc>
          <w:tcPr>
            <w:tcW w:type="dxa" w:w="2500"/>
            <w:vAlign w:val="top"/>
          </w:tcPr>
          <w:p>
            <w:r>
              <w:t>Duplicate types/business logic</w:t>
            </w:r>
          </w:p>
        </w:tc>
        <w:tc>
          <w:tcPr>
            <w:tcW w:type="dxa" w:w="6860"/>
            <w:vAlign w:val="top"/>
          </w:tcPr>
          <w:p>
            <w:r>
              <w:t>Shared contract ownership and dependency-direction checks.</w:t>
            </w:r>
          </w:p>
        </w:tc>
      </w:tr>
      <w:tr>
        <w:tc>
          <w:tcPr>
            <w:tcW w:type="dxa" w:w="2500"/>
            <w:vAlign w:val="top"/>
          </w:tcPr>
          <w:p>
            <w:r>
              <w:t>Client-only security</w:t>
            </w:r>
          </w:p>
        </w:tc>
        <w:tc>
          <w:tcPr>
            <w:tcW w:type="dxa" w:w="6860"/>
            <w:vAlign w:val="top"/>
          </w:tcPr>
          <w:p>
            <w:r>
              <w:t>Negative API tests prove server enforcement for tenant/event/role/device.</w:t>
            </w:r>
          </w:p>
        </w:tc>
      </w:tr>
      <w:tr>
        <w:tc>
          <w:tcPr>
            <w:tcW w:type="dxa" w:w="2500"/>
            <w:vAlign w:val="top"/>
          </w:tcPr>
          <w:p>
            <w:r>
              <w:t>Happy-path UI</w:t>
            </w:r>
          </w:p>
        </w:tc>
        <w:tc>
          <w:tcPr>
            <w:tcW w:type="dxa" w:w="6860"/>
            <w:vAlign w:val="top"/>
          </w:tcPr>
          <w:p>
            <w:r>
              <w:t>State matrix is part of acceptance; browser evidence for each critical state.</w:t>
            </w:r>
          </w:p>
        </w:tc>
      </w:tr>
      <w:tr>
        <w:tc>
          <w:tcPr>
            <w:tcW w:type="dxa" w:w="2500"/>
            <w:vAlign w:val="top"/>
          </w:tcPr>
          <w:p>
            <w:r>
              <w:t>Fake offline</w:t>
            </w:r>
          </w:p>
        </w:tc>
        <w:tc>
          <w:tcPr>
            <w:tcW w:type="dxa" w:w="6860"/>
            <w:vAlign w:val="top"/>
          </w:tcPr>
          <w:p>
            <w:r>
              <w:t>WAN-deny tests and outbound-request capture; core has no CDN/API dependency.</w:t>
            </w:r>
          </w:p>
        </w:tc>
      </w:tr>
      <w:tr>
        <w:tc>
          <w:tcPr>
            <w:tcW w:type="dxa" w:w="2500"/>
            <w:vAlign w:val="top"/>
          </w:tcPr>
          <w:p>
            <w:r>
              <w:t>False green health</w:t>
            </w:r>
          </w:p>
        </w:tc>
        <w:tc>
          <w:tcPr>
            <w:tcW w:type="dxa" w:w="6860"/>
            <w:vAlign w:val="top"/>
          </w:tcPr>
          <w:p>
            <w:r>
              <w:t>UNKNOWN/DEGRADED/FAILED distinct; telemetry source and staleness visible.</w:t>
            </w:r>
          </w:p>
        </w:tc>
      </w:tr>
      <w:tr>
        <w:tc>
          <w:tcPr>
            <w:tcW w:type="dxa" w:w="2500"/>
            <w:vAlign w:val="top"/>
          </w:tcPr>
          <w:p>
            <w:r>
              <w:t>Silent data loss</w:t>
            </w:r>
          </w:p>
        </w:tc>
        <w:tc>
          <w:tcPr>
            <w:tcW w:type="dxa" w:w="6860"/>
            <w:vAlign w:val="top"/>
          </w:tcPr>
          <w:p>
            <w:r>
              <w:t>Idempotency, explicit pending/rejected/quarantined states and ledger/count reconciliation.</w:t>
            </w:r>
          </w:p>
        </w:tc>
      </w:tr>
      <w:tr>
        <w:tc>
          <w:tcPr>
            <w:tcW w:type="dxa" w:w="2500"/>
            <w:vAlign w:val="top"/>
          </w:tcPr>
          <w:p>
            <w:r>
              <w:t>Fabricated approval</w:t>
            </w:r>
          </w:p>
        </w:tc>
        <w:tc>
          <w:tcPr>
            <w:tcW w:type="dxa" w:w="6860"/>
            <w:vAlign w:val="top"/>
          </w:tcPr>
          <w:p>
            <w:r>
              <w:t>External and CEO signature fields remain unsigned and release-blocking.</w:t>
            </w:r>
          </w:p>
        </w:tc>
      </w:tr>
      <w:tr>
        <w:tc>
          <w:tcPr>
            <w:tcW w:type="dxa" w:w="2500"/>
            <w:vAlign w:val="top"/>
          </w:tcPr>
          <w:p>
            <w:r>
              <w:t>Unreviewable change</w:t>
            </w:r>
          </w:p>
        </w:tc>
        <w:tc>
          <w:tcPr>
            <w:tcW w:type="dxa" w:w="6860"/>
            <w:vAlign w:val="top"/>
          </w:tcPr>
          <w:p>
            <w:r>
              <w:t>Expected file manifest, coherent commit, diff summary and clean/known dirty state.</w:t>
            </w:r>
          </w:p>
        </w:tc>
      </w:tr>
      <w:tr>
        <w:tc>
          <w:tcPr>
            <w:tcW w:type="dxa" w:w="2500"/>
            <w:vAlign w:val="top"/>
          </w:tcPr>
          <w:p>
            <w:r>
              <w:t>Premature integration</w:t>
            </w:r>
          </w:p>
        </w:tc>
        <w:tc>
          <w:tcPr>
            <w:tcW w:type="dxa" w:w="6860"/>
            <w:vAlign w:val="top"/>
          </w:tcPr>
          <w:p>
            <w:r>
              <w:t>Consumer uses versioned contract and provider contract tests before live connection.</w:t>
            </w:r>
          </w:p>
        </w:tc>
      </w:tr>
    </w:tbl>
    <w:p>
      <w:pPr>
        <w:pStyle w:val="Heading1"/>
      </w:pPr>
      <w:r>
        <w:t>13. Post-build verification template — complete after every slice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Section</w:t>
            </w:r>
          </w:p>
        </w:tc>
        <w:tc>
          <w:tcPr>
            <w:tcW w:type="dxa" w:w="6660"/>
            <w:shd w:fill="E8EEF5"/>
            <w:vAlign w:val="center"/>
          </w:tcPr>
          <w:p>
            <w:r>
              <w:rPr>
                <w:b/>
              </w:rPr>
              <w:t>Reviewer record</w:t>
            </w:r>
          </w:p>
        </w:tc>
      </w:tr>
      <w:tr>
        <w:tc>
          <w:tcPr>
            <w:tcW w:type="dxa" w:w="2700"/>
            <w:vAlign w:val="top"/>
          </w:tcPr>
          <w:p>
            <w:r>
              <w:t>Slice / commit / reviewer / date</w:t>
            </w:r>
          </w:p>
        </w:tc>
        <w:tc>
          <w:tcPr>
            <w:tcW w:type="dxa" w:w="6660"/>
            <w:vAlign w:val="top"/>
          </w:tcPr>
          <w:p>
            <w:r/>
          </w:p>
        </w:tc>
      </w:tr>
      <w:tr>
        <w:tc>
          <w:tcPr>
            <w:tcW w:type="dxa" w:w="2700"/>
            <w:vAlign w:val="top"/>
          </w:tcPr>
          <w:p>
            <w:r>
              <w:t>Authorised outcome achieved</w:t>
            </w:r>
          </w:p>
        </w:tc>
        <w:tc>
          <w:tcPr>
            <w:tcW w:type="dxa" w:w="6660"/>
            <w:vAlign w:val="top"/>
          </w:tcPr>
          <w:p>
            <w:r>
              <w:t>PASS / FAIL / BLOCKED; evidence</w:t>
            </w:r>
          </w:p>
        </w:tc>
      </w:tr>
      <w:tr>
        <w:tc>
          <w:tcPr>
            <w:tcW w:type="dxa" w:w="2700"/>
            <w:vAlign w:val="top"/>
          </w:tcPr>
          <w:p>
            <w:r>
              <w:t>Canonical traceability</w:t>
            </w:r>
          </w:p>
        </w:tc>
        <w:tc>
          <w:tcPr>
            <w:tcW w:type="dxa" w:w="6660"/>
            <w:vAlign w:val="top"/>
          </w:tcPr>
          <w:p>
            <w:r>
              <w:t>Doctrine and specification IDs → files/tests</w:t>
            </w:r>
          </w:p>
        </w:tc>
      </w:tr>
      <w:tr>
        <w:tc>
          <w:tcPr>
            <w:tcW w:type="dxa" w:w="2700"/>
            <w:vAlign w:val="top"/>
          </w:tcPr>
          <w:p>
            <w:r>
              <w:t>Diff scope</w:t>
            </w:r>
          </w:p>
        </w:tc>
        <w:tc>
          <w:tcPr>
            <w:tcW w:type="dxa" w:w="6660"/>
            <w:vAlign w:val="top"/>
          </w:tcPr>
          <w:p>
            <w:r>
              <w:t>Expected vs actual files; unrelated changes</w:t>
            </w:r>
          </w:p>
        </w:tc>
      </w:tr>
      <w:tr>
        <w:tc>
          <w:tcPr>
            <w:tcW w:type="dxa" w:w="2700"/>
            <w:vAlign w:val="top"/>
          </w:tcPr>
          <w:p>
            <w:r>
              <w:t>Build baseline</w:t>
            </w:r>
          </w:p>
        </w:tc>
        <w:tc>
          <w:tcPr>
            <w:tcW w:type="dxa" w:w="6660"/>
            <w:vAlign w:val="top"/>
          </w:tcPr>
          <w:p>
            <w:r>
              <w:t>Install, format, lint, typecheck, unit, integration and build results</w:t>
            </w:r>
          </w:p>
        </w:tc>
      </w:tr>
      <w:tr>
        <w:tc>
          <w:tcPr>
            <w:tcW w:type="dxa" w:w="2700"/>
            <w:vAlign w:val="top"/>
          </w:tcPr>
          <w:p>
            <w:r>
              <w:t>Migration/data</w:t>
            </w:r>
          </w:p>
        </w:tc>
        <w:tc>
          <w:tcPr>
            <w:tcW w:type="dxa" w:w="6660"/>
            <w:vAlign w:val="top"/>
          </w:tcPr>
          <w:p>
            <w:r>
              <w:t>Forward apply, constraints/indexes, containment/rollback, fixture integrity</w:t>
            </w:r>
          </w:p>
        </w:tc>
      </w:tr>
      <w:tr>
        <w:tc>
          <w:tcPr>
            <w:tcW w:type="dxa" w:w="2700"/>
            <w:vAlign w:val="top"/>
          </w:tcPr>
          <w:p>
            <w:r>
              <w:t>API/security</w:t>
            </w:r>
          </w:p>
        </w:tc>
        <w:tc>
          <w:tcPr>
            <w:tcW w:type="dxa" w:w="6660"/>
            <w:vAlign w:val="top"/>
          </w:tcPr>
          <w:p>
            <w:r>
              <w:t>Auth, tenant/event/role/device, validation, idempotency, audit and negative tests</w:t>
            </w:r>
          </w:p>
        </w:tc>
      </w:tr>
      <w:tr>
        <w:tc>
          <w:tcPr>
            <w:tcW w:type="dxa" w:w="2700"/>
            <w:vAlign w:val="top"/>
          </w:tcPr>
          <w:p>
            <w:r>
              <w:t>Frontend</w:t>
            </w:r>
          </w:p>
        </w:tc>
        <w:tc>
          <w:tcPr>
            <w:tcW w:type="dxa" w:w="6660"/>
            <w:vAlign w:val="top"/>
          </w:tcPr>
          <w:p>
            <w:r>
              <w:t>Routes, responsive layout and all required UI states</w:t>
            </w:r>
          </w:p>
        </w:tc>
      </w:tr>
      <w:tr>
        <w:tc>
          <w:tcPr>
            <w:tcW w:type="dxa" w:w="2700"/>
            <w:vAlign w:val="top"/>
          </w:tcPr>
          <w:p>
            <w:r>
              <w:t>Offline/degraded</w:t>
            </w:r>
          </w:p>
        </w:tc>
        <w:tc>
          <w:tcPr>
            <w:tcW w:type="dxa" w:w="6660"/>
            <w:vAlign w:val="top"/>
          </w:tcPr>
          <w:p>
            <w:r>
              <w:t>WAN/local loss, queues, conflicts, reconnect and fallback</w:t>
            </w:r>
          </w:p>
        </w:tc>
      </w:tr>
      <w:tr>
        <w:tc>
          <w:tcPr>
            <w:tcW w:type="dxa" w:w="2700"/>
            <w:vAlign w:val="top"/>
          </w:tcPr>
          <w:p>
            <w:r>
              <w:t>Integration</w:t>
            </w:r>
          </w:p>
        </w:tc>
        <w:tc>
          <w:tcPr>
            <w:tcW w:type="dxa" w:w="6660"/>
            <w:vAlign w:val="top"/>
          </w:tcPr>
          <w:p>
            <w:r>
              <w:t>Contract version, producer/consumer tests, unavailable dependency behaviour</w:t>
            </w:r>
          </w:p>
        </w:tc>
      </w:tr>
      <w:tr>
        <w:tc>
          <w:tcPr>
            <w:tcW w:type="dxa" w:w="2700"/>
            <w:vAlign w:val="top"/>
          </w:tcPr>
          <w:p>
            <w:r>
              <w:t>Accessibility</w:t>
            </w:r>
          </w:p>
        </w:tc>
        <w:tc>
          <w:tcPr>
            <w:tcW w:type="dxa" w:w="6660"/>
            <w:vAlign w:val="top"/>
          </w:tcPr>
          <w:p>
            <w:r>
              <w:t>Keyboard, focus, labels, contrast, zoom/reflow, screen-reader critical path</w:t>
            </w:r>
          </w:p>
        </w:tc>
      </w:tr>
      <w:tr>
        <w:tc>
          <w:tcPr>
            <w:tcW w:type="dxa" w:w="2700"/>
            <w:vAlign w:val="top"/>
          </w:tcPr>
          <w:p>
            <w:r>
              <w:t>Performance/resilience</w:t>
            </w:r>
          </w:p>
        </w:tc>
        <w:tc>
          <w:tcPr>
            <w:tcW w:type="dxa" w:w="6660"/>
            <w:vAlign w:val="top"/>
          </w:tcPr>
          <w:p>
            <w:r>
              <w:t>Targets, load/fault result and evidence</w:t>
            </w:r>
          </w:p>
        </w:tc>
      </w:tr>
      <w:tr>
        <w:tc>
          <w:tcPr>
            <w:tcW w:type="dxa" w:w="2700"/>
            <w:vAlign w:val="top"/>
          </w:tcPr>
          <w:p>
            <w:r>
              <w:t>Privacy/secrets</w:t>
            </w:r>
          </w:p>
        </w:tc>
        <w:tc>
          <w:tcPr>
            <w:tcW w:type="dxa" w:w="6660"/>
            <w:vAlign w:val="top"/>
          </w:tcPr>
          <w:p>
            <w:r>
              <w:t>Data minimisation, masking, retention, log/screenshot redaction, secret scan</w:t>
            </w:r>
          </w:p>
        </w:tc>
      </w:tr>
      <w:tr>
        <w:tc>
          <w:tcPr>
            <w:tcW w:type="dxa" w:w="2700"/>
            <w:vAlign w:val="top"/>
          </w:tcPr>
          <w:p>
            <w:r>
              <w:t>Evidence quality</w:t>
            </w:r>
          </w:p>
        </w:tc>
        <w:tc>
          <w:tcPr>
            <w:tcW w:type="dxa" w:w="6660"/>
            <w:vAlign w:val="top"/>
          </w:tcPr>
          <w:p>
            <w:r>
              <w:t>Reproducible commands, screenshots/logs, hashes and environment</w:t>
            </w:r>
          </w:p>
        </w:tc>
      </w:tr>
      <w:tr>
        <w:tc>
          <w:tcPr>
            <w:tcW w:type="dxa" w:w="2700"/>
            <w:vAlign w:val="top"/>
          </w:tcPr>
          <w:p>
            <w:r>
              <w:t>Defects</w:t>
            </w:r>
          </w:p>
        </w:tc>
        <w:tc>
          <w:tcPr>
            <w:tcW w:type="dxa" w:w="6660"/>
            <w:vAlign w:val="top"/>
          </w:tcPr>
          <w:p>
            <w:r>
              <w:t>Severity, owner, disposition and retest</w:t>
            </w:r>
          </w:p>
        </w:tc>
      </w:tr>
      <w:tr>
        <w:tc>
          <w:tcPr>
            <w:tcW w:type="dxa" w:w="2700"/>
            <w:vAlign w:val="top"/>
          </w:tcPr>
          <w:p>
            <w:r>
              <w:t>Residual risk / decisions</w:t>
            </w:r>
          </w:p>
        </w:tc>
        <w:tc>
          <w:tcPr>
            <w:tcW w:type="dxa" w:w="6660"/>
            <w:vAlign w:val="top"/>
          </w:tcPr>
          <w:p>
            <w:r>
              <w:t>Explicit authority and deadline</w:t>
            </w:r>
          </w:p>
        </w:tc>
      </w:tr>
      <w:tr>
        <w:tc>
          <w:tcPr>
            <w:tcW w:type="dxa" w:w="2700"/>
            <w:vAlign w:val="top"/>
          </w:tcPr>
          <w:p>
            <w:r>
              <w:t>Verdict</w:t>
            </w:r>
          </w:p>
        </w:tc>
        <w:tc>
          <w:tcPr>
            <w:tcW w:type="dxa" w:w="6660"/>
            <w:vAlign w:val="top"/>
          </w:tcPr>
          <w:p>
            <w:r>
              <w:t>ACCEPT / REWORK / BLOCK; next prompt authorised separately</w:t>
            </w:r>
          </w:p>
        </w:tc>
      </w:tr>
    </w:tbl>
    <w:p>
      <w:pPr>
        <w:pStyle w:val="Heading2"/>
      </w:pPr>
      <w:r>
        <w:t>Reviewer live-check procedure</w:t>
      </w:r>
    </w:p>
    <w:p>
      <w:pPr>
        <w:pStyle w:val="ListNumber"/>
      </w:pPr>
      <w:r>
        <w:t>Checkout the exact commit in a clean environment.</w:t>
      </w:r>
    </w:p>
    <w:p>
      <w:pPr>
        <w:pStyle w:val="ListNumber"/>
      </w:pPr>
      <w:r>
        <w:t>Read the prompt and expected file manifest before the diff.</w:t>
      </w:r>
    </w:p>
    <w:p>
      <w:pPr>
        <w:pStyle w:val="ListNumber"/>
      </w:pPr>
      <w:r>
        <w:t>Run the documented baseline and slice commands; do not accept screenshots alone.</w:t>
      </w:r>
    </w:p>
    <w:p>
      <w:pPr>
        <w:pStyle w:val="ListNumber"/>
      </w:pPr>
      <w:r>
        <w:t>Inspect migration and server-side permission paths manually.</w:t>
      </w:r>
    </w:p>
    <w:p>
      <w:pPr>
        <w:pStyle w:val="ListNumber"/>
      </w:pPr>
      <w:r>
        <w:t>Use at least two roles and two organisations/events for isolation checks.</w:t>
      </w:r>
    </w:p>
    <w:p>
      <w:pPr>
        <w:pStyle w:val="ListNumber"/>
      </w:pPr>
      <w:r>
        <w:t>Exercise every critical UI state with browser tools and representative viewport/device.</w:t>
      </w:r>
    </w:p>
    <w:p>
      <w:pPr>
        <w:pStyle w:val="ListNumber"/>
      </w:pPr>
      <w:r>
        <w:t>Remove or deny WAN for offline claims; separately interrupt the local edge API where relevant.</w:t>
      </w:r>
    </w:p>
    <w:p>
      <w:pPr>
        <w:pStyle w:val="ListNumber"/>
      </w:pPr>
      <w:r>
        <w:t>Inspect audit/ledger/observability output and confirm sensitive values are redacted.</w:t>
      </w:r>
    </w:p>
    <w:p>
      <w:pPr>
        <w:pStyle w:val="ListNumber"/>
      </w:pPr>
      <w:r>
        <w:t>Record defects; reject critical/major defects and all fabricated/skipped evidence.</w:t>
      </w:r>
    </w:p>
    <w:p>
      <w:pPr>
        <w:pStyle w:val="ListNumber"/>
      </w:pPr>
      <w:r>
        <w:t>Only after acceptance update the control ledger and authorise the next prompt.</w:t>
      </w:r>
    </w:p>
    <w:p>
      <w:pPr>
        <w:pStyle w:val="Heading1"/>
      </w:pPr>
      <w:r>
        <w:t>14. Master acceptance gates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00"/>
            <w:shd w:fill="E8EEF5"/>
            <w:vAlign w:val="center"/>
          </w:tcPr>
          <w:p>
            <w:r>
              <w:rPr>
                <w:b/>
              </w:rPr>
              <w:t>Gate</w:t>
            </w:r>
          </w:p>
        </w:tc>
        <w:tc>
          <w:tcPr>
            <w:tcW w:type="dxa" w:w="4860"/>
            <w:shd w:fill="E8EEF5"/>
            <w:vAlign w:val="center"/>
          </w:tcPr>
          <w:p>
            <w:r>
              <w:rPr>
                <w:b/>
              </w:rPr>
              <w:t>Required evidence</w:t>
            </w:r>
          </w:p>
        </w:tc>
        <w:tc>
          <w:tcPr>
            <w:tcW w:type="dxa" w:w="2500"/>
            <w:shd w:fill="E8EEF5"/>
            <w:vAlign w:val="center"/>
          </w:tcPr>
          <w:p>
            <w:r>
              <w:rPr>
                <w:b/>
              </w:rPr>
              <w:t>Cannot be signed by</w:t>
            </w:r>
          </w:p>
        </w:tc>
      </w:tr>
      <w:tr>
        <w:tc>
          <w:tcPr>
            <w:tcW w:type="dxa" w:w="2000"/>
            <w:vAlign w:val="top"/>
          </w:tcPr>
          <w:p>
            <w:r>
              <w:t>Architecture</w:t>
            </w:r>
          </w:p>
        </w:tc>
        <w:tc>
          <w:tcPr>
            <w:tcW w:type="dxa" w:w="4860"/>
            <w:vAlign w:val="top"/>
          </w:tcPr>
          <w:p>
            <w:r>
              <w:t>Accepted ADRs, dependency graph and threat/data-flow review</w:t>
            </w:r>
          </w:p>
        </w:tc>
        <w:tc>
          <w:tcPr>
            <w:tcW w:type="dxa" w:w="2500"/>
            <w:vAlign w:val="top"/>
          </w:tcPr>
          <w:p>
            <w:r>
              <w:t>Cursor</w:t>
            </w:r>
          </w:p>
        </w:tc>
      </w:tr>
      <w:tr>
        <w:tc>
          <w:tcPr>
            <w:tcW w:type="dxa" w:w="2000"/>
            <w:vAlign w:val="top"/>
          </w:tcPr>
          <w:p>
            <w:r>
              <w:t>Product slice</w:t>
            </w:r>
          </w:p>
        </w:tc>
        <w:tc>
          <w:tcPr>
            <w:tcW w:type="dxa" w:w="4860"/>
            <w:vAlign w:val="top"/>
          </w:tcPr>
          <w:p>
            <w:r>
              <w:t>Automated/browser evidence and reviewer template</w:t>
            </w:r>
          </w:p>
        </w:tc>
        <w:tc>
          <w:tcPr>
            <w:tcW w:type="dxa" w:w="2500"/>
            <w:vAlign w:val="top"/>
          </w:tcPr>
          <w:p>
            <w:r>
              <w:t>Implementer alone</w:t>
            </w:r>
          </w:p>
        </w:tc>
      </w:tr>
      <w:tr>
        <w:tc>
          <w:tcPr>
            <w:tcW w:type="dxa" w:w="2000"/>
            <w:vAlign w:val="top"/>
          </w:tcPr>
          <w:p>
            <w:r>
              <w:t>Cross-system</w:t>
            </w:r>
          </w:p>
        </w:tc>
        <w:tc>
          <w:tcPr>
            <w:tcW w:type="dxa" w:w="4860"/>
            <w:vAlign w:val="top"/>
          </w:tcPr>
          <w:p>
            <w:r>
              <w:t>Versioned contract tests, failure isolation and reconciliation</w:t>
            </w:r>
          </w:p>
        </w:tc>
        <w:tc>
          <w:tcPr>
            <w:tcW w:type="dxa" w:w="2500"/>
            <w:vAlign w:val="top"/>
          </w:tcPr>
          <w:p>
            <w:r>
              <w:t>One product team alone</w:t>
            </w:r>
          </w:p>
        </w:tc>
      </w:tr>
      <w:tr>
        <w:tc>
          <w:tcPr>
            <w:tcW w:type="dxa" w:w="2000"/>
            <w:vAlign w:val="top"/>
          </w:tcPr>
          <w:p>
            <w:r>
              <w:t>Content/knowledge</w:t>
            </w:r>
          </w:p>
        </w:tc>
        <w:tc>
          <w:tcPr>
            <w:tcW w:type="dxa" w:w="4860"/>
            <w:vAlign w:val="top"/>
          </w:tcPr>
          <w:p>
            <w:r>
              <w:t>Traceability, course/question/practical review and assessor calibration</w:t>
            </w:r>
          </w:p>
        </w:tc>
        <w:tc>
          <w:tcPr>
            <w:tcW w:type="dxa" w:w="2500"/>
            <w:vAlign w:val="top"/>
          </w:tcPr>
          <w:p>
            <w:r>
              <w:t>Code tests alone</w:t>
            </w:r>
          </w:p>
        </w:tc>
      </w:tr>
      <w:tr>
        <w:tc>
          <w:tcPr>
            <w:tcW w:type="dxa" w:w="2000"/>
            <w:vAlign w:val="top"/>
          </w:tcPr>
          <w:p>
            <w:r>
              <w:t>Legal/privacy/biometric</w:t>
            </w:r>
          </w:p>
        </w:tc>
        <w:tc>
          <w:tcPr>
            <w:tcW w:type="dxa" w:w="4860"/>
            <w:vAlign w:val="top"/>
          </w:tcPr>
          <w:p>
            <w:r>
              <w:t>Qualified authority decisions and configured controls</w:t>
            </w:r>
          </w:p>
        </w:tc>
        <w:tc>
          <w:tcPr>
            <w:tcW w:type="dxa" w:w="2500"/>
            <w:vAlign w:val="top"/>
          </w:tcPr>
          <w:p>
            <w:r>
              <w:t>Claude or Cursor</w:t>
            </w:r>
          </w:p>
        </w:tc>
      </w:tr>
      <w:tr>
        <w:tc>
          <w:tcPr>
            <w:tcW w:type="dxa" w:w="2000"/>
            <w:vAlign w:val="top"/>
          </w:tcPr>
          <w:p>
            <w:r>
              <w:t>Protocol/cultural</w:t>
            </w:r>
          </w:p>
        </w:tc>
        <w:tc>
          <w:tcPr>
            <w:tcW w:type="dxa" w:w="4860"/>
            <w:vAlign w:val="top"/>
          </w:tcPr>
          <w:p>
            <w:r>
              <w:t>Recognised authority and source/expiry register</w:t>
            </w:r>
          </w:p>
        </w:tc>
        <w:tc>
          <w:tcPr>
            <w:tcW w:type="dxa" w:w="2500"/>
            <w:vAlign w:val="top"/>
          </w:tcPr>
          <w:p>
            <w:r>
              <w:t>Claude or Cursor</w:t>
            </w:r>
          </w:p>
        </w:tc>
      </w:tr>
      <w:tr>
        <w:tc>
          <w:tcPr>
            <w:tcW w:type="dxa" w:w="2000"/>
            <w:vAlign w:val="top"/>
          </w:tcPr>
          <w:p>
            <w:r>
              <w:t>Venue/event-day</w:t>
            </w:r>
          </w:p>
        </w:tc>
        <w:tc>
          <w:tcPr>
            <w:tcW w:type="dxa" w:w="4860"/>
            <w:vAlign w:val="top"/>
          </w:tcPr>
          <w:p>
            <w:r>
              <w:t>Survey, load, dress rehearsal, fallback and pilot evidence</w:t>
            </w:r>
          </w:p>
        </w:tc>
        <w:tc>
          <w:tcPr>
            <w:tcW w:type="dxa" w:w="2500"/>
            <w:vAlign w:val="top"/>
          </w:tcPr>
          <w:p>
            <w:r>
              <w:t>Laboratory automation</w:t>
            </w:r>
          </w:p>
        </w:tc>
      </w:tr>
      <w:tr>
        <w:tc>
          <w:tcPr>
            <w:tcW w:type="dxa" w:w="2000"/>
            <w:vAlign w:val="top"/>
          </w:tcPr>
          <w:p>
            <w:r>
              <w:t>Independent acceptance</w:t>
            </w:r>
          </w:p>
        </w:tc>
        <w:tc>
          <w:tcPr>
            <w:tcW w:type="dxa" w:w="4860"/>
            <w:vAlign w:val="top"/>
          </w:tcPr>
          <w:p>
            <w:r>
              <w:t>Independent review of evidence and residual risk</w:t>
            </w:r>
          </w:p>
        </w:tc>
        <w:tc>
          <w:tcPr>
            <w:tcW w:type="dxa" w:w="2500"/>
            <w:vAlign w:val="top"/>
          </w:tcPr>
          <w:p>
            <w:r>
              <w:t>Implementer</w:t>
            </w:r>
          </w:p>
        </w:tc>
      </w:tr>
      <w:tr>
        <w:tc>
          <w:tcPr>
            <w:tcW w:type="dxa" w:w="2000"/>
            <w:vAlign w:val="top"/>
          </w:tcPr>
          <w:p>
            <w:r>
              <w:t>Production release</w:t>
            </w:r>
          </w:p>
        </w:tc>
        <w:tc>
          <w:tcPr>
            <w:tcW w:type="dxa" w:w="4860"/>
            <w:vAlign w:val="top"/>
          </w:tcPr>
          <w:p>
            <w:r>
              <w:t>Named version/configuration/event tier and CEO signature</w:t>
            </w:r>
          </w:p>
        </w:tc>
        <w:tc>
          <w:tcPr>
            <w:tcW w:type="dxa" w:w="2500"/>
            <w:vAlign w:val="top"/>
          </w:tcPr>
          <w:p>
            <w:r>
              <w:t>Claude or Cursor</w:t>
            </w:r>
          </w:p>
        </w:tc>
      </w:tr>
    </w:tbl>
    <w:p>
      <w:pPr>
        <w:pStyle w:val="Heading1"/>
      </w:pPr>
      <w:r>
        <w:t>15. Claude response format</w:t>
      </w:r>
    </w:p>
    <w:p>
      <w:r>
        <w:t>Claude should return a document bundle, not one enormous conversational answer. At minimum:</w:t>
      </w:r>
    </w:p>
    <w:p>
      <w:pPr>
        <w:pStyle w:val="ListNumber"/>
      </w:pPr>
      <w:r>
        <w:t>Repository Authority and Architecture Decision Pack.</w:t>
      </w:r>
    </w:p>
    <w:p>
      <w:pPr>
        <w:pStyle w:val="ListNumber"/>
      </w:pPr>
      <w:r>
        <w:t>Master Programme and Dependency Map.</w:t>
      </w:r>
    </w:p>
    <w:p>
      <w:pPr>
        <w:pStyle w:val="ListNumber"/>
      </w:pPr>
      <w:r>
        <w:t>Event OS Revised Slice Plan and Cursor Prompts.</w:t>
      </w:r>
    </w:p>
    <w:p>
      <w:pPr>
        <w:pStyle w:val="ListNumber"/>
      </w:pPr>
      <w:r>
        <w:t>Academy Revised Slice Plan and Cursor Prompts.</w:t>
      </w:r>
    </w:p>
    <w:p>
      <w:pPr>
        <w:pStyle w:val="ListNumber"/>
      </w:pPr>
      <w:r>
        <w:t>Marketing OS Revised Slice Plan and Cursor Prompts.</w:t>
      </w:r>
    </w:p>
    <w:p>
      <w:pPr>
        <w:pStyle w:val="ListNumber"/>
      </w:pPr>
      <w:r>
        <w:t>Premium Ushering Revised Slice Plan and Cursor Prompts.</w:t>
      </w:r>
    </w:p>
    <w:p>
      <w:pPr>
        <w:pStyle w:val="ListNumber"/>
      </w:pPr>
      <w:r>
        <w:t>Event-Day Runtime Reconciled R0–R23 Plan and Cursor Prompts.</w:t>
      </w:r>
    </w:p>
    <w:p>
      <w:pPr>
        <w:pStyle w:val="ListNumber"/>
      </w:pPr>
      <w:r>
        <w:t>Cross-System Integration and Contract Test Pack.</w:t>
      </w:r>
    </w:p>
    <w:p>
      <w:pPr>
        <w:pStyle w:val="ListNumber"/>
      </w:pPr>
      <w:r>
        <w:t>Post-Build Verification and Live Validation Pack.</w:t>
      </w:r>
    </w:p>
    <w:p>
      <w:pPr>
        <w:pStyle w:val="ListNumber"/>
      </w:pPr>
      <w:r>
        <w:t>Master File/Commit Manifest, Risk Register and Release Dashboard.</w:t>
      </w:r>
    </w:p>
    <w:p>
      <w:r>
        <w:t>Each product pack must be independently usable but reference the same shared contracts and gate IDs. Claude must state the number of source documents actually opened, unresolved conflicts, proposed slices, prompts, files and release blockers. It must not claim completeness merely because every filename was listed.</w:t>
      </w:r>
    </w:p>
    <w:p>
      <w:pPr>
        <w:pStyle w:val="Heading1"/>
      </w:pPr>
      <w:r>
        <w:t>16. First instruction to Claude — copy and use</w:t>
      </w:r>
    </w:p>
    <w:p>
      <w:r>
        <w:rPr>
          <w:rFonts w:ascii="Consolas" w:hAnsi="Consolas"/>
          <w:sz w:val="17"/>
        </w:rPr>
        <w:t>You are receiving a documentation-led Maison Doclar repository containing Event OS, Academy, Marketing OS, Premium Ushering, CEO doctrine, reconciliation assets and Event-Day Runtime v2. There is almost no application code. Do not begin implementation and do not treat the inventory as a substitute for reading the files.</w:t>
        <w:br/>
        <w:br/>
        <w:t>First establish repository truth and authority. Open the controlling documents, compare duplicates and recovered copies, map dependencies and record contradictions. Then design a production-grade phased build programme for all five products using the handover document as your execution contract.</w:t>
        <w:br/>
        <w:br/>
        <w:t>For every phase and slice, specify exact outcomes, canonical sources, dependencies, domain/data/API/frontend/security/offline/integration requirements, files to inspect/add/change, migration order, tests, evidence, stop conditions and one coherent commit boundary. Produce complete prompts that can be pasted directly into Cursor and the post-build verification record for the reviewer.</w:t>
        <w:br/>
        <w:br/>
        <w:t>Do not invent implementation, approvals, repository conventions or test results. Preserve human authority, tenant/event isolation, accessibility, auditability, deterministic reconciliation and the Event-Day Runtime/FaceGate laws. Present unresolved CEO, architecture, legal, privacy, protocol, content and live-validation decisions explicitly. Stop before code execution and submit the planning bundle for CEO ratification.</w:t>
      </w:r>
    </w:p>
    <w:p>
      <w:pPr>
        <w:pStyle w:val="Heading1"/>
      </w:pPr>
      <w:r>
        <w:t>CEO ratification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Decision</w:t>
            </w:r>
          </w:p>
        </w:tc>
        <w:tc>
          <w:tcPr>
            <w:tcW w:type="dxa" w:w="5460"/>
            <w:shd w:fill="E8EEF5"/>
            <w:vAlign w:val="center"/>
          </w:tcPr>
          <w:p>
            <w:r>
              <w:rPr>
                <w:b/>
              </w:rPr>
              <w:t>Name / signature / date</w:t>
            </w:r>
          </w:p>
        </w:tc>
      </w:tr>
      <w:tr>
        <w:tc>
          <w:tcPr>
            <w:tcW w:type="dxa" w:w="3900"/>
            <w:vAlign w:val="top"/>
          </w:tcPr>
          <w:p>
            <w:r>
              <w:t>Cursor personalization approved</w:t>
            </w:r>
          </w:p>
        </w:tc>
        <w:tc>
          <w:tcPr>
            <w:tcW w:type="dxa" w:w="5460"/>
            <w:vAlign w:val="top"/>
          </w:tcPr>
          <w:p>
            <w:r/>
          </w:p>
        </w:tc>
      </w:tr>
      <w:tr>
        <w:tc>
          <w:tcPr>
            <w:tcW w:type="dxa" w:w="3900"/>
            <w:vAlign w:val="top"/>
          </w:tcPr>
          <w:p>
            <w:r>
              <w:t>Claude role and outputs approved</w:t>
            </w:r>
          </w:p>
        </w:tc>
        <w:tc>
          <w:tcPr>
            <w:tcW w:type="dxa" w:w="5460"/>
            <w:vAlign w:val="top"/>
          </w:tcPr>
          <w:p>
            <w:r/>
          </w:p>
        </w:tc>
      </w:tr>
      <w:tr>
        <w:tc>
          <w:tcPr>
            <w:tcW w:type="dxa" w:w="3900"/>
            <w:vAlign w:val="top"/>
          </w:tcPr>
          <w:p>
            <w:r>
              <w:t>Proposed dependency order approved</w:t>
            </w:r>
          </w:p>
        </w:tc>
        <w:tc>
          <w:tcPr>
            <w:tcW w:type="dxa" w:w="5460"/>
            <w:vAlign w:val="top"/>
          </w:tcPr>
          <w:p>
            <w:r/>
          </w:p>
        </w:tc>
      </w:tr>
      <w:tr>
        <w:tc>
          <w:tcPr>
            <w:tcW w:type="dxa" w:w="3900"/>
            <w:vAlign w:val="top"/>
          </w:tcPr>
          <w:p>
            <w:r>
              <w:t>Repository topology decision delegated/conditioned</w:t>
            </w:r>
          </w:p>
        </w:tc>
        <w:tc>
          <w:tcPr>
            <w:tcW w:type="dxa" w:w="5460"/>
            <w:vAlign w:val="top"/>
          </w:tcPr>
          <w:p>
            <w:r/>
          </w:p>
        </w:tc>
      </w:tr>
      <w:tr>
        <w:tc>
          <w:tcPr>
            <w:tcW w:type="dxa" w:w="3900"/>
            <w:vAlign w:val="top"/>
          </w:tcPr>
          <w:p>
            <w:r>
              <w:t>Planning handover ratified</w:t>
            </w:r>
          </w:p>
        </w:tc>
        <w:tc>
          <w:tcPr>
            <w:tcW w:type="dxa" w:w="5460"/>
            <w:vAlign w:val="top"/>
          </w:tcPr>
          <w:p>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MAISON DOCLAR  |  MD-ORG-HO-001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Event OS Event-Day Edge Runtime</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