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t>Claude Instruction — Master Roadmap and Control Tower</w:t>
      </w:r>
    </w:p>
    <w:p>
      <w:pPr>
        <w:pStyle w:val="Subtitle"/>
        <w:jc w:val="center"/>
      </w:pPr>
      <w:r>
        <w:t>Planning authority for a continuously updated, evidence-derived programme view</w:t>
      </w:r>
    </w:p>
    <w:p>
      <w:pPr>
        <w:jc w:val="center"/>
      </w:pPr>
      <w:r>
        <w:t>MD-ORG-RM-CLD-001  |  Version 1.0  |  5 September 2026</w:t>
      </w:r>
    </w:p>
    <w:p>
      <w:pPr>
        <w:jc w:val="center"/>
      </w:pPr>
      <w:r>
        <w:rPr>
          <w:b/>
          <w:color w:val="9B1C1C"/>
        </w:rPr>
        <w:t>DRAFT FOR CEO RATIFICATION</w:t>
      </w:r>
    </w:p>
    <w:p>
      <w:r>
        <w:br w:type="page"/>
      </w:r>
    </w:p>
    <w:p>
      <w:pPr>
        <w:pStyle w:val="Heading1"/>
      </w:pPr>
      <w:r>
        <w:t>Instruction to Claude</w:t>
      </w:r>
    </w:p>
    <w:p>
      <w:r>
        <w:t>Use this document with the prior Claude Build-Planning and Cursor-Control Handover and the repository inventory. Do not implement code. Produce the definitive programme roadmap, machine-readable manifests, dependency model, file/commit plan and Cursor prompt inputs needed to build the Control Tower.</w:t>
      </w:r>
    </w:p>
    <w:p>
      <w:pPr>
        <w:pStyle w:val="Heading1"/>
      </w:pPr>
      <w:r>
        <w:t>1. Required analysis</w:t>
      </w:r>
    </w:p>
    <w:p>
      <w:pPr>
        <w:pStyle w:val="ListNumber"/>
      </w:pPr>
      <w:r>
        <w:t>Open and reconcile the authoritative build plans and prompt packs for Event OS, Event-Day Runtime, Academy, Marketing OS and Premium Ushering.</w:t>
      </w:r>
    </w:p>
    <w:p>
      <w:pPr>
        <w:pStyle w:val="ListNumber"/>
      </w:pPr>
      <w:r>
        <w:t>Verify the actual repository tree and any application code created since the inventory.</w:t>
      </w:r>
    </w:p>
    <w:p>
      <w:pPr>
        <w:pStyle w:val="ListNumber"/>
      </w:pPr>
      <w:r>
        <w:t>Resolve canonical, duplicate, recovered and superseded sources through the authority register.</w:t>
      </w:r>
    </w:p>
    <w:p>
      <w:pPr>
        <w:pStyle w:val="ListNumber"/>
      </w:pPr>
      <w:r>
        <w:t>Map every existing slice/prompt to a common product–phase–slice model without losing original IDs.</w:t>
      </w:r>
    </w:p>
    <w:p>
      <w:pPr>
        <w:pStyle w:val="ListNumber"/>
      </w:pPr>
      <w:r>
        <w:t>Identify dependencies within and between products; reject cycles or surface them as decisions.</w:t>
      </w:r>
    </w:p>
    <w:p>
      <w:pPr>
        <w:pStyle w:val="ListNumber"/>
      </w:pPr>
      <w:r>
        <w:t>Define mandatory versus optional slices and propose stable weights only for executive summaries.</w:t>
      </w:r>
    </w:p>
    <w:p>
      <w:pPr>
        <w:pStyle w:val="ListNumber"/>
      </w:pPr>
      <w:r>
        <w:t>Define entry/exit criteria, expected files, checks, evidence and approval gates for every slice.</w:t>
      </w:r>
    </w:p>
    <w:p>
      <w:pPr>
        <w:pStyle w:val="ListNumber"/>
      </w:pPr>
      <w:r>
        <w:t>Identify open items, external authorities and live validation that code cannot complete.</w:t>
      </w:r>
    </w:p>
    <w:p>
      <w:pPr>
        <w:pStyle w:val="ListNumber"/>
      </w:pPr>
      <w:r>
        <w:t>Propose the target URL, authentication and hosting approach consistent with the actual repo.</w:t>
      </w:r>
    </w:p>
    <w:p>
      <w:pPr>
        <w:pStyle w:val="ListNumber"/>
      </w:pPr>
      <w:r>
        <w:t>Submit planning artifacts for CEO ratification before Cursor receives CT1 or later.</w:t>
      </w:r>
    </w:p>
    <w:p>
      <w:pPr>
        <w:pStyle w:val="Heading1"/>
      </w:pPr>
      <w:r>
        <w:t>2. Mandatory deliverables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300"/>
            <w:shd w:fill="E8EEF5"/>
            <w:vAlign w:val="center"/>
          </w:tcPr>
          <w:p>
            <w:r>
              <w:rPr>
                <w:b/>
              </w:rPr>
              <w:t>File</w:t>
            </w:r>
          </w:p>
        </w:tc>
        <w:tc>
          <w:tcPr>
            <w:tcW w:type="dxa" w:w="6060"/>
            <w:shd w:fill="E8EEF5"/>
            <w:vAlign w:val="center"/>
          </w:tcPr>
          <w:p>
            <w:r>
              <w:rPr>
                <w:b/>
              </w:rPr>
              <w:t>Contents</w:t>
            </w:r>
          </w:p>
        </w:tc>
      </w:tr>
      <w:tr>
        <w:tc>
          <w:tcPr>
            <w:tcW w:type="dxa" w:w="3300"/>
            <w:vAlign w:val="top"/>
          </w:tcPr>
          <w:p>
            <w:r>
              <w:t>docs/control/PROGRAMME_ROADMAP.md</w:t>
            </w:r>
          </w:p>
        </w:tc>
        <w:tc>
          <w:tcPr>
            <w:tcW w:type="dxa" w:w="6060"/>
            <w:vAlign w:val="top"/>
          </w:tcPr>
          <w:p>
            <w:r>
              <w:t>Readable G0–G12 programme, product phases, sequence, critical path and release gates</w:t>
            </w:r>
          </w:p>
        </w:tc>
      </w:tr>
      <w:tr>
        <w:tc>
          <w:tcPr>
            <w:tcW w:type="dxa" w:w="3300"/>
            <w:vAlign w:val="top"/>
          </w:tcPr>
          <w:p>
            <w:r>
              <w:t>docs/control/PROGRAMME_DEPENDENCIES.md</w:t>
            </w:r>
          </w:p>
        </w:tc>
        <w:tc>
          <w:tcPr>
            <w:tcW w:type="dxa" w:w="6060"/>
            <w:vAlign w:val="top"/>
          </w:tcPr>
          <w:p>
            <w:r>
              <w:t>Cross-product DAG, dependency rationale and cycle report</w:t>
            </w:r>
          </w:p>
        </w:tc>
      </w:tr>
      <w:tr>
        <w:tc>
          <w:tcPr>
            <w:tcW w:type="dxa" w:w="3300"/>
            <w:vAlign w:val="top"/>
          </w:tcPr>
          <w:p>
            <w:r>
              <w:t>docs/control/ROADMAP_DATA_DICTIONARY.md</w:t>
            </w:r>
          </w:p>
        </w:tc>
        <w:tc>
          <w:tcPr>
            <w:tcW w:type="dxa" w:w="6060"/>
            <w:vAlign w:val="top"/>
          </w:tcPr>
          <w:p>
            <w:r>
              <w:t>Entity/field/status/evidence/freshness/authority definitions</w:t>
            </w:r>
          </w:p>
        </w:tc>
      </w:tr>
      <w:tr>
        <w:tc>
          <w:tcPr>
            <w:tcW w:type="dxa" w:w="3300"/>
            <w:vAlign w:val="top"/>
          </w:tcPr>
          <w:p>
            <w:r>
              <w:t>docs/control/CONTROL_TOWER_ARCHITECTURE.md</w:t>
            </w:r>
          </w:p>
        </w:tc>
        <w:tc>
          <w:tcPr>
            <w:tcW w:type="dxa" w:w="6060"/>
            <w:vAlign w:val="top"/>
          </w:tcPr>
          <w:p>
            <w:r>
              <w:t>Routes, services, ingestion, snapshots, RAG, security, availability and ADR links</w:t>
            </w:r>
          </w:p>
        </w:tc>
      </w:tr>
      <w:tr>
        <w:tc>
          <w:tcPr>
            <w:tcW w:type="dxa" w:w="3300"/>
            <w:vAlign w:val="top"/>
          </w:tcPr>
          <w:p>
            <w:r>
              <w:t>docs/control/CONTROL_TOWER_UX.md</w:t>
            </w:r>
          </w:p>
        </w:tc>
        <w:tc>
          <w:tcPr>
            <w:tcW w:type="dxa" w:w="6060"/>
            <w:vAlign w:val="top"/>
          </w:tcPr>
          <w:p>
            <w:r>
              <w:t>Every surface, chart, table, drill-down, state and responsive/accessibility behaviour</w:t>
            </w:r>
          </w:p>
        </w:tc>
      </w:tr>
      <w:tr>
        <w:tc>
          <w:tcPr>
            <w:tcW w:type="dxa" w:w="3300"/>
            <w:vAlign w:val="top"/>
          </w:tcPr>
          <w:p>
            <w:r>
              <w:t>programme/products/*.yaml</w:t>
            </w:r>
          </w:p>
        </w:tc>
        <w:tc>
          <w:tcPr>
            <w:tcW w:type="dxa" w:w="6060"/>
            <w:vAlign w:val="top"/>
          </w:tcPr>
          <w:p>
            <w:r>
              <w:t>Stable product records</w:t>
            </w:r>
          </w:p>
        </w:tc>
      </w:tr>
      <w:tr>
        <w:tc>
          <w:tcPr>
            <w:tcW w:type="dxa" w:w="3300"/>
            <w:vAlign w:val="top"/>
          </w:tcPr>
          <w:p>
            <w:r>
              <w:t>programme/phases/*.yaml</w:t>
            </w:r>
          </w:p>
        </w:tc>
        <w:tc>
          <w:tcPr>
            <w:tcW w:type="dxa" w:w="6060"/>
            <w:vAlign w:val="top"/>
          </w:tcPr>
          <w:p>
            <w:r>
              <w:t>Ordered phase records</w:t>
            </w:r>
          </w:p>
        </w:tc>
      </w:tr>
      <w:tr>
        <w:tc>
          <w:tcPr>
            <w:tcW w:type="dxa" w:w="3300"/>
            <w:vAlign w:val="top"/>
          </w:tcPr>
          <w:p>
            <w:r>
              <w:t>programme/slices/**/*.yaml</w:t>
            </w:r>
          </w:p>
        </w:tc>
        <w:tc>
          <w:tcPr>
            <w:tcW w:type="dxa" w:w="6060"/>
            <w:vAlign w:val="top"/>
          </w:tcPr>
          <w:p>
            <w:r>
              <w:t>One validated manifest per slice</w:t>
            </w:r>
          </w:p>
        </w:tc>
      </w:tr>
      <w:tr>
        <w:tc>
          <w:tcPr>
            <w:tcW w:type="dxa" w:w="3300"/>
            <w:vAlign w:val="top"/>
          </w:tcPr>
          <w:p>
            <w:r>
              <w:t>programme/gates/*.yaml</w:t>
            </w:r>
          </w:p>
        </w:tc>
        <w:tc>
          <w:tcPr>
            <w:tcW w:type="dxa" w:w="6060"/>
            <w:vAlign w:val="top"/>
          </w:tcPr>
          <w:p>
            <w:r>
              <w:t>Gate requirements and authorities</w:t>
            </w:r>
          </w:p>
        </w:tc>
      </w:tr>
      <w:tr>
        <w:tc>
          <w:tcPr>
            <w:tcW w:type="dxa" w:w="3300"/>
            <w:vAlign w:val="top"/>
          </w:tcPr>
          <w:p>
            <w:r>
              <w:t>programme/open-items/*.yaml</w:t>
            </w:r>
          </w:p>
        </w:tc>
        <w:tc>
          <w:tcPr>
            <w:tcW w:type="dxa" w:w="6060"/>
            <w:vAlign w:val="top"/>
          </w:tcPr>
          <w:p>
            <w:r>
              <w:t>Known unresolved work and decisions</w:t>
            </w:r>
          </w:p>
        </w:tc>
      </w:tr>
      <w:tr>
        <w:tc>
          <w:tcPr>
            <w:tcW w:type="dxa" w:w="3300"/>
            <w:vAlign w:val="top"/>
          </w:tcPr>
          <w:p>
            <w:r>
              <w:t>programme/schema/*</w:t>
            </w:r>
          </w:p>
        </w:tc>
        <w:tc>
          <w:tcPr>
            <w:tcW w:type="dxa" w:w="6060"/>
            <w:vAlign w:val="top"/>
          </w:tcPr>
          <w:p>
            <w:r>
              <w:t>JSON schemas/Zod contracts and validation</w:t>
            </w:r>
          </w:p>
        </w:tc>
      </w:tr>
      <w:tr>
        <w:tc>
          <w:tcPr>
            <w:tcW w:type="dxa" w:w="3300"/>
            <w:vAlign w:val="top"/>
          </w:tcPr>
          <w:p>
            <w:r>
              <w:t>prompts/control-tower/*.md</w:t>
            </w:r>
          </w:p>
        </w:tc>
        <w:tc>
          <w:tcPr>
            <w:tcW w:type="dxa" w:w="6060"/>
            <w:vAlign w:val="top"/>
          </w:tcPr>
          <w:p>
            <w:r>
              <w:t>Direct-to-Cursor CT0–CT9 prompts</w:t>
            </w:r>
          </w:p>
        </w:tc>
      </w:tr>
      <w:tr>
        <w:tc>
          <w:tcPr>
            <w:tcW w:type="dxa" w:w="3300"/>
            <w:vAlign w:val="top"/>
          </w:tcPr>
          <w:p>
            <w:r>
              <w:t>docs/control/POST_BUILD_VERIFICATION.md</w:t>
            </w:r>
          </w:p>
        </w:tc>
        <w:tc>
          <w:tcPr>
            <w:tcW w:type="dxa" w:w="6060"/>
            <w:vAlign w:val="top"/>
          </w:tcPr>
          <w:p>
            <w:r>
              <w:t>Reusable phase/slice verification record</w:t>
            </w:r>
          </w:p>
        </w:tc>
      </w:tr>
    </w:tbl>
    <w:p>
      <w:pPr>
        <w:pStyle w:val="Heading1"/>
      </w:pPr>
      <w:r>
        <w:t>3. Roadmap quality rules</w:t>
      </w:r>
    </w:p>
    <w:p>
      <w:pPr>
        <w:pStyle w:val="ListBullet"/>
      </w:pPr>
      <w:r>
        <w:t>A slice is one reviewable production outcome, not an entire product and not a trivial file edit.</w:t>
      </w:r>
    </w:p>
    <w:p>
      <w:pPr>
        <w:pStyle w:val="ListBullet"/>
      </w:pPr>
      <w:r>
        <w:t>The first slice in every product proves architecture/current state; the last prepares evidence but cannot self-release.</w:t>
      </w:r>
    </w:p>
    <w:p>
      <w:pPr>
        <w:pStyle w:val="ListBullet"/>
      </w:pPr>
      <w:r>
        <w:t>Every slice identifies exact canonical sources and expected files.</w:t>
      </w:r>
    </w:p>
    <w:p>
      <w:pPr>
        <w:pStyle w:val="ListBullet"/>
      </w:pPr>
      <w:r>
        <w:t>Outstanding work is derived, not manually narrated: unaccepted mandatory slices, unsatisfied dependencies, open blockers and incomplete gates.</w:t>
      </w:r>
    </w:p>
    <w:p>
      <w:pPr>
        <w:pStyle w:val="ListBullet"/>
      </w:pPr>
      <w:r>
        <w:t>Accepted status requires named reviewer, immutable commit and required evidence.</w:t>
      </w:r>
    </w:p>
    <w:p>
      <w:pPr>
        <w:pStyle w:val="ListBullet"/>
      </w:pPr>
      <w:r>
        <w:t>A commit without a slice ID is visible as unlinked work.</w:t>
      </w:r>
    </w:p>
    <w:p>
      <w:pPr>
        <w:pStyle w:val="ListBullet"/>
      </w:pPr>
      <w:r>
        <w:t>A slice with code but no accepted evidence remains IN_REVIEW or BLOCKED, not complete.</w:t>
      </w:r>
    </w:p>
    <w:p>
      <w:pPr>
        <w:pStyle w:val="ListBullet"/>
      </w:pPr>
      <w:r>
        <w:t>External and CEO decisions are never defaulted to approved.</w:t>
      </w:r>
    </w:p>
    <w:p>
      <w:pPr>
        <w:pStyle w:val="Heading1"/>
      </w:pPr>
      <w:r>
        <w:t>4. Product ordering to validate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300"/>
            <w:shd w:fill="E8EEF5"/>
            <w:vAlign w:val="center"/>
          </w:tcPr>
          <w:p>
            <w:r>
              <w:rPr>
                <w:b/>
              </w:rPr>
              <w:t>Stage</w:t>
            </w:r>
          </w:p>
        </w:tc>
        <w:tc>
          <w:tcPr>
            <w:tcW w:type="dxa" w:w="7060"/>
            <w:shd w:fill="E8EEF5"/>
            <w:vAlign w:val="center"/>
          </w:tcPr>
          <w:p>
            <w:r>
              <w:rPr>
                <w:b/>
              </w:rPr>
              <w:t>Programme intent</w:t>
            </w:r>
          </w:p>
        </w:tc>
      </w:tr>
      <w:tr>
        <w:tc>
          <w:tcPr>
            <w:tcW w:type="dxa" w:w="2300"/>
            <w:vAlign w:val="top"/>
          </w:tcPr>
          <w:p>
            <w:r>
              <w:t>Foundation</w:t>
            </w:r>
          </w:p>
        </w:tc>
        <w:tc>
          <w:tcPr>
            <w:tcW w:type="dxa" w:w="7060"/>
            <w:vAlign w:val="top"/>
          </w:tcPr>
          <w:p>
            <w:r>
              <w:t>Authority, monorepo/repository choice, CI, identity, tenancy, shared contracts, evidence system</w:t>
            </w:r>
          </w:p>
        </w:tc>
      </w:tr>
      <w:tr>
        <w:tc>
          <w:tcPr>
            <w:tcW w:type="dxa" w:w="2300"/>
            <w:vAlign w:val="top"/>
          </w:tcPr>
          <w:p>
            <w:r>
              <w:t>Event OS foundations</w:t>
            </w:r>
          </w:p>
        </w:tc>
        <w:tc>
          <w:tcPr>
            <w:tcW w:type="dxa" w:w="7060"/>
            <w:vAlign w:val="top"/>
          </w:tcPr>
          <w:p>
            <w:r>
              <w:t>Clients, events, guests, venues, suppliers, staff, schedule and readiness</w:t>
            </w:r>
          </w:p>
        </w:tc>
      </w:tr>
      <w:tr>
        <w:tc>
          <w:tcPr>
            <w:tcW w:type="dxa" w:w="2300"/>
            <w:vAlign w:val="top"/>
          </w:tcPr>
          <w:p>
            <w:r>
              <w:t>Academy foundations</w:t>
            </w:r>
          </w:p>
        </w:tc>
        <w:tc>
          <w:tcPr>
            <w:tcW w:type="dxa" w:w="7060"/>
            <w:vAlign w:val="top"/>
          </w:tcPr>
          <w:p>
            <w:r>
              <w:t>Learners, roles, competency, content governance and OS readiness contract</w:t>
            </w:r>
          </w:p>
        </w:tc>
      </w:tr>
      <w:tr>
        <w:tc>
          <w:tcPr>
            <w:tcW w:type="dxa" w:w="2300"/>
            <w:vAlign w:val="top"/>
          </w:tcPr>
          <w:p>
            <w:r>
              <w:t>Event OS operations</w:t>
            </w:r>
          </w:p>
        </w:tc>
        <w:tc>
          <w:tcPr>
            <w:tcW w:type="dxa" w:w="7060"/>
            <w:vAlign w:val="top"/>
          </w:tcPr>
          <w:p>
            <w:r>
              <w:t>Seating/access, requests, incidents, command, intelligence and permanent record</w:t>
            </w:r>
          </w:p>
        </w:tc>
      </w:tr>
      <w:tr>
        <w:tc>
          <w:tcPr>
            <w:tcW w:type="dxa" w:w="2300"/>
            <w:vAlign w:val="top"/>
          </w:tcPr>
          <w:p>
            <w:r>
              <w:t>Marketing OS</w:t>
            </w:r>
          </w:p>
        </w:tc>
        <w:tc>
          <w:tcPr>
            <w:tcW w:type="dxa" w:w="7060"/>
            <w:vAlign w:val="top"/>
          </w:tcPr>
          <w:p>
            <w:r>
              <w:t>Commercial/marketing domain on approved CRM and consent boundaries</w:t>
            </w:r>
          </w:p>
        </w:tc>
      </w:tr>
      <w:tr>
        <w:tc>
          <w:tcPr>
            <w:tcW w:type="dxa" w:w="2300"/>
            <w:vAlign w:val="top"/>
          </w:tcPr>
          <w:p>
            <w:r>
              <w:t>Premium Ushering</w:t>
            </w:r>
          </w:p>
        </w:tc>
        <w:tc>
          <w:tcPr>
            <w:tcW w:type="dxa" w:w="7060"/>
            <w:vAlign w:val="top"/>
          </w:tcPr>
          <w:p>
            <w:r>
              <w:t>Field service and staffing on Event OS/Academy foundations</w:t>
            </w:r>
          </w:p>
        </w:tc>
      </w:tr>
      <w:tr>
        <w:tc>
          <w:tcPr>
            <w:tcW w:type="dxa" w:w="2300"/>
            <w:vAlign w:val="top"/>
          </w:tcPr>
          <w:p>
            <w:r>
              <w:t>Event-Day Runtime</w:t>
            </w:r>
          </w:p>
        </w:tc>
        <w:tc>
          <w:tcPr>
            <w:tcW w:type="dxa" w:w="7060"/>
            <w:vAlign w:val="top"/>
          </w:tcPr>
          <w:p>
            <w:r>
              <w:t>Signed package, devices/PWA/scanning, ledger, LAN operation and reconciliation</w:t>
            </w:r>
          </w:p>
        </w:tc>
      </w:tr>
      <w:tr>
        <w:tc>
          <w:tcPr>
            <w:tcW w:type="dxa" w:w="2300"/>
            <w:vAlign w:val="top"/>
          </w:tcPr>
          <w:p>
            <w:r>
              <w:t>Cross-system closure</w:t>
            </w:r>
          </w:p>
        </w:tc>
        <w:tc>
          <w:tcPr>
            <w:tcW w:type="dxa" w:w="7060"/>
            <w:vAlign w:val="top"/>
          </w:tcPr>
          <w:p>
            <w:r>
              <w:t>Contract tests, change propagation, end-to-end security/accessibility/performance and release</w:t>
            </w:r>
          </w:p>
        </w:tc>
      </w:tr>
    </w:tbl>
    <w:p>
      <w:r>
        <w:t>Claude may recommend a different interleaving when evidence supports it, but must identify the critical path and explain why. No product may quietly create its own competing identity, guest, event, staff, consent or doctrine model.</w:t>
      </w:r>
    </w:p>
    <w:p>
      <w:pPr>
        <w:pStyle w:val="Heading1"/>
      </w:pPr>
      <w:r>
        <w:t>5. Slice manifest requirements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400"/>
            <w:shd w:fill="E8EEF5"/>
            <w:vAlign w:val="center"/>
          </w:tcPr>
          <w:p>
            <w:r>
              <w:rPr>
                <w:b/>
              </w:rPr>
              <w:t>Field group</w:t>
            </w:r>
          </w:p>
        </w:tc>
        <w:tc>
          <w:tcPr>
            <w:tcW w:type="dxa" w:w="6960"/>
            <w:shd w:fill="E8EEF5"/>
            <w:vAlign w:val="center"/>
          </w:tcPr>
          <w:p>
            <w:r>
              <w:rPr>
                <w:b/>
              </w:rPr>
              <w:t>Required definition</w:t>
            </w:r>
          </w:p>
        </w:tc>
      </w:tr>
      <w:tr>
        <w:tc>
          <w:tcPr>
            <w:tcW w:type="dxa" w:w="2400"/>
            <w:vAlign w:val="top"/>
          </w:tcPr>
          <w:p>
            <w:r>
              <w:t>Identity</w:t>
            </w:r>
          </w:p>
        </w:tc>
        <w:tc>
          <w:tcPr>
            <w:tcW w:type="dxa" w:w="6960"/>
            <w:vAlign w:val="top"/>
          </w:tcPr>
          <w:p>
            <w:r>
              <w:t>Stable slice ID, product, phase, order, title, owner and version</w:t>
            </w:r>
          </w:p>
        </w:tc>
      </w:tr>
      <w:tr>
        <w:tc>
          <w:tcPr>
            <w:tcW w:type="dxa" w:w="2400"/>
            <w:vAlign w:val="top"/>
          </w:tcPr>
          <w:p>
            <w:r>
              <w:t>Purpose</w:t>
            </w:r>
          </w:p>
        </w:tc>
        <w:tc>
          <w:tcPr>
            <w:tcW w:type="dxa" w:w="6960"/>
            <w:vAlign w:val="top"/>
          </w:tcPr>
          <w:p>
            <w:r>
              <w:t>Observable outcome, canonical refs and requirement IDs</w:t>
            </w:r>
          </w:p>
        </w:tc>
      </w:tr>
      <w:tr>
        <w:tc>
          <w:tcPr>
            <w:tcW w:type="dxa" w:w="2400"/>
            <w:vAlign w:val="top"/>
          </w:tcPr>
          <w:p>
            <w:r>
              <w:t>Dependencies</w:t>
            </w:r>
          </w:p>
        </w:tc>
        <w:tc>
          <w:tcPr>
            <w:tcW w:type="dxa" w:w="6960"/>
            <w:vAlign w:val="top"/>
          </w:tcPr>
          <w:p>
            <w:r>
              <w:t>Required accepted slices/contracts/gates and rationale</w:t>
            </w:r>
          </w:p>
        </w:tc>
      </w:tr>
      <w:tr>
        <w:tc>
          <w:tcPr>
            <w:tcW w:type="dxa" w:w="2400"/>
            <w:vAlign w:val="top"/>
          </w:tcPr>
          <w:p>
            <w:r>
              <w:t>Implementation</w:t>
            </w:r>
          </w:p>
        </w:tc>
        <w:tc>
          <w:tcPr>
            <w:tcW w:type="dxa" w:w="6960"/>
            <w:vAlign w:val="top"/>
          </w:tcPr>
          <w:p>
            <w:r>
              <w:t>Domain/data/API/frontend/security/offline/integration/observability</w:t>
            </w:r>
          </w:p>
        </w:tc>
      </w:tr>
      <w:tr>
        <w:tc>
          <w:tcPr>
            <w:tcW w:type="dxa" w:w="2400"/>
            <w:vAlign w:val="top"/>
          </w:tcPr>
          <w:p>
            <w:r>
              <w:t>Files</w:t>
            </w:r>
          </w:p>
        </w:tc>
        <w:tc>
          <w:tcPr>
            <w:tcW w:type="dxa" w:w="6960"/>
            <w:vAlign w:val="top"/>
          </w:tcPr>
          <w:p>
            <w:r>
              <w:t>Inspect, add, modify, migrate, generate and protected paths</w:t>
            </w:r>
          </w:p>
        </w:tc>
      </w:tr>
      <w:tr>
        <w:tc>
          <w:tcPr>
            <w:tcW w:type="dxa" w:w="2400"/>
            <w:vAlign w:val="top"/>
          </w:tcPr>
          <w:p>
            <w:r>
              <w:t>Acceptance</w:t>
            </w:r>
          </w:p>
        </w:tc>
        <w:tc>
          <w:tcPr>
            <w:tcW w:type="dxa" w:w="6960"/>
            <w:vAlign w:val="top"/>
          </w:tcPr>
          <w:p>
            <w:r>
              <w:t>Entry/exit criteria, required checks, browser/live cases and evidence kinds</w:t>
            </w:r>
          </w:p>
        </w:tc>
      </w:tr>
      <w:tr>
        <w:tc>
          <w:tcPr>
            <w:tcW w:type="dxa" w:w="2400"/>
            <w:vAlign w:val="top"/>
          </w:tcPr>
          <w:p>
            <w:r>
              <w:t>Control</w:t>
            </w:r>
          </w:p>
        </w:tc>
        <w:tc>
          <w:tcPr>
            <w:tcW w:type="dxa" w:w="6960"/>
            <w:vAlign w:val="top"/>
          </w:tcPr>
          <w:p>
            <w:r>
              <w:t>Open items, authority, status transitions, weight and supersession</w:t>
            </w:r>
          </w:p>
        </w:tc>
      </w:tr>
    </w:tbl>
    <w:p>
      <w:pPr>
        <w:pStyle w:val="Heading1"/>
      </w:pPr>
      <w:r>
        <w:t>6. RAG corpus plan</w:t>
      </w:r>
    </w:p>
    <w:p>
      <w:pPr>
        <w:pStyle w:val="ListBullet"/>
      </w:pPr>
      <w:r>
        <w:t>Index accepted canonical Markdown preferentially; extract DOCX only when no controlled Markdown exists.</w:t>
      </w:r>
    </w:p>
    <w:p>
      <w:pPr>
        <w:pStyle w:val="ListBullet"/>
      </w:pPr>
      <w:r>
        <w:t>Attach product, document ID, version, status, path, heading/doctrine ID, hash, permissions and effective date to each chunk.</w:t>
      </w:r>
    </w:p>
    <w:p>
      <w:pPr>
        <w:pStyle w:val="ListBullet"/>
      </w:pPr>
      <w:r>
        <w:t>Keep structured programme status outside vector retrieval and join it into answers.</w:t>
      </w:r>
    </w:p>
    <w:p>
      <w:pPr>
        <w:pStyle w:val="ListBullet"/>
      </w:pPr>
      <w:r>
        <w:t>Define at least 50 golden questions covering progress, outstanding work, dependencies, commits, blockers, source authority and release readiness.</w:t>
      </w:r>
    </w:p>
    <w:p>
      <w:pPr>
        <w:pStyle w:val="ListBullet"/>
      </w:pPr>
      <w:r>
        <w:t>Require cited answers and abstention when evidence is missing or stale.</w:t>
      </w:r>
    </w:p>
    <w:p>
      <w:pPr>
        <w:pStyle w:val="ListBullet"/>
      </w:pPr>
      <w:r>
        <w:t>Plan re-index on accepted source change and removal/supersession of old chunks.</w:t>
      </w:r>
    </w:p>
    <w:p>
      <w:pPr>
        <w:pStyle w:val="Heading1"/>
      </w:pPr>
      <w:r>
        <w:t>7. Claude output format</w:t>
      </w:r>
    </w:p>
    <w:p>
      <w:pPr>
        <w:pStyle w:val="ListNumber"/>
      </w:pPr>
      <w:r>
        <w:t>Executive roadmap summary and recommended critical path.</w:t>
      </w:r>
    </w:p>
    <w:p>
      <w:pPr>
        <w:pStyle w:val="ListNumber"/>
      </w:pPr>
      <w:r>
        <w:t>Full product/phase/slice catalogue with counts.</w:t>
      </w:r>
    </w:p>
    <w:p>
      <w:pPr>
        <w:pStyle w:val="ListNumber"/>
      </w:pPr>
      <w:r>
        <w:t>Dependency graph and unresolved cycles.</w:t>
      </w:r>
    </w:p>
    <w:p>
      <w:pPr>
        <w:pStyle w:val="ListNumber"/>
      </w:pPr>
      <w:r>
        <w:t>File/commit manifest per slice.</w:t>
      </w:r>
    </w:p>
    <w:p>
      <w:pPr>
        <w:pStyle w:val="ListNumber"/>
      </w:pPr>
      <w:r>
        <w:t>Control Tower architecture and UX specification.</w:t>
      </w:r>
    </w:p>
    <w:p>
      <w:pPr>
        <w:pStyle w:val="ListNumber"/>
      </w:pPr>
      <w:r>
        <w:t>RAG corpus, retrieval, permission and evaluation plan.</w:t>
      </w:r>
    </w:p>
    <w:p>
      <w:pPr>
        <w:pStyle w:val="ListNumber"/>
      </w:pPr>
      <w:r>
        <w:t>CT0–CT9 Cursor prompts populated for the actual repository.</w:t>
      </w:r>
    </w:p>
    <w:p>
      <w:pPr>
        <w:pStyle w:val="ListNumber"/>
      </w:pPr>
      <w:r>
        <w:t>Post-build verification and live-check template.</w:t>
      </w:r>
    </w:p>
    <w:p>
      <w:pPr>
        <w:pStyle w:val="ListNumber"/>
      </w:pPr>
      <w:r>
        <w:t>Open decision, risk and external authority register.</w:t>
      </w:r>
    </w:p>
    <w:p>
      <w:pPr>
        <w:pStyle w:val="ListNumber"/>
      </w:pPr>
      <w:r>
        <w:t>CEO ratification page; stop before implementation.</w:t>
      </w:r>
    </w:p>
    <w:p>
      <w:pPr>
        <w:pStyle w:val="Heading1"/>
      </w:pPr>
      <w:r>
        <w:t>Copy-ready instruction</w:t>
      </w:r>
    </w:p>
    <w:p>
      <w:r>
        <w:rPr>
          <w:rFonts w:ascii="Consolas" w:hAnsi="Consolas"/>
          <w:sz w:val="17"/>
        </w:rPr>
        <w:t>Read the Programme Control Tower Addendum, the prior Claude handover, the complete repository inventory and every controlling product build plan. Do not implement code. Verify the repository’s current state, then create a unified, dependency-correct roadmap for Event OS, Event-Day Runtime, Academy, Marketing OS, Premium Ushering and cross-system integration.</w:t>
        <w:br/>
        <w:br/>
        <w:t>Define stable product, phase, slice, gate, open-item, commit and evidence records. For every slice state the exact outcome, canonical sources, dependencies, expected files, entry/exit criteria, tests, evidence and commit boundary. Produce machine-readable manifests validated by schema, a readable roadmap, critical path, Control Tower architecture/UX, RAG corpus/evaluation plan, post-build verification template and direct-to-Cursor CT0–CT9 prompts adapted to the actual repository.</w:t>
        <w:br/>
        <w:br/>
        <w:t>Progress must be computed from accepted commits and evidence, never asserted manually. Preserve external authority and CEO release locks. Surface unknowns, contradictions, cycles and missing implementation. Submit the complete planning pack for CEO ratification and stop before code.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MAISON DOCLAR  |  MD-ORG-RM-CLD-001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Event OS Event-Day Edge Runtime</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