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Control Tower Cursor Prompt Programme CT0–CT9</w:t>
      </w:r>
    </w:p>
    <w:p>
      <w:pPr>
        <w:pStyle w:val="Subtitle"/>
        <w:jc w:val="center"/>
      </w:pPr>
      <w:r>
        <w:t>Sequential TypeScript implementation prompts for the private roadmap URL</w:t>
      </w:r>
    </w:p>
    <w:p>
      <w:pPr>
        <w:jc w:val="center"/>
      </w:pPr>
      <w:r>
        <w:t>MD-ORG-RM-CUR-001  |  Version 1.0  |  5 September 2026</w:t>
      </w:r>
    </w:p>
    <w:p>
      <w:pPr>
        <w:jc w:val="center"/>
      </w:pPr>
      <w:r>
        <w:rPr>
          <w:b/>
          <w:color w:val="9B1C1C"/>
        </w:rPr>
        <w:t>DRAFT FOR CEO RATIFICATION</w:t>
      </w:r>
    </w:p>
    <w:p>
      <w:r>
        <w:br w:type="page"/>
      </w:r>
    </w:p>
    <w:p>
      <w:pPr>
        <w:pStyle w:val="Heading1"/>
      </w:pPr>
      <w:r>
        <w:t>Standing Cursor contract</w:t>
      </w:r>
    </w:p>
    <w:p>
      <w:r>
        <w:t>Apply the Cursor personalization charter and the prior Claude handover to every prompt. Read all CT prompts for context but execute only the expressly authorised CT ID. Inspect the actual repository, use strict TypeScript and runtime validation, implement all relevant frontend and failure states, run tests, update control records, create one coherent commit and stop.</w:t>
      </w:r>
    </w:p>
    <w:p>
      <w:pPr>
        <w:pStyle w:val="Heading1"/>
      </w:pPr>
      <w:r>
        <w:t>CT0 — Preflight and Claude-plan adoption</w:t>
      </w:r>
    </w:p>
    <w:p>
      <w:r>
        <w:t>Authorised outcome: Inspect repository/application state, authoritative roadmap artifacts, auth, CI/provider, database, hosting and design system. Validate every manifest and produce a gap/decision report. No feature build.</w:t>
      </w:r>
    </w:p>
    <w:p>
      <w:r>
        <w:t>Acceptance: Authority, baseline, proposed route and provider decision accepted.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`CT0`; return hash/worktree status; do not start the next prompt.</w:t>
            </w:r>
          </w:p>
        </w:tc>
      </w:tr>
    </w:tbl>
    <w:p>
      <w:pPr>
        <w:pStyle w:val="Heading1"/>
      </w:pPr>
      <w:r>
        <w:t>CT1 — Programme domain and manifest validator</w:t>
      </w:r>
    </w:p>
    <w:p>
      <w:r>
        <w:t>Authorised outcome: Implement Product, Phase, Slice, Dependency, Evidence, Commit, Check, OpenItem, Decision, Gate, Approval, Snapshot and Timeline schemas; YAML/JSON loader, referential validation and DAG cycle detection.</w:t>
      </w:r>
    </w:p>
    <w:p>
      <w:r>
        <w:t>Acceptance: Invalid states/dependencies/accepted-without-evidence fail CI; deterministic normalized output.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`CT1`; return hash/worktree status; do not start the next prompt.</w:t>
            </w:r>
          </w:p>
        </w:tc>
      </w:tr>
    </w:tbl>
    <w:p>
      <w:pPr>
        <w:pStyle w:val="Heading1"/>
      </w:pPr>
      <w:r>
        <w:t>CT2 — Persistence, snapshots and status calculator</w:t>
      </w:r>
    </w:p>
    <w:p>
      <w:r>
        <w:t>Authorised outcome: Implement repository-standard migrations and services for immutable events, current projections and versioned snapshots. Calculate READY/BLOCKED/IN_REVIEW/ACCEPTED and outstanding work from evidence.</w:t>
      </w:r>
    </w:p>
    <w:p>
      <w:r>
        <w:t>Acceptance: Idempotency, concurrency, historical snapshot and status transition tests; no manual percent override.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`CT2`; return hash/worktree status; do not start the next prompt.</w:t>
            </w:r>
          </w:p>
        </w:tc>
      </w:tr>
    </w:tbl>
    <w:p>
      <w:pPr>
        <w:pStyle w:val="Heading1"/>
      </w:pPr>
      <w:r>
        <w:t>CT3 — Repository and CI ingestion</w:t>
      </w:r>
    </w:p>
    <w:p>
      <w:r>
        <w:t>Authorised outcome: Implement signed webhook adapters and scheduled reconciliation for the selected Git/CI provider. Link commits/checks by slice metadata and show unlinked work.</w:t>
      </w:r>
    </w:p>
    <w:p>
      <w:r>
        <w:t>Acceptance: Signature/replay/retry/out-of-order/duplicate/provider outage tests; read-only least privilege.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`CT3`; return hash/worktree status; do not start the next prompt.</w:t>
            </w:r>
          </w:p>
        </w:tc>
      </w:tr>
    </w:tbl>
    <w:p>
      <w:pPr>
        <w:pStyle w:val="Heading1"/>
      </w:pPr>
      <w:r>
        <w:t>CT4 — Control Tower shell and executive portfolio</w:t>
      </w:r>
    </w:p>
    <w:p>
      <w:r>
        <w:t>Authorised outcome: Build private `/programme` navigation, portfolio cards, critical path, now/next/later, blockers, commit stream, quality and gate views with freshness.</w:t>
      </w:r>
    </w:p>
    <w:p>
      <w:r>
        <w:t>Acceptance: Responsive, accessible loading/empty/error/stale/denied/degraded states and browser evidence.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`CT4`; return hash/worktree status; do not start the next prompt.</w:t>
            </w:r>
          </w:p>
        </w:tc>
      </w:tr>
    </w:tbl>
    <w:p>
      <w:pPr>
        <w:pStyle w:val="Heading1"/>
      </w:pPr>
      <w:r>
        <w:t>CT5 — Roadmap, product and slice drill-down</w:t>
      </w:r>
    </w:p>
    <w:p>
      <w:r>
        <w:t>Authorised outcome: Build dependency DAG plus accessible table, product phase/slice views and slice evidence/file/commit/test/open-item drill-down.</w:t>
      </w:r>
    </w:p>
    <w:p>
      <w:r>
        <w:t>Acceptance: Cycles/missing evidence visible; chart has table equivalent; filters and deep links tested.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`CT5`; return hash/worktree status; do not start the next prompt.</w:t>
            </w:r>
          </w:p>
        </w:tc>
      </w:tr>
    </w:tbl>
    <w:p>
      <w:pPr>
        <w:pStyle w:val="Heading1"/>
      </w:pPr>
      <w:r>
        <w:t>CT6 — Open items, decisions, gates, releases and audit</w:t>
      </w:r>
    </w:p>
    <w:p>
      <w:r>
        <w:t>Authorised outcome: Build controlled workflows with role/authority checks, append-only history, expiry and release-candidate view.</w:t>
      </w:r>
    </w:p>
    <w:p>
      <w:r>
        <w:t>Acceptance: Cursor/Claude cannot approve protected gates; correction appends event; audit and negative permission tests.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`CT6`; return hash/worktree status; do not start the next prompt.</w:t>
            </w:r>
          </w:p>
        </w:tc>
      </w:tr>
    </w:tbl>
    <w:p>
      <w:pPr>
        <w:pStyle w:val="Heading1"/>
      </w:pPr>
      <w:r>
        <w:t>CT7 — RAG ingestion and grounded programme assistant</w:t>
      </w:r>
    </w:p>
    <w:p>
      <w:r>
        <w:t>Authorised outcome: Implement allow-listed canonical/control source ingestion, chunk metadata/version/supersession, permission-aware hybrid retrieval, structured-status tool and cited answer/abstention.</w:t>
      </w:r>
    </w:p>
    <w:p>
      <w:r>
        <w:t>Acceptance: Golden, citation, stale-source, access-leak, prompt-injection and no-evidence tests; RAG failure does not impair roadmap.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`CT7`; return hash/worktree status; do not start the next prompt.</w:t>
            </w:r>
          </w:p>
        </w:tc>
      </w:tr>
    </w:tbl>
    <w:p>
      <w:pPr>
        <w:pStyle w:val="Heading1"/>
      </w:pPr>
      <w:r>
        <w:t>CT8 — Charts, notifications and update freshness</w:t>
      </w:r>
    </w:p>
    <w:p>
      <w:r>
        <w:t>Authorised outcome: Implement useful charts, snapshot diff, freshness monitoring and optional alert subscriptions for blocker/decision/review/gate changes.</w:t>
      </w:r>
    </w:p>
    <w:p>
      <w:r>
        <w:t>Acceptance: No decorative/misleading metric; unknown not green; duplicate alerts prevented; accessible equivalents.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`CT8`; return hash/worktree status; do not start the next prompt.</w:t>
            </w:r>
          </w:p>
        </w:tc>
      </w:tr>
    </w:tbl>
    <w:p>
      <w:pPr>
        <w:pStyle w:val="Heading1"/>
      </w:pPr>
      <w:r>
        <w:t>CT9 — Operations, full acceptance and release evidence</w:t>
      </w:r>
    </w:p>
    <w:p>
      <w:r>
        <w:t>Authorised outcome: Complete monitoring, backup/restore, runbook, security/privacy/accessibility/performance/failure tests and evidence pack.</w:t>
      </w:r>
    </w:p>
    <w:p>
      <w:r>
        <w:t>Acceptance: Independent and CEO gates remain unsigned; production remains blocked until external acceptance.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700"/>
            <w:shd w:fill="E8EEF5"/>
            <w:vAlign w:val="center"/>
          </w:tcPr>
          <w:p>
            <w:r>
              <w:rPr>
                <w:b/>
              </w:rPr>
              <w:t>Area</w:t>
            </w:r>
          </w:p>
        </w:tc>
        <w:tc>
          <w:tcPr>
            <w:tcW w:type="dxa" w:w="7660"/>
            <w:shd w:fill="E8EEF5"/>
            <w:vAlign w:val="center"/>
          </w:tcPr>
          <w:p>
            <w:r>
              <w:rPr>
                <w:b/>
              </w:rPr>
              <w:t>Required instruction</w:t>
            </w:r>
          </w:p>
        </w:tc>
      </w:tr>
      <w:tr>
        <w:tc>
          <w:tcPr>
            <w:tcW w:type="dxa" w:w="1700"/>
            <w:vAlign w:val="top"/>
          </w:tcPr>
          <w:p>
            <w:r>
              <w:t>Inspect</w:t>
            </w:r>
          </w:p>
        </w:tc>
        <w:tc>
          <w:tcPr>
            <w:tcW w:type="dxa" w:w="7660"/>
            <w:vAlign w:val="top"/>
          </w:tcPr>
          <w:p>
            <w:r>
              <w:t>Cite existing paths, conventions, baseline and contradictions before edits.</w:t>
            </w:r>
          </w:p>
        </w:tc>
      </w:tr>
      <w:tr>
        <w:tc>
          <w:tcPr>
            <w:tcW w:type="dxa" w:w="1700"/>
            <w:vAlign w:val="top"/>
          </w:tcPr>
          <w:p>
            <w:r>
              <w:t>Files</w:t>
            </w:r>
          </w:p>
        </w:tc>
        <w:tc>
          <w:tcPr>
            <w:tcW w:type="dxa" w:w="7660"/>
            <w:vAlign w:val="top"/>
          </w:tcPr>
          <w:p>
            <w:r>
              <w:t>Use Claude’s exact inspect/add/modify/migrate/generate/protect manifest; record any convention mapping.</w:t>
            </w:r>
          </w:p>
        </w:tc>
      </w:tr>
      <w:tr>
        <w:tc>
          <w:tcPr>
            <w:tcW w:type="dxa" w:w="1700"/>
            <w:vAlign w:val="top"/>
          </w:tcPr>
          <w:p>
            <w:r>
              <w:t>Backend/data</w:t>
            </w:r>
          </w:p>
        </w:tc>
        <w:tc>
          <w:tcPr>
            <w:tcW w:type="dxa" w:w="7660"/>
            <w:vAlign w:val="top"/>
          </w:tcPr>
          <w:p>
            <w:r>
              <w:t>Strict schemas, constraints, transactions, idempotency, permissions and audit.</w:t>
            </w:r>
          </w:p>
        </w:tc>
      </w:tr>
      <w:tr>
        <w:tc>
          <w:tcPr>
            <w:tcW w:type="dxa" w:w="1700"/>
            <w:vAlign w:val="top"/>
          </w:tcPr>
          <w:p>
            <w:r>
              <w:t>Frontend</w:t>
            </w:r>
          </w:p>
        </w:tc>
        <w:tc>
          <w:tcPr>
            <w:tcW w:type="dxa" w:w="7660"/>
            <w:vAlign w:val="top"/>
          </w:tcPr>
          <w:p>
            <w:r>
              <w:t>Complete routes and loading/empty/denied/stale/degraded/conflict/error/recovery states.</w:t>
            </w:r>
          </w:p>
        </w:tc>
      </w:tr>
      <w:tr>
        <w:tc>
          <w:tcPr>
            <w:tcW w:type="dxa" w:w="1700"/>
            <w:vAlign w:val="top"/>
          </w:tcPr>
          <w:p>
            <w:r>
              <w:t>Tests</w:t>
            </w:r>
          </w:p>
        </w:tc>
        <w:tc>
          <w:tcPr>
            <w:tcW w:type="dxa" w:w="7660"/>
            <w:vAlign w:val="top"/>
          </w:tcPr>
          <w:p>
            <w:r>
              <w:t>Unit, integration, contract, E2E/browser, accessibility, security and failure cases.</w:t>
            </w:r>
          </w:p>
        </w:tc>
      </w:tr>
      <w:tr>
        <w:tc>
          <w:tcPr>
            <w:tcW w:type="dxa" w:w="1700"/>
            <w:vAlign w:val="top"/>
          </w:tcPr>
          <w:p>
            <w:r>
              <w:t>Evidence</w:t>
            </w:r>
          </w:p>
        </w:tc>
        <w:tc>
          <w:tcPr>
            <w:tcW w:type="dxa" w:w="7660"/>
            <w:vAlign w:val="top"/>
          </w:tcPr>
          <w:p>
            <w:r>
              <w:t>Exact commands/results, screenshots/logs, changed-file list, risks, ledgers and traceability.</w:t>
            </w:r>
          </w:p>
        </w:tc>
      </w:tr>
      <w:tr>
        <w:tc>
          <w:tcPr>
            <w:tcW w:type="dxa" w:w="1700"/>
            <w:vAlign w:val="top"/>
          </w:tcPr>
          <w:p>
            <w:r>
              <w:t>Commit/stop</w:t>
            </w:r>
          </w:p>
        </w:tc>
        <w:tc>
          <w:tcPr>
            <w:tcW w:type="dxa" w:w="7660"/>
            <w:vAlign w:val="top"/>
          </w:tcPr>
          <w:p>
            <w:r>
              <w:t>One coherent commit containing `CT9`; return hash/worktree status; do not start the next prompt.</w:t>
            </w:r>
          </w:p>
        </w:tc>
      </w:tr>
    </w:tbl>
    <w:p>
      <w:pPr>
        <w:pStyle w:val="Heading1"/>
      </w:pPr>
      <w:r>
        <w:t>Required slice commit metadata</w:t>
      </w:r>
    </w:p>
    <w:p>
      <w:r>
        <w:rPr>
          <w:rFonts w:ascii="Consolas" w:hAnsi="Consolas"/>
          <w:sz w:val="17"/>
        </w:rPr>
        <w:t>Slice-ID: &lt;stable ID&gt;</w:t>
        <w:br/>
        <w:t>Product: &lt;product code&gt;</w:t>
        <w:br/>
        <w:t>Canonical-Refs: &lt;IDs/paths&gt;</w:t>
        <w:br/>
        <w:t>Evidence-Refs: &lt;IDs/paths&gt;</w:t>
        <w:br/>
        <w:t>Open-Items: &lt;IDs or NONE&gt;</w:t>
      </w:r>
    </w:p>
    <w:p>
      <w:pPr>
        <w:pStyle w:val="Heading1"/>
      </w:pPr>
      <w:r>
        <w:t>Protected stop conditions</w:t>
      </w:r>
    </w:p>
    <w:p>
      <w:pPr>
        <w:pStyle w:val="ListBullet"/>
      </w:pPr>
      <w:r>
        <w:t>Claude planning artifacts absent/unratified</w:t>
      </w:r>
    </w:p>
    <w:p>
      <w:pPr>
        <w:pStyle w:val="ListBullet"/>
      </w:pPr>
      <w:r>
        <w:t>Actual repository contradicts assumed stack or paths</w:t>
      </w:r>
    </w:p>
    <w:p>
      <w:pPr>
        <w:pStyle w:val="ListBullet"/>
      </w:pPr>
      <w:r>
        <w:t>Provider/hosting/auth choice unresolved</w:t>
      </w:r>
    </w:p>
    <w:p>
      <w:pPr>
        <w:pStyle w:val="ListBullet"/>
      </w:pPr>
      <w:r>
        <w:t>Baseline not reproducible</w:t>
      </w:r>
    </w:p>
    <w:p>
      <w:pPr>
        <w:pStyle w:val="ListBullet"/>
      </w:pPr>
      <w:r>
        <w:t>Migration destructive or rollback/containment absent</w:t>
      </w:r>
    </w:p>
    <w:p>
      <w:pPr>
        <w:pStyle w:val="ListBullet"/>
      </w:pPr>
      <w:r>
        <w:t>Status could be manually marked accepted without evidence</w:t>
      </w:r>
    </w:p>
    <w:p>
      <w:pPr>
        <w:pStyle w:val="ListBullet"/>
      </w:pPr>
      <w:r>
        <w:t>RAG could retrieve unauthorised/superseded content or answer without citation</w:t>
      </w:r>
    </w:p>
    <w:p>
      <w:pPr>
        <w:pStyle w:val="ListBullet"/>
      </w:pPr>
      <w:r>
        <w:t>External or CEO approval would be inferred</w:t>
      </w:r>
    </w:p>
    <w:p>
      <w:pPr>
        <w:pStyle w:val="ListBullet"/>
      </w:pPr>
      <w:r>
        <w:t>Security, accessibility or audit weakened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MD-ORG-RM-CUR-001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