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MAISON DOCLAR</w:t>
      </w:r>
    </w:p>
    <w:p>
      <w:pPr>
        <w:pStyle w:val="Title"/>
      </w:pPr>
      <w:r>
        <w:t>Master Repository, Cursor and Acceptance Control Bundle</w:t>
      </w:r>
    </w:p>
    <w:p>
      <w:pPr>
        <w:pStyle w:val="Subtitle"/>
      </w:pPr>
      <w:r>
        <w:t>Recovered authorities and new execution guides for four Maison Doclar systems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32"/>
            <w:shd w:fill="1118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Control</w:t>
            </w:r>
          </w:p>
        </w:tc>
        <w:tc>
          <w:tcPr>
            <w:tcW w:type="dxa" w:w="7128"/>
            <w:shd w:fill="1118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Document ID</w:t>
            </w:r>
          </w:p>
        </w:tc>
        <w:tc>
          <w:tcPr>
            <w:tcW w:type="dxa" w:w="712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MD-BUILD-IDX-001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Version</w:t>
            </w:r>
          </w:p>
        </w:tc>
        <w:tc>
          <w:tcPr>
            <w:tcW w:type="dxa" w:w="712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1.0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Status</w:t>
            </w:r>
          </w:p>
        </w:tc>
        <w:tc>
          <w:tcPr>
            <w:tcW w:type="dxa" w:w="712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DRAFT FOR CEO RATIFICATION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Operating rule</w:t>
            </w:r>
          </w:p>
        </w:tc>
        <w:tc>
          <w:tcPr>
            <w:tcW w:type="dxa" w:w="712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One authorised prompt at a time; evidence before continuation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Authority</w:t>
            </w:r>
          </w:p>
        </w:tc>
        <w:tc>
          <w:tcPr>
            <w:tcW w:type="dxa" w:w="712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CEO or delegated acceptance authority</w:t>
            </w:r>
          </w:p>
        </w:tc>
      </w:tr>
    </w:tbl>
    <w:p>
      <w:pPr>
        <w:spacing w:after="0"/>
      </w:pPr>
    </w:p>
    <w:p>
      <w:r>
        <w:rPr>
          <w:rFonts w:ascii="Arial" w:hAnsi="Arial"/>
          <w:b/>
          <w:i w:val="0"/>
          <w:color w:val="8C2F39"/>
          <w:sz w:val="20"/>
        </w:rPr>
        <w:t xml:space="preserve">NON-NEGOTIABLE: </w:t>
      </w:r>
      <w:r>
        <w:rPr>
          <w:rFonts w:ascii="Arial" w:hAnsi="Arial"/>
          <w:b w:val="0"/>
          <w:i w:val="0"/>
          <w:color w:val="222222"/>
          <w:sz w:val="20"/>
        </w:rPr>
        <w:t>Cursor may inspect the complete programme for context but may execute only the specifically authorised prompt. It cannot approve its own work or release itself to production.</w:t>
      </w:r>
    </w:p>
    <w:p>
      <w:pPr>
        <w:pStyle w:val="Heading1"/>
      </w:pPr>
      <w:r>
        <w:t>1. Purpose</w:t>
      </w:r>
    </w:p>
    <w:p>
      <w:r>
        <w:rPr>
          <w:rFonts w:ascii="Arial" w:hAnsi="Arial"/>
          <w:b w:val="0"/>
          <w:i w:val="0"/>
          <w:color w:val="222222"/>
          <w:sz w:val="21"/>
        </w:rPr>
        <w:t>This index eliminates uncertainty about what is given to Cursor, what is committed to Git, what remains outside repositories and what evidence is required before a prompt or release is accepted. Recovered documents retain their original identity; newly drafted guides are labelled NEW.</w:t>
      </w:r>
    </w:p>
    <w:p>
      <w:pPr>
        <w:pStyle w:val="Heading1"/>
      </w:pPr>
      <w:r>
        <w:t>2. Golden operating rule</w:t>
      </w:r>
    </w:p>
    <w:p>
      <w:r>
        <w:rPr>
          <w:rFonts w:ascii="Arial" w:hAnsi="Arial"/>
          <w:b w:val="0"/>
          <w:i w:val="0"/>
          <w:color w:val="222222"/>
          <w:sz w:val="21"/>
        </w:rPr>
        <w:t>Cursor may read a full pack to understand sequence and dependencies, but receives authority to execute one numbered prompt at a time. Each prompt ends in evidence review and a coherent commit before the next is authorised. Cursor never self-ratifies doctrine, legal positions, independent acceptance or production release.</w:t>
      </w:r>
    </w:p>
    <w:p>
      <w:pPr>
        <w:pStyle w:val="Heading1"/>
      </w:pPr>
      <w:r>
        <w:t>3. Bundle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648"/>
            <w:shd w:fill="1118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4680"/>
            <w:shd w:fill="1118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Document</w:t>
            </w:r>
          </w:p>
        </w:tc>
        <w:tc>
          <w:tcPr>
            <w:tcW w:type="dxa" w:w="1296"/>
            <w:shd w:fill="1118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2736"/>
            <w:shd w:fill="1118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Primary use</w:t>
            </w:r>
          </w:p>
        </w:tc>
      </w:tr>
      <w:tr>
        <w:tc>
          <w:tcPr>
            <w:tcW w:type="dxa" w:w="64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01</w:t>
            </w:r>
          </w:p>
        </w:tc>
        <w:tc>
          <w:tcPr>
            <w:tcW w:type="dxa" w:w="46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Master Repository, Cursor and Acceptance Control Bundle</w:t>
            </w:r>
          </w:p>
        </w:tc>
        <w:tc>
          <w:tcPr>
            <w:tcW w:type="dxa" w:w="129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NEW</w:t>
            </w:r>
          </w:p>
        </w:tc>
        <w:tc>
          <w:tcPr>
            <w:tcW w:type="dxa" w:w="273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Navigation, precedence and execution order</w:t>
            </w:r>
          </w:p>
        </w:tc>
      </w:tr>
      <w:tr>
        <w:tc>
          <w:tcPr>
            <w:tcW w:type="dxa" w:w="64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02</w:t>
            </w:r>
          </w:p>
        </w:tc>
        <w:tc>
          <w:tcPr>
            <w:tcW w:type="dxa" w:w="46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Repository Document Control and Cursor Execution Manual</w:t>
            </w:r>
          </w:p>
        </w:tc>
        <w:tc>
          <w:tcPr>
            <w:tcW w:type="dxa" w:w="129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RECOVERED</w:t>
            </w:r>
          </w:p>
        </w:tc>
        <w:tc>
          <w:tcPr>
            <w:tcW w:type="dxa" w:w="273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Original cross-system Git/Cursor rules</w:t>
            </w:r>
          </w:p>
        </w:tc>
      </w:tr>
      <w:tr>
        <w:tc>
          <w:tcPr>
            <w:tcW w:type="dxa" w:w="64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03</w:t>
            </w:r>
          </w:p>
        </w:tc>
        <w:tc>
          <w:tcPr>
            <w:tcW w:type="dxa" w:w="46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OS-Academy Full Knowledge Reconciliation and Release Control Pack</w:t>
            </w:r>
          </w:p>
        </w:tc>
        <w:tc>
          <w:tcPr>
            <w:tcW w:type="dxa" w:w="129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RECOVERED</w:t>
            </w:r>
          </w:p>
        </w:tc>
        <w:tc>
          <w:tcPr>
            <w:tcW w:type="dxa" w:w="273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KIR and release control</w:t>
            </w:r>
          </w:p>
        </w:tc>
      </w:tr>
      <w:tr>
        <w:tc>
          <w:tcPr>
            <w:tcW w:type="dxa" w:w="64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04</w:t>
            </w:r>
          </w:p>
        </w:tc>
        <w:tc>
          <w:tcPr>
            <w:tcW w:type="dxa" w:w="46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Event OS Reconciliation Cursor Prompt Bundle</w:t>
            </w:r>
          </w:p>
        </w:tc>
        <w:tc>
          <w:tcPr>
            <w:tcW w:type="dxa" w:w="129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RECOVERED</w:t>
            </w:r>
          </w:p>
        </w:tc>
        <w:tc>
          <w:tcPr>
            <w:tcW w:type="dxa" w:w="273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Event OS reconciliation build</w:t>
            </w:r>
          </w:p>
        </w:tc>
      </w:tr>
      <w:tr>
        <w:tc>
          <w:tcPr>
            <w:tcW w:type="dxa" w:w="64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05</w:t>
            </w:r>
          </w:p>
        </w:tc>
        <w:tc>
          <w:tcPr>
            <w:tcW w:type="dxa" w:w="46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OS-Academy Integration Contract</w:t>
            </w:r>
          </w:p>
        </w:tc>
        <w:tc>
          <w:tcPr>
            <w:tcW w:type="dxa" w:w="129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RECOVERED</w:t>
            </w:r>
          </w:p>
        </w:tc>
        <w:tc>
          <w:tcPr>
            <w:tcW w:type="dxa" w:w="273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Machine boundary and readiness exchange</w:t>
            </w:r>
          </w:p>
        </w:tc>
      </w:tr>
      <w:tr>
        <w:tc>
          <w:tcPr>
            <w:tcW w:type="dxa" w:w="64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06</w:t>
            </w:r>
          </w:p>
        </w:tc>
        <w:tc>
          <w:tcPr>
            <w:tcW w:type="dxa" w:w="46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Academy Repository and Cursor Execution Guide</w:t>
            </w:r>
          </w:p>
        </w:tc>
        <w:tc>
          <w:tcPr>
            <w:tcW w:type="dxa" w:w="129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NEW</w:t>
            </w:r>
          </w:p>
        </w:tc>
        <w:tc>
          <w:tcPr>
            <w:tcW w:type="dxa" w:w="273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Academy Git and Cursor procedure</w:t>
            </w:r>
          </w:p>
        </w:tc>
      </w:tr>
      <w:tr>
        <w:tc>
          <w:tcPr>
            <w:tcW w:type="dxa" w:w="64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07</w:t>
            </w:r>
          </w:p>
        </w:tc>
        <w:tc>
          <w:tcPr>
            <w:tcW w:type="dxa" w:w="46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Academy Reconciliation Cursor Prompt Bundle</w:t>
            </w:r>
          </w:p>
        </w:tc>
        <w:tc>
          <w:tcPr>
            <w:tcW w:type="dxa" w:w="129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RECOVERED</w:t>
            </w:r>
          </w:p>
        </w:tc>
        <w:tc>
          <w:tcPr>
            <w:tcW w:type="dxa" w:w="273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Academy reconciliation build</w:t>
            </w:r>
          </w:p>
        </w:tc>
      </w:tr>
      <w:tr>
        <w:tc>
          <w:tcPr>
            <w:tcW w:type="dxa" w:w="64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08</w:t>
            </w:r>
          </w:p>
        </w:tc>
        <w:tc>
          <w:tcPr>
            <w:tcW w:type="dxa" w:w="46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Academy Premium Ushering Cursor Reconciliation Prompt</w:t>
            </w:r>
          </w:p>
        </w:tc>
        <w:tc>
          <w:tcPr>
            <w:tcW w:type="dxa" w:w="129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RECOVERED</w:t>
            </w:r>
          </w:p>
        </w:tc>
        <w:tc>
          <w:tcPr>
            <w:tcW w:type="dxa" w:w="273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Usher course addition</w:t>
            </w:r>
          </w:p>
        </w:tc>
      </w:tr>
      <w:tr>
        <w:tc>
          <w:tcPr>
            <w:tcW w:type="dxa" w:w="64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09</w:t>
            </w:r>
          </w:p>
        </w:tc>
        <w:tc>
          <w:tcPr>
            <w:tcW w:type="dxa" w:w="46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Marketing OS Repository and Cursor Execution Guide</w:t>
            </w:r>
          </w:p>
        </w:tc>
        <w:tc>
          <w:tcPr>
            <w:tcW w:type="dxa" w:w="129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NEW</w:t>
            </w:r>
          </w:p>
        </w:tc>
        <w:tc>
          <w:tcPr>
            <w:tcW w:type="dxa" w:w="273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Marketing Git and Cursor procedure</w:t>
            </w:r>
          </w:p>
        </w:tc>
      </w:tr>
      <w:tr>
        <w:tc>
          <w:tcPr>
            <w:tcW w:type="dxa" w:w="64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10</w:t>
            </w:r>
          </w:p>
        </w:tc>
        <w:tc>
          <w:tcPr>
            <w:tcW w:type="dxa" w:w="46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Marketing OS TypeScript Cursor Programme M0-M11</w:t>
            </w:r>
          </w:p>
        </w:tc>
        <w:tc>
          <w:tcPr>
            <w:tcW w:type="dxa" w:w="129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RECOVERED</w:t>
            </w:r>
          </w:p>
        </w:tc>
        <w:tc>
          <w:tcPr>
            <w:tcW w:type="dxa" w:w="273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48-prompt production build</w:t>
            </w:r>
          </w:p>
        </w:tc>
      </w:tr>
      <w:tr>
        <w:tc>
          <w:tcPr>
            <w:tcW w:type="dxa" w:w="64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11</w:t>
            </w:r>
          </w:p>
        </w:tc>
        <w:tc>
          <w:tcPr>
            <w:tcW w:type="dxa" w:w="46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Event OS-Academy-Marketing Integration Contract</w:t>
            </w:r>
          </w:p>
        </w:tc>
        <w:tc>
          <w:tcPr>
            <w:tcW w:type="dxa" w:w="129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RECOVERED</w:t>
            </w:r>
          </w:p>
        </w:tc>
        <w:tc>
          <w:tcPr>
            <w:tcW w:type="dxa" w:w="273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Three-system data boundary</w:t>
            </w:r>
          </w:p>
        </w:tc>
      </w:tr>
      <w:tr>
        <w:tc>
          <w:tcPr>
            <w:tcW w:type="dxa" w:w="64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12</w:t>
            </w:r>
          </w:p>
        </w:tc>
        <w:tc>
          <w:tcPr>
            <w:tcW w:type="dxa" w:w="46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Marketing Knowledge Traceability Register</w:t>
            </w:r>
          </w:p>
        </w:tc>
        <w:tc>
          <w:tcPr>
            <w:tcW w:type="dxa" w:w="129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RECOVERED</w:t>
            </w:r>
          </w:p>
        </w:tc>
        <w:tc>
          <w:tcPr>
            <w:tcW w:type="dxa" w:w="273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Doctrine-to-product coverage</w:t>
            </w:r>
          </w:p>
        </w:tc>
      </w:tr>
      <w:tr>
        <w:tc>
          <w:tcPr>
            <w:tcW w:type="dxa" w:w="64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13</w:t>
            </w:r>
          </w:p>
        </w:tc>
        <w:tc>
          <w:tcPr>
            <w:tcW w:type="dxa" w:w="46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Premium Ushering Repository and Cursor Execution Guide</w:t>
            </w:r>
          </w:p>
        </w:tc>
        <w:tc>
          <w:tcPr>
            <w:tcW w:type="dxa" w:w="129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NEW</w:t>
            </w:r>
          </w:p>
        </w:tc>
        <w:tc>
          <w:tcPr>
            <w:tcW w:type="dxa" w:w="273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Ushering Git and Cursor procedure</w:t>
            </w:r>
          </w:p>
        </w:tc>
      </w:tr>
      <w:tr>
        <w:tc>
          <w:tcPr>
            <w:tcW w:type="dxa" w:w="64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14</w:t>
            </w:r>
          </w:p>
        </w:tc>
        <w:tc>
          <w:tcPr>
            <w:tcW w:type="dxa" w:w="46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Ushering Event OS Integration and Traceability Register</w:t>
            </w:r>
          </w:p>
        </w:tc>
        <w:tc>
          <w:tcPr>
            <w:tcW w:type="dxa" w:w="129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RECOVERED</w:t>
            </w:r>
          </w:p>
        </w:tc>
        <w:tc>
          <w:tcPr>
            <w:tcW w:type="dxa" w:w="273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Ushering system boundary</w:t>
            </w:r>
          </w:p>
        </w:tc>
      </w:tr>
      <w:tr>
        <w:tc>
          <w:tcPr>
            <w:tcW w:type="dxa" w:w="64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15</w:t>
            </w:r>
          </w:p>
        </w:tc>
        <w:tc>
          <w:tcPr>
            <w:tcW w:type="dxa" w:w="46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Premium Ushering Assessment and Question Bank Specification</w:t>
            </w:r>
          </w:p>
        </w:tc>
        <w:tc>
          <w:tcPr>
            <w:tcW w:type="dxa" w:w="129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RECOVERED</w:t>
            </w:r>
          </w:p>
        </w:tc>
        <w:tc>
          <w:tcPr>
            <w:tcW w:type="dxa" w:w="273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Training/assessment control</w:t>
            </w:r>
          </w:p>
        </w:tc>
      </w:tr>
      <w:tr>
        <w:tc>
          <w:tcPr>
            <w:tcW w:type="dxa" w:w="64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16</w:t>
            </w:r>
          </w:p>
        </w:tc>
        <w:tc>
          <w:tcPr>
            <w:tcW w:type="dxa" w:w="46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Cursor Output Assessment and Live Validation Pack</w:t>
            </w:r>
          </w:p>
        </w:tc>
        <w:tc>
          <w:tcPr>
            <w:tcW w:type="dxa" w:w="129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NEW</w:t>
            </w:r>
          </w:p>
        </w:tc>
        <w:tc>
          <w:tcPr>
            <w:tcW w:type="dxa" w:w="273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Per-prompt review and browser/live checks</w:t>
            </w:r>
          </w:p>
        </w:tc>
      </w:tr>
    </w:tbl>
    <w:p>
      <w:pPr>
        <w:spacing w:after="0"/>
      </w:pPr>
    </w:p>
    <w:p>
      <w:pPr>
        <w:pStyle w:val="Heading1"/>
      </w:pPr>
      <w:r>
        <w:t>4. Reading and execution order</w:t>
      </w:r>
    </w:p>
    <w:p>
      <w:pPr>
        <w:pStyle w:val="ListNumber"/>
        <w:ind w:left="432" w:hanging="259"/>
      </w:pPr>
      <w:r>
        <w:rPr>
          <w:rFonts w:ascii="Arial" w:hAnsi="Arial"/>
          <w:b w:val="0"/>
          <w:i w:val="0"/>
          <w:color w:val="222222"/>
          <w:sz w:val="21"/>
        </w:rPr>
        <w:t>Read this index and the recovered Repository Document Control and Cursor Execution Manual.</w:t>
      </w:r>
    </w:p>
    <w:p>
      <w:pPr>
        <w:pStyle w:val="ListNumber"/>
        <w:ind w:left="432" w:hanging="259"/>
      </w:pPr>
      <w:r>
        <w:rPr>
          <w:rFonts w:ascii="Arial" w:hAnsi="Arial"/>
          <w:b w:val="0"/>
          <w:i w:val="0"/>
          <w:color w:val="222222"/>
          <w:sz w:val="21"/>
        </w:rPr>
        <w:t>Select the relevant system guide: Event OS, Academy, Marketing OS or Premium Ushering.</w:t>
      </w:r>
    </w:p>
    <w:p>
      <w:pPr>
        <w:pStyle w:val="ListNumber"/>
        <w:ind w:left="432" w:hanging="259"/>
      </w:pPr>
      <w:r>
        <w:rPr>
          <w:rFonts w:ascii="Arial" w:hAnsi="Arial"/>
          <w:b w:val="0"/>
          <w:i w:val="0"/>
          <w:color w:val="222222"/>
          <w:sz w:val="21"/>
        </w:rPr>
        <w:t>Place only the guide’s approved repository artifacts into Git.</w:t>
      </w:r>
    </w:p>
    <w:p>
      <w:pPr>
        <w:pStyle w:val="ListNumber"/>
        <w:ind w:left="432" w:hanging="259"/>
      </w:pPr>
      <w:r>
        <w:rPr>
          <w:rFonts w:ascii="Arial" w:hAnsi="Arial"/>
          <w:b w:val="0"/>
          <w:i w:val="0"/>
          <w:color w:val="222222"/>
          <w:sz w:val="21"/>
        </w:rPr>
        <w:t>Give Cursor the full applicable prompt pack as read-only context.</w:t>
      </w:r>
    </w:p>
    <w:p>
      <w:pPr>
        <w:pStyle w:val="ListNumber"/>
        <w:ind w:left="432" w:hanging="259"/>
      </w:pPr>
      <w:r>
        <w:rPr>
          <w:rFonts w:ascii="Arial" w:hAnsi="Arial"/>
          <w:b w:val="0"/>
          <w:i w:val="0"/>
          <w:color w:val="222222"/>
          <w:sz w:val="21"/>
        </w:rPr>
        <w:t>Authorise its first incomplete numbered prompt only.</w:t>
      </w:r>
    </w:p>
    <w:p>
      <w:pPr>
        <w:pStyle w:val="ListNumber"/>
        <w:ind w:left="432" w:hanging="259"/>
      </w:pPr>
      <w:r>
        <w:rPr>
          <w:rFonts w:ascii="Arial" w:hAnsi="Arial"/>
          <w:b w:val="0"/>
          <w:i w:val="0"/>
          <w:color w:val="222222"/>
          <w:sz w:val="21"/>
        </w:rPr>
        <w:t>Use the Cursor Output Assessment and Live Validation Pack to accept or remediate the result.</w:t>
      </w:r>
    </w:p>
    <w:p>
      <w:pPr>
        <w:pStyle w:val="ListNumber"/>
        <w:ind w:left="432" w:hanging="259"/>
      </w:pPr>
      <w:r>
        <w:rPr>
          <w:rFonts w:ascii="Arial" w:hAnsi="Arial"/>
          <w:b w:val="0"/>
          <w:i w:val="0"/>
          <w:color w:val="222222"/>
          <w:sz w:val="21"/>
        </w:rPr>
        <w:t>Run inter-app contract checks whenever a prompt changes shared data or events.</w:t>
      </w:r>
    </w:p>
    <w:p>
      <w:pPr>
        <w:pStyle w:val="ListNumber"/>
        <w:ind w:left="432" w:hanging="259"/>
      </w:pPr>
      <w:r>
        <w:rPr>
          <w:rFonts w:ascii="Arial" w:hAnsi="Arial"/>
          <w:b w:val="0"/>
          <w:i w:val="0"/>
          <w:color w:val="222222"/>
          <w:sz w:val="21"/>
        </w:rPr>
        <w:t>Update current state, build ledger, decision log, reconciliation mapping and evidence index; then commit.</w:t>
      </w:r>
    </w:p>
    <w:p>
      <w:pPr>
        <w:pStyle w:val="ListNumber"/>
        <w:ind w:left="432" w:hanging="259"/>
      </w:pPr>
      <w:r>
        <w:rPr>
          <w:rFonts w:ascii="Arial" w:hAnsi="Arial"/>
          <w:b w:val="0"/>
          <w:i w:val="0"/>
          <w:color w:val="222222"/>
          <w:sz w:val="21"/>
        </w:rPr>
        <w:t>Repeat one prompt at a time. Production release remains separately authorised.</w:t>
      </w:r>
    </w:p>
    <w:p>
      <w:pPr>
        <w:pStyle w:val="Heading1"/>
      </w:pPr>
      <w:r>
        <w:t>5. Which document controls when they disagree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"/>
            <w:shd w:fill="1118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Priority</w:t>
            </w:r>
          </w:p>
        </w:tc>
        <w:tc>
          <w:tcPr>
            <w:tcW w:type="dxa" w:w="8424"/>
            <w:shd w:fill="1118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Authority</w:t>
            </w:r>
          </w:p>
        </w:tc>
      </w:tr>
      <w:tr>
        <w:tc>
          <w:tcPr>
            <w:tcW w:type="dxa" w:w="93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1</w:t>
            </w:r>
          </w:p>
        </w:tc>
        <w:tc>
          <w:tcPr>
            <w:tcW w:type="dxa" w:w="842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Ratified canonical doctrine and explicit CEO decision</w:t>
            </w:r>
          </w:p>
        </w:tc>
      </w:tr>
      <w:tr>
        <w:tc>
          <w:tcPr>
            <w:tcW w:type="dxa" w:w="93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2</w:t>
            </w:r>
          </w:p>
        </w:tc>
        <w:tc>
          <w:tcPr>
            <w:tcW w:type="dxa" w:w="842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Applicable legal/specialist determination</w:t>
            </w:r>
          </w:p>
        </w:tc>
      </w:tr>
      <w:tr>
        <w:tc>
          <w:tcPr>
            <w:tcW w:type="dxa" w:w="93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3</w:t>
            </w:r>
          </w:p>
        </w:tc>
        <w:tc>
          <w:tcPr>
            <w:tcW w:type="dxa" w:w="842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Ratified inter-app contract and security/privacy policy</w:t>
            </w:r>
          </w:p>
        </w:tc>
      </w:tr>
      <w:tr>
        <w:tc>
          <w:tcPr>
            <w:tcW w:type="dxa" w:w="93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4</w:t>
            </w:r>
          </w:p>
        </w:tc>
        <w:tc>
          <w:tcPr>
            <w:tcW w:type="dxa" w:w="842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System blueprint and accepted architecture/ADR</w:t>
            </w:r>
          </w:p>
        </w:tc>
      </w:tr>
      <w:tr>
        <w:tc>
          <w:tcPr>
            <w:tcW w:type="dxa" w:w="93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5</w:t>
            </w:r>
          </w:p>
        </w:tc>
        <w:tc>
          <w:tcPr>
            <w:tcW w:type="dxa" w:w="842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Reconciliation register and approved prompt pack</w:t>
            </w:r>
          </w:p>
        </w:tc>
      </w:tr>
      <w:tr>
        <w:tc>
          <w:tcPr>
            <w:tcW w:type="dxa" w:w="93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6</w:t>
            </w:r>
          </w:p>
        </w:tc>
        <w:tc>
          <w:tcPr>
            <w:tcW w:type="dxa" w:w="842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Implementation code and tests</w:t>
            </w:r>
          </w:p>
        </w:tc>
      </w:tr>
      <w:tr>
        <w:tc>
          <w:tcPr>
            <w:tcW w:type="dxa" w:w="93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7</w:t>
            </w:r>
          </w:p>
        </w:tc>
        <w:tc>
          <w:tcPr>
            <w:tcW w:type="dxa" w:w="842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Cursor narrative or generated suggestion</w:t>
            </w:r>
          </w:p>
        </w:tc>
      </w:tr>
    </w:tbl>
    <w:p>
      <w:pPr>
        <w:spacing w:after="0"/>
      </w:pPr>
    </w:p>
    <w:p>
      <w:pPr>
        <w:pStyle w:val="Heading1"/>
      </w:pPr>
      <w:r>
        <w:t>6. Quick placement rule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118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Place in Git</w:t>
            </w:r>
          </w:p>
        </w:tc>
        <w:tc>
          <w:tcPr>
            <w:tcW w:type="dxa" w:w="4680"/>
            <w:shd w:fill="1118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Keep outside Git</w:t>
            </w:r>
          </w:p>
        </w:tc>
      </w:tr>
      <w:tr>
        <w:tc>
          <w:tcPr>
            <w:tcW w:type="dxa" w:w="46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Ratified/sanitised doctrine mirror; architecture; ADRs; schemas; prompt packs; code; migrations; synthetic fixtures; tests; build ledgers; redacted evidence indexes.</w:t>
            </w:r>
          </w:p>
        </w:tc>
        <w:tc>
          <w:tcPr>
            <w:tcW w:type="dxa" w:w="46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Secrets; credentials; real guest/client/learner exports; unredacted screenshots; privileged legal advice; raw authority correspondence; vendor confidential material; live backups; biometric data.</w:t>
            </w:r>
          </w:p>
        </w:tc>
      </w:tr>
    </w:tbl>
    <w:p>
      <w:pPr>
        <w:spacing w:after="0"/>
      </w:pPr>
    </w:p>
    <w:p>
      <w:pPr>
        <w:pStyle w:val="Heading1"/>
      </w:pPr>
      <w:r>
        <w:t>7. Version-control rule</w:t>
      </w:r>
    </w:p>
    <w:p>
      <w:r>
        <w:rPr>
          <w:rFonts w:ascii="Arial" w:hAnsi="Arial"/>
          <w:b w:val="0"/>
          <w:i w:val="0"/>
          <w:color w:val="222222"/>
          <w:sz w:val="21"/>
        </w:rPr>
        <w:t>Never silently overwrite an executed prompt pack or ratified contract. Create a new version, record supersession and impact, migrate affected code/content, reassess certificates or active events where required, and preserve provenance.</w:t>
      </w:r>
    </w:p>
    <w:p>
      <w:pPr>
        <w:pStyle w:val="Heading1"/>
      </w:pPr>
      <w:r>
        <w:t>8. CEO ratification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456"/>
            <w:shd w:fill="1118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Decision</w:t>
            </w:r>
          </w:p>
        </w:tc>
        <w:tc>
          <w:tcPr>
            <w:tcW w:type="dxa" w:w="5904"/>
            <w:shd w:fill="1118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Name / signature / date</w:t>
            </w:r>
          </w:p>
        </w:tc>
      </w:tr>
      <w:tr>
        <w:tc>
          <w:tcPr>
            <w:tcW w:type="dxa" w:w="345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Bundle accepted as operating guidance</w:t>
            </w:r>
          </w:p>
        </w:tc>
        <w:tc>
          <w:tcPr>
            <w:tcW w:type="dxa" w:w="590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</w:tr>
      <w:tr>
        <w:tc>
          <w:tcPr>
            <w:tcW w:type="dxa" w:w="345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New drafts ratified</w:t>
            </w:r>
          </w:p>
        </w:tc>
        <w:tc>
          <w:tcPr>
            <w:tcW w:type="dxa" w:w="590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</w:tr>
      <w:tr>
        <w:tc>
          <w:tcPr>
            <w:tcW w:type="dxa" w:w="345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Exceptions or amendments</w:t>
            </w:r>
          </w:p>
        </w:tc>
        <w:tc>
          <w:tcPr>
            <w:tcW w:type="dxa" w:w="590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</w:tr>
      <w:tr>
        <w:tc>
          <w:tcPr>
            <w:tcW w:type="dxa" w:w="345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Effective version/date</w:t>
            </w:r>
          </w:p>
        </w:tc>
        <w:tc>
          <w:tcPr>
            <w:tcW w:type="dxa" w:w="590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66666"/>
        <w:sz w:val="16"/>
      </w:rPr>
      <w:t>MD-BUILD-IDX-001  |  DRAFT FOR CEO RATIFICATION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i w:val="0"/>
        <w:color w:val="666666"/>
        <w:sz w:val="16"/>
      </w:rPr>
      <w:t>MAISON DOCLAR  |  BUILD GOVERNANCE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1182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B79F8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1182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1182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Arial" w:hAnsi="Arial"/>
      <w:b w:val="0"/>
      <w:i/>
      <w:iCs/>
      <w:color w:val="66666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 NEW Maison Doclar Master Repository Cursor and Acceptance Control Bundle Index v1.0 DRAFT.docx</dc:title>
  <dc:subject/>
  <dc:creator>Maison Doclar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