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MAISON DOCLAR</w:t>
      </w:r>
    </w:p>
    <w:p>
      <w:pPr>
        <w:pStyle w:val="Title"/>
        <w:jc w:val="center"/>
      </w:pPr>
      <w:r>
        <w:t>Event OS–Academy–Marketing OS Integration Contract</w:t>
      </w:r>
    </w:p>
    <w:p>
      <w:pPr>
        <w:pStyle w:val="Subtitle"/>
        <w:jc w:val="center"/>
      </w:pPr>
      <w:r>
        <w:t>Source-of-truth ownership, data exchange, authority and change propagation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Document ID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MD-XSYS-IC-001</w:t>
            </w:r>
          </w:p>
        </w:tc>
      </w:tr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DRAFT FOR CEO RATIFICATION</w:t>
            </w:r>
          </w:p>
        </w:tc>
      </w:tr>
      <w:t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Prepared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04 September 2026</w:t>
            </w:r>
          </w:p>
        </w:tc>
      </w:tr>
    </w:tbl>
    <w:p>
      <w:pPr>
        <w:pStyle w:val="Heading2"/>
      </w:pPr>
      <w:r>
        <w:t>Authority note</w:t>
      </w:r>
    </w:p>
    <w:p>
      <w:r>
        <w:t>This document is a proposed Maison Doclar control instrument. It becomes authoritative only after CEO ratification. Legal, regulatory, cultural, protocol, financial, tax and platform-specific conclusions remain subject to the named competent authority. Unsupported facts are never converted into doctrine merely because an AI generated them.</w:t>
      </w:r>
    </w:p>
    <w:p>
      <w:r>
        <w:br w:type="page"/>
      </w:r>
    </w:p>
    <w:p>
      <w:pPr>
        <w:pStyle w:val="Title"/>
      </w:pPr>
      <w:r>
        <w:t>Contents</w:t>
      </w:r>
    </w:p>
    <w:p>
      <w:pPr>
        <w:spacing w:after="40" w:line="240" w:lineRule="auto"/>
      </w:pPr>
      <w:r>
        <w:rPr>
          <w:rFonts w:ascii="Aptos" w:hAnsi="Aptos"/>
          <w:color w:val="5D6670"/>
          <w:sz w:val="17"/>
        </w:rPr>
        <w:t>Authority note</w:t>
        <w:br/>
      </w:r>
      <w:r>
        <w:rPr>
          <w:rFonts w:ascii="Aptos" w:hAnsi="Aptos"/>
          <w:b/>
          <w:color w:val="18202A"/>
          <w:sz w:val="18"/>
        </w:rPr>
        <w:t>1. Contract purpose</w:t>
        <w:br/>
      </w:r>
      <w:r>
        <w:rPr>
          <w:rFonts w:ascii="Aptos" w:hAnsi="Aptos"/>
          <w:b/>
          <w:color w:val="18202A"/>
          <w:sz w:val="18"/>
        </w:rPr>
        <w:t>2. System mandates</w:t>
        <w:br/>
      </w:r>
      <w:r>
        <w:rPr>
          <w:rFonts w:ascii="Aptos" w:hAnsi="Aptos"/>
          <w:b/>
          <w:color w:val="18202A"/>
          <w:sz w:val="18"/>
        </w:rPr>
        <w:t>3. Master ownership matrix</w:t>
        <w:br/>
      </w:r>
      <w:r>
        <w:rPr>
          <w:rFonts w:ascii="Aptos" w:hAnsi="Aptos"/>
          <w:b/>
          <w:color w:val="18202A"/>
          <w:sz w:val="18"/>
        </w:rPr>
        <w:t>4. Identity and correlation</w:t>
        <w:br/>
      </w:r>
      <w:r>
        <w:rPr>
          <w:rFonts w:ascii="Aptos" w:hAnsi="Aptos"/>
          <w:b/>
          <w:color w:val="18202A"/>
          <w:sz w:val="18"/>
        </w:rPr>
        <w:t>5. Proposed event catalogue</w:t>
        <w:br/>
      </w:r>
      <w:r>
        <w:rPr>
          <w:rFonts w:ascii="Aptos" w:hAnsi="Aptos"/>
          <w:b/>
          <w:color w:val="18202A"/>
          <w:sz w:val="18"/>
        </w:rPr>
        <w:t>6. Representative event envelope</w:t>
        <w:br/>
      </w:r>
      <w:r>
        <w:rPr>
          <w:rFonts w:ascii="Aptos" w:hAnsi="Aptos"/>
          <w:b/>
          <w:color w:val="18202A"/>
          <w:sz w:val="18"/>
        </w:rPr>
        <w:t>7. Delivery semantics</w:t>
        <w:br/>
      </w:r>
      <w:r>
        <w:rPr>
          <w:rFonts w:ascii="Aptos" w:hAnsi="Aptos"/>
          <w:b/>
          <w:color w:val="18202A"/>
          <w:sz w:val="18"/>
        </w:rPr>
        <w:t>8. Consent and purpose boundary</w:t>
        <w:br/>
      </w:r>
      <w:r>
        <w:rPr>
          <w:rFonts w:ascii="Aptos" w:hAnsi="Aptos"/>
          <w:b/>
          <w:color w:val="18202A"/>
          <w:sz w:val="18"/>
        </w:rPr>
        <w:t>9. Academy enforcement</w:t>
        <w:br/>
      </w:r>
      <w:r>
        <w:rPr>
          <w:rFonts w:ascii="Aptos" w:hAnsi="Aptos"/>
          <w:b/>
          <w:color w:val="18202A"/>
          <w:sz w:val="18"/>
        </w:rPr>
        <w:t>10. Change propagation</w:t>
        <w:br/>
      </w:r>
      <w:r>
        <w:rPr>
          <w:rFonts w:ascii="Aptos" w:hAnsi="Aptos"/>
          <w:b/>
          <w:color w:val="18202A"/>
          <w:sz w:val="18"/>
        </w:rPr>
        <w:t>11. Failure and conflict handling</w:t>
        <w:br/>
      </w:r>
      <w:r>
        <w:rPr>
          <w:rFonts w:ascii="Aptos" w:hAnsi="Aptos"/>
          <w:b/>
          <w:color w:val="18202A"/>
          <w:sz w:val="18"/>
        </w:rPr>
        <w:t>12. Contract acceptance tests</w:t>
        <w:br/>
      </w:r>
      <w:r>
        <w:rPr>
          <w:rFonts w:ascii="Aptos" w:hAnsi="Aptos"/>
          <w:b/>
          <w:color w:val="18202A"/>
          <w:sz w:val="18"/>
        </w:rPr>
        <w:t>13. Ratification decisions</w:t>
      </w:r>
    </w:p>
    <w:p>
      <w:r>
        <w:br w:type="page"/>
      </w:r>
    </w:p>
    <w:p>
      <w:pPr>
        <w:pStyle w:val="Heading1"/>
      </w:pPr>
      <w:r>
        <w:t>1. Contract purpose</w:t>
      </w:r>
    </w:p>
    <w:p>
      <w:r>
        <w:t>This contract prevents three capable systems from creating three incompatible versions of the same person, event, service, doctrine or staff authority. It defines ownership and exchange semantics; it does not authorise personal-data use beyond ratified purpose and policy.</w:t>
      </w:r>
    </w:p>
    <w:p>
      <w:pPr>
        <w:pStyle w:val="Heading1"/>
      </w:pPr>
      <w:r>
        <w:t>2. System mandates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180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38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Authoritative mandate</w:t>
            </w:r>
          </w:p>
        </w:tc>
        <w:tc>
          <w:tcPr>
            <w:tcW w:type="dxa" w:w="381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Must not become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Event OS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Accepted engagements, events, guests, delivery plans, readiness, incidents and operational outcomes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 marketing database or learning-management system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Academy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Courses, competencies, assessments, certificates and operational authorisations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An event planner or campaign tool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Marketing OS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Market strategy, campaigns, marketing relationships, content, channels, spend and marketing measurement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The source of operational guest truth or staff qualification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CEO Handbook / doctrine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Human operating authority and approved principles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An executable database without interpretation and version control</w:t>
            </w:r>
          </w:p>
        </w:tc>
      </w:tr>
    </w:tbl>
    <w:p/>
    <w:p>
      <w:pPr>
        <w:pStyle w:val="Heading1"/>
      </w:pPr>
      <w:r>
        <w:t>3. Master ownership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216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Authority</w:t>
            </w:r>
          </w:p>
        </w:tc>
        <w:tc>
          <w:tcPr>
            <w:tcW w:type="dxa" w:w="208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Consumers</w:t>
            </w:r>
          </w:p>
        </w:tc>
        <w:tc>
          <w:tcPr>
            <w:tcW w:type="dxa" w:w="316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Control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Organisation/tenant identity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Estate identity service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All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Stable orgId; no local re-keying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Staff identity and role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Estate identity / HR authority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All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Marketing stores scoped assignments, not identity truth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Staff competence/certificate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Academy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Event OS, Marketing OS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Status, scope, issued/expiry, restrictions, evidence ref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Service catalogue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CEO/commercial authority; Marketing projection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Event OS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Commercial definition and delivery feasibility reconciled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Lead/prospect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Marketing OS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Event OS after accepted handoff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No operational event created from unaccepted lead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Client/account commercial relationship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Marketing OS until accepted; governed shared view thereafter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Event OS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Stage transition event and ownership field required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Event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Event OS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Marketing OS, Academy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Marketing receives minimal approved context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Guest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Event OS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Marketing OS only with separate purpose/permission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No implicit prospect conversion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Marketing consent/suppression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Marketing OS policy ledger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Event OS for channel checks where applicable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Purpose/channel/jurisdiction specific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Operational communication permission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Event OS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Marketing OS may not reuse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Separate from marketing permission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Campaign/content/spend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Marketing OS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Event OS receives relevant approved asks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Marketing truth remains in Marketing OS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Doctrine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Canonical authority by doctrine family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All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Stable IDs and effective versions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Learning and certification content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Academy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Event OS, Marketing OS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Change propagation from doctrine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Operational incident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Event OS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Marketing OS receives minimum reputation/action signal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Sensitive detail filtered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Complaint/review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Marketing OS until operational handoff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Event OS when service issue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4"/>
              </w:rPr>
              <w:t>Linked cases; no duplicate closure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Finance actuals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Finance/accounting authority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Marketing OS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Marketing never becomes ledger of record</w:t>
            </w:r>
          </w:p>
        </w:tc>
      </w:tr>
    </w:tbl>
    <w:p/>
    <w:p>
      <w:pPr>
        <w:pStyle w:val="Heading1"/>
      </w:pPr>
      <w:r>
        <w:t>4. Identity and correlation</w:t>
      </w:r>
    </w:p>
    <w:p>
      <w:pPr>
        <w:pStyle w:val="ListBullet"/>
      </w:pPr>
      <w:r>
        <w:t>Use stable organisation, actor, party, account, client, event, guest, campaign, doctrine and competency identifiers.</w:t>
      </w:r>
    </w:p>
    <w:p>
      <w:pPr>
        <w:pStyle w:val="ListBullet"/>
      </w:pPr>
      <w:r>
        <w:t>Marketing identity links retain source, confidence, reasons, last verified date and merge/reversal history.</w:t>
      </w:r>
    </w:p>
    <w:p>
      <w:pPr>
        <w:pStyle w:val="ListBullet"/>
      </w:pPr>
      <w:r>
        <w:t>No probabilistic link may overwrite an authoritative identifier. Low-confidence matches stay proposed.</w:t>
      </w:r>
    </w:p>
    <w:p>
      <w:pPr>
        <w:pStyle w:val="ListBullet"/>
      </w:pPr>
      <w:r>
        <w:t>Correlation IDs connect one business journey across systems; causation IDs identify the triggering event.</w:t>
      </w:r>
    </w:p>
    <w:p>
      <w:pPr>
        <w:pStyle w:val="ListBullet"/>
      </w:pPr>
      <w:r>
        <w:t>All cross-system payloads state producer, schema version, occurredAt, recordedAt and data classification.</w:t>
      </w:r>
    </w:p>
    <w:p>
      <w:pPr>
        <w:pStyle w:val="Heading1"/>
      </w:pPr>
      <w:r>
        <w:t>5. Proposed event catalogue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</w:trPr>
        <w:tc>
          <w:tcPr>
            <w:tcW w:type="dxa" w:w="237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Event</w:t>
            </w:r>
          </w:p>
        </w:tc>
        <w:tc>
          <w:tcPr>
            <w:tcW w:type="dxa" w:w="100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Producer</w:t>
            </w:r>
          </w:p>
        </w:tc>
        <w:tc>
          <w:tcPr>
            <w:tcW w:type="dxa" w:w="108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Consumer</w:t>
            </w:r>
          </w:p>
        </w:tc>
        <w:tc>
          <w:tcPr>
            <w:tcW w:type="dxa" w:w="1944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309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Minimum payload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marketing.lead.accepted.v1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Marketing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Event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Create controlled handoff candidate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Account, need, consent-safe contact, owner, evidence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event.engagement.created.v1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Event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Marketing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Convert accepted opportunity to delivery relationship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Client/account, event ID, service scope, dates, restrictions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event.capacity.changed.v1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Event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Marketing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Adjust demand generation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Service/market window, status, reason class; no guest data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event.rights.approved.v1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Event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Marketing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Permit defined asset/case use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Asset/evidence ID, purposes, channels, territory, expiry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event.outcome.recorded.v1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Event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Marketing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Support proof and learning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Approved outcome measures and confidentiality class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event.incident.reputation_signal.v1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Event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Marketing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Pause or review affected communications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Severity, affected scopes, action; minimum necessary detail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academy.authorization.changed.v1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Academy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Event, Marketing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Grant/restrict controlled role action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Actor, competency/role, state, expiry, restrictions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marketing.training_requirement.changed.v1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Marketing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Academy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Create learning/remediation need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Doctrine/capability, roles, due date, criticality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doctrine.changed.v1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Doctrine authority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All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Run impact analysis and adoption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3"/>
              </w:rPr>
              <w:t>Doctrine IDs, versions, effective date, breaking flag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marketing.suppression.changed.v1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Marketing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Relevant senders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Stop marketing execution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Party/contact hash/ref, purpose/channel, effective time</w:t>
            </w:r>
          </w:p>
        </w:tc>
      </w:tr>
    </w:tbl>
    <w:p/>
    <w:p>
      <w:pPr>
        <w:pStyle w:val="Heading1"/>
      </w:pPr>
      <w:r>
        <w:t>6. Representative event envelope</w:t>
      </w:r>
    </w:p>
    <w:p>
      <w:r>
        <w:t>```ts</w:t>
        <w:br/>
        <w:t>export const EstateEventEnvelopeSchema = &lt;T extends z.ZodTypeAny&gt;(payload:T) =&gt; z.object({</w:t>
        <w:br/>
        <w:t xml:space="preserve">  eventId:z.string().uuid(), eventName:z.string(), schemaVersion:z.number().int().positive(),</w:t>
        <w:br/>
        <w:t xml:space="preserve">  producer:z.enum(['EVENT_OS','ACADEMY','MARKETING_OS','DOCTRINE_AUTHORITY']),</w:t>
        <w:br/>
        <w:t xml:space="preserve">  organisationId:z.string().uuid(), occurredAt:z.string().datetime(), recordedAt:z.string().datetime(),</w:t>
        <w:br/>
        <w:t xml:space="preserve">  correlationId:z.string().uuid(), causationId:z.string().uuid().nullable(),</w:t>
        <w:br/>
        <w:t xml:space="preserve">  classification:z.enum(['PUBLIC','INTERNAL','CONFIDENTIAL','RESTRICTED']),</w:t>
        <w:br/>
        <w:t xml:space="preserve">  purpose:z.string().min(1), payload</w:t>
        <w:br/>
        <w:t>});</w:t>
        <w:br/>
        <w:t>```</w:t>
      </w:r>
    </w:p>
    <w:p>
      <w:pPr>
        <w:pStyle w:val="Heading1"/>
      </w:pPr>
      <w:r>
        <w:t>7. Delivery semantics</w:t>
      </w:r>
    </w:p>
    <w:p>
      <w:pPr>
        <w:pStyle w:val="ListBullet"/>
      </w:pPr>
      <w:r>
        <w:t>Transactional outbox at producer and durable inbox at consumer for consequential events.</w:t>
      </w:r>
    </w:p>
    <w:p>
      <w:pPr>
        <w:pStyle w:val="ListBullet"/>
      </w:pPr>
      <w:r>
        <w:t>At-least-once delivery with consumer idempotency; never assume exactly-once transport.</w:t>
      </w:r>
    </w:p>
    <w:p>
      <w:pPr>
        <w:pStyle w:val="ListBullet"/>
      </w:pPr>
      <w:r>
        <w:t>Ordered processing only where a stream version requires it; stale versions are rejected or reconciled.</w:t>
      </w:r>
    </w:p>
    <w:p>
      <w:pPr>
        <w:pStyle w:val="ListBullet"/>
      </w:pPr>
      <w:r>
        <w:t>Retries use bounded exponential backoff; poison events enter a visible reconciliation queue.</w:t>
      </w:r>
    </w:p>
    <w:p>
      <w:pPr>
        <w:pStyle w:val="ListBullet"/>
      </w:pPr>
      <w:r>
        <w:t>Schema changes are additive within a version. Breaking changes require a new version and compatibility window.</w:t>
      </w:r>
    </w:p>
    <w:p>
      <w:pPr>
        <w:pStyle w:val="ListBullet"/>
      </w:pPr>
      <w:r>
        <w:t>No synchronous dependency may make event-day operational safety dependent on Marketing OS availability.</w:t>
      </w:r>
    </w:p>
    <w:p>
      <w:pPr>
        <w:pStyle w:val="Heading1"/>
      </w:pPr>
      <w:r>
        <w:t>8. Consent and purpose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F3F0E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Hard boundary: </w:t>
            </w:r>
            <w:r>
              <w:t>Event attendance, invitation, RSVP, accessibility information, dietary information or guest service does not constitute marketing consent.</w:t>
            </w:r>
          </w:p>
        </w:tc>
      </w:tr>
    </w:tbl>
    <w:p/>
    <w:p>
      <w:pPr>
        <w:pStyle w:val="ListBullet"/>
      </w:pPr>
      <w:r>
        <w:t>Operational and marketing contact purposes remain separate.</w:t>
      </w:r>
    </w:p>
    <w:p>
      <w:pPr>
        <w:pStyle w:val="ListBullet"/>
      </w:pPr>
      <w:r>
        <w:t>Marketing suppression overrides marketing sends across all marketing connectors as soon as safely processable.</w:t>
      </w:r>
    </w:p>
    <w:p>
      <w:pPr>
        <w:pStyle w:val="ListBullet"/>
      </w:pPr>
      <w:r>
        <w:t>Marketing OS receives only the minimum event/guest attributes required for an approved purpose.</w:t>
      </w:r>
    </w:p>
    <w:p>
      <w:pPr>
        <w:pStyle w:val="ListBullet"/>
      </w:pPr>
      <w:r>
        <w:t>Special-category, safeguarding, security and VIP data are excluded by default.</w:t>
      </w:r>
    </w:p>
    <w:p>
      <w:pPr>
        <w:pStyle w:val="ListBullet"/>
      </w:pPr>
      <w:r>
        <w:t>A purpose change requires policy approval, notice/consent treatment where required, impact assessment and new traceability.</w:t>
      </w:r>
    </w:p>
    <w:p>
      <w:pPr>
        <w:pStyle w:val="Heading1"/>
      </w:pPr>
      <w:r>
        <w:t>9. Academy enforcement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288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Controlled action</w:t>
            </w:r>
          </w:p>
        </w:tc>
        <w:tc>
          <w:tcPr>
            <w:tcW w:type="dxa" w:w="4032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Proposed Academy evidence</w:t>
            </w:r>
          </w:p>
        </w:tc>
        <w:tc>
          <w:tcPr>
            <w:tcW w:type="dxa" w:w="2592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If absent/expired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Approve brand/public claims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Brand governance competency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Block approval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Operate messaging campaigns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Consent and channel competency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Block send authority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Approve paid spend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Paid media and budget-control authorisation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Block budget approval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Handle complaint/review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Reputation and escalation competency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Draft-only; route senior human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Change AI autonomy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AI governance authorisation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Block policy change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Manage cultural/protocol content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Relevant verified competence/authority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Escalate to recognised authority</w:t>
            </w:r>
          </w:p>
        </w:tc>
      </w:tr>
    </w:tbl>
    <w:p/>
    <w:p>
      <w:pPr>
        <w:pStyle w:val="Heading1"/>
      </w:pPr>
      <w:r>
        <w:t>10. Change propagation</w:t>
      </w:r>
    </w:p>
    <w:p>
      <w:pPr>
        <w:pStyle w:val="ListNumber"/>
      </w:pPr>
      <w:r>
        <w:t>Register proposed doctrine/policy change with affected IDs.</w:t>
      </w:r>
    </w:p>
    <w:p>
      <w:pPr>
        <w:pStyle w:val="ListNumber"/>
      </w:pPr>
      <w:r>
        <w:t>Run automated impact discovery across rules, prompts, content, campaigns, connectors, courses, questions and active events.</w:t>
      </w:r>
    </w:p>
    <w:p>
      <w:pPr>
        <w:pStyle w:val="ListNumber"/>
      </w:pPr>
      <w:r>
        <w:t>Assign accountable owners and classify breaking/urgent/normal.</w:t>
      </w:r>
    </w:p>
    <w:p>
      <w:pPr>
        <w:pStyle w:val="ListNumber"/>
      </w:pPr>
      <w:r>
        <w:t>Obtain required authority and set effective date.</w:t>
      </w:r>
    </w:p>
    <w:p>
      <w:pPr>
        <w:pStyle w:val="ListNumber"/>
      </w:pPr>
      <w:r>
        <w:t>Update systems behind feature or policy gates.</w:t>
      </w:r>
    </w:p>
    <w:p>
      <w:pPr>
        <w:pStyle w:val="ListNumber"/>
      </w:pPr>
      <w:r>
        <w:t>Require training/reassessment where competence changes.</w:t>
      </w:r>
    </w:p>
    <w:p>
      <w:pPr>
        <w:pStyle w:val="ListNumber"/>
      </w:pPr>
      <w:r>
        <w:t>Re-evaluate active campaigns/events before effective date.</w:t>
      </w:r>
    </w:p>
    <w:p>
      <w:pPr>
        <w:pStyle w:val="ListNumber"/>
      </w:pPr>
      <w:r>
        <w:t>Release, monitor and preserve superseded versions for audit.</w:t>
      </w:r>
    </w:p>
    <w:p>
      <w:pPr>
        <w:pStyle w:val="Heading1"/>
      </w:pPr>
      <w:r>
        <w:t>11. Failure and conflict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tblHeader w:val="true"/>
        </w:trPr>
        <w:tc>
          <w:tcPr>
            <w:tcW w:type="dxa" w:w="2448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7056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Event OS unavailable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Marketing actions dependent on current capacity/event facts pause or use explicitly valid cached data; event delivery continues.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Academy unavailable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No new controlled authorisation; existing non-expired cached authorisation may continue only if policy permits.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Marketing OS unavailable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marketing publication/send/spend; Event OS operational communication remains independent.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Conflicting identity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Quarantine merge, preserve records and request authorised resolution.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Consent disagreement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Use the more restrictive state until reconciled.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Doctrine version mismatch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Block affected consequential action and raise change-control incident.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Duplicate event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Inbox idempotency returns prior processing result.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Late event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Apply version/time rules; do not overwrite newer truth silently.</w:t>
            </w:r>
          </w:p>
        </w:tc>
      </w:tr>
    </w:tbl>
    <w:p/>
    <w:p>
      <w:pPr>
        <w:pStyle w:val="Heading1"/>
      </w:pPr>
      <w:r>
        <w:t>12. Contract acceptance tests</w:t>
      </w:r>
    </w:p>
    <w:p>
      <w:pPr>
        <w:pStyle w:val="ListBullet"/>
      </w:pPr>
      <w:r>
        <w:t>A guest without separate marketing permission cannot enter a marketing segment or journey.</w:t>
      </w:r>
    </w:p>
    <w:p>
      <w:pPr>
        <w:pStyle w:val="ListBullet"/>
      </w:pPr>
      <w:r>
        <w:t>A capacity restriction from Event OS pauses affected acquisition actions within the defined SLA.</w:t>
      </w:r>
    </w:p>
    <w:p>
      <w:pPr>
        <w:pStyle w:val="ListBullet"/>
      </w:pPr>
      <w:r>
        <w:t>An expired Academy authorisation removes controlled Marketing OS approval permission.</w:t>
      </w:r>
    </w:p>
    <w:p>
      <w:pPr>
        <w:pStyle w:val="ListBullet"/>
      </w:pPr>
      <w:r>
        <w:t>A repeated cross-system event creates no duplicate effect.</w:t>
      </w:r>
    </w:p>
    <w:p>
      <w:pPr>
        <w:pStyle w:val="ListBullet"/>
      </w:pPr>
      <w:r>
        <w:t>A stale event cannot overwrite a newer entity version.</w:t>
      </w:r>
    </w:p>
    <w:p>
      <w:pPr>
        <w:pStyle w:val="ListBullet"/>
      </w:pPr>
      <w:r>
        <w:t>An Event OS reputation signal can stop scheduled content without exposing restricted incident detail.</w:t>
      </w:r>
    </w:p>
    <w:p>
      <w:pPr>
        <w:pStyle w:val="ListBullet"/>
      </w:pPr>
      <w:r>
        <w:t>A doctrine change identifies affected prompts, rules, content, courses and active work.</w:t>
      </w:r>
    </w:p>
    <w:p>
      <w:pPr>
        <w:pStyle w:val="ListBullet"/>
      </w:pPr>
      <w:r>
        <w:t>Each system continues its safety-critical mandate when another system is unavailable.</w:t>
      </w:r>
    </w:p>
    <w:p>
      <w:pPr>
        <w:pStyle w:val="Heading1"/>
      </w:pPr>
      <w:r>
        <w:t>13. Ratification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024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504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1440"/>
            <w:shd w:fill="1820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Integration transport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HTTP for read commands where necessary; outbox/inbox events for consequential propagation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Architecture authority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Pre-client pipeline owner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Marketing OS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CEO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Accepted client/event owner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Event OS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CEO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Certification authority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Academy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CEO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Operational vs marketing consent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Strict separation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CEO + legal review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Finance actuals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External finance authority; read-only projection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CEO/finance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Initial integration release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Capacity, handoff, rights, outcomes, Academy authority, doctrine change and suppression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CEO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52" w:h="16848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Controlled draft  • 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D6670"/>
      </w:rPr>
      <w:t>MAISON DOCLAR  |  MD-XSYS-IC-001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0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5D66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