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MAISON DOCLAR</w:t>
      </w:r>
    </w:p>
    <w:p>
      <w:pPr>
        <w:pStyle w:val="Title"/>
      </w:pPr>
      <w:r>
        <w:t>Premium Ushering System Repository and Cursor Execution Guide</w:t>
      </w:r>
    </w:p>
    <w:p>
      <w:pPr>
        <w:pStyle w:val="Subtitle"/>
      </w:pPr>
      <w:r>
        <w:t>What enters Git, what Cursor receives, and how each slice is accepted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Document ID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MD-USH-REPO-001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Version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1.0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Status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Operating rule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One authorised prompt at a time; evidence before continuation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Authority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CEO or delegated acceptance authority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8C2F39"/>
          <w:sz w:val="20"/>
        </w:rPr>
        <w:t xml:space="preserve">NON-NEGOTIABLE: </w:t>
      </w:r>
      <w:r>
        <w:rPr>
          <w:rFonts w:ascii="Arial" w:hAnsi="Arial"/>
          <w:b w:val="0"/>
          <w:i w:val="0"/>
          <w:color w:val="222222"/>
          <w:sz w:val="20"/>
        </w:rPr>
        <w:t>Cursor may inspect the complete programme for context but may execute only the specifically authorised prompt. It cannot approve its own work or release itself to production.</w:t>
      </w:r>
    </w:p>
    <w:p>
      <w:pPr>
        <w:pStyle w:val="Heading1"/>
      </w:pPr>
      <w:r>
        <w:t>1. Governing decision</w:t>
      </w:r>
    </w:p>
    <w:p>
      <w:r>
        <w:rPr>
          <w:rFonts w:ascii="Arial" w:hAnsi="Arial"/>
          <w:b w:val="0"/>
          <w:i w:val="0"/>
          <w:color w:val="222222"/>
          <w:sz w:val="21"/>
        </w:rPr>
        <w:t>The Premium Ushering System repository is the executable record of the product. Ratified doctrine, architecture, contracts, migrations, code, tests and non-sensitive build evidence belong in Git. Raw personal data, credentials, production exports, legal advice, supplier secrets and unredacted event or learner data do not.</w:t>
      </w:r>
    </w:p>
    <w:p>
      <w:pPr>
        <w:pStyle w:val="Heading1"/>
      </w:pPr>
      <w:r>
        <w:t>2. Repository admission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10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Git?</w:t>
            </w:r>
          </w:p>
        </w:tc>
        <w:tc>
          <w:tcPr>
            <w:tcW w:type="dxa" w:w="604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Canonical doctrine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Controlled Markdown/PDF copy; record source version and ratification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Architecture and ADRs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Keep decisions and supersession status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Inter-app contracts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Machine-readable schemas plus human contract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Cursor prompt packs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docs/prompts; immutable version once execution begins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Build ledger/current state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Update after every authorised prompt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Test fixtures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Yes, synthetic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Never copy real guests, clients or learners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Screenshots and reports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Selective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Redact and retain only acceptance evidence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Secrets and API keys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Never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Secret manager/environment only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Production database/export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Never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Approved secure operational storage only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Legal/specialist advice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Usually no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Store approved policy outcome; archive privileged advice separately</w:t>
            </w:r>
          </w:p>
        </w:tc>
      </w:tr>
    </w:tbl>
    <w:p>
      <w:pPr>
        <w:spacing w:after="0"/>
      </w:pPr>
    </w:p>
    <w:p>
      <w:pPr>
        <w:pStyle w:val="Heading1"/>
      </w:pPr>
      <w:r>
        <w:t>3. Required repository skeleton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docs/canonical/premium-ushering-operating-system.md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docs/architecture/system-architecture.md and docs/adr/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docs/prompts/ with an execution manifest and prompt checksum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contracts/ with Zod/JSON Schema/OpenAPI/event definitions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docs/reconciliation/ with doctrine-to-code mappings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docs/acceptance/ with redacted evidence indexes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BUILD_LEDGER.md, CURRENT_STATE.md, DECISION_LOG.md and RISK_REGISTER.md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tests/unit, tests/integration, tests/e2e, tests/security and tests/accessibility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evidence/ containing only approved, redacted, lightweight proof</w:t>
      </w:r>
    </w:p>
    <w:p>
      <w:pPr>
        <w:pStyle w:val="Heading1"/>
      </w:pPr>
      <w:r>
        <w:t>4. Cursor operating sequence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Create a clean branch from the verified baseline and record the starting commit.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Give Cursor the canonical references and complete pack for read-only context.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Authorise one numbered prompt only. Cursor must restate scope, dependencies, intended files and stop conditions before editing.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Require implementation across data, domain logic, permissions, API/events, frontend states, audit evidence and tests where relevant.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Run formatting, typecheck, lint, unit, integration and targeted browser tests.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Review the evidence against the prompt—not against Cursor’s confidence statement.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Record deviations, open risks, screenshots and commands in the build ledger.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Commit one coherent change with the prompt ID in the message.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Authorise the next prompt only after acceptance or documented remediation.</w:t>
      </w:r>
    </w:p>
    <w:p>
      <w:pPr>
        <w:pStyle w:val="Heading1"/>
      </w:pPr>
      <w:r>
        <w:t>5. Prompt hand-off block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 entry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Authorised prompt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Exact ID and title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Baseline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Branch and full commit SHA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Canonical inputs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Exact filenames/versions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Permitted changes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Files/modules in scope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Forbidden changes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Auth, tenancy, contracts or unrelated refactors unless explicit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Required proof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Commands, results, screenshots, migrations, accessibility/security evidence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Stop conditions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Contradiction, missing authority, failing baseline, destructive migration, secret/PII exposure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Completion output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Changed files, acceptance matrix, residual risks, commit SHA</w:t>
            </w:r>
          </w:p>
        </w:tc>
      </w:tr>
    </w:tbl>
    <w:p>
      <w:pPr>
        <w:spacing w:after="0"/>
      </w:pPr>
    </w:p>
    <w:p>
      <w:pPr>
        <w:pStyle w:val="Heading1"/>
      </w:pPr>
      <w:r>
        <w:t>6. Domain-specific controls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The service must operate with no Wi-Fi: signed paper pack, fixed posts, runners and radio plan remain viable.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Pager/radio equipment remains candidate-only until regulatory, receipt, crowd-range, battery and venue acceptance gates pass.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Usher devices receive the minimum guest, seat, role and request data necessary.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No app may become the single point of failure or silently overwrite a newer paper/command version.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Guest dignity, accessibility, safeguarding, medical/security escalation and evidence minimisation override speed.</w:t>
      </w:r>
    </w:p>
    <w:p>
      <w:pPr>
        <w:pStyle w:val="Heading1"/>
      </w:pPr>
      <w:r>
        <w:t>7. Contract controls</w:t>
      </w:r>
    </w:p>
    <w:p>
      <w:r>
        <w:rPr>
          <w:rFonts w:ascii="Arial" w:hAnsi="Arial"/>
          <w:b w:val="0"/>
          <w:i w:val="0"/>
          <w:color w:val="222222"/>
          <w:sz w:val="21"/>
        </w:rPr>
        <w:t>The Ushering Event OS Integration and Knowledge Traceability Register controls data and deployment dependencies.</w:t>
      </w:r>
    </w:p>
    <w:p>
      <w:r>
        <w:rPr>
          <w:rFonts w:ascii="Arial" w:hAnsi="Arial"/>
          <w:b w:val="0"/>
          <w:i w:val="0"/>
          <w:color w:val="222222"/>
          <w:sz w:val="21"/>
        </w:rPr>
        <w:t>The Academy ushering reconciliation prompt controls training additions; the Event Director controls live operations.</w:t>
      </w:r>
    </w:p>
    <w:p>
      <w:pPr>
        <w:pStyle w:val="Heading1"/>
      </w:pPr>
      <w:r>
        <w:t>8. Acceptance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388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Pass evidence</w:t>
            </w:r>
          </w:p>
        </w:tc>
        <w:tc>
          <w:tcPr>
            <w:tcW w:type="dxa" w:w="388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Failure response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Scope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Diff maps only to authorised prompt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Revert/remediate before continuation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Quality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All required checks pass from clean state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No commit acceptance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Security/privacy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Tenant, role, audit and data-minimisation tests pass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Block release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UX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All loading/empty/error/offline/permission states verified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Complete state coverage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Traceability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Doctrine, contract, test and code references linked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Create missing mapping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Operational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Rehearsal or representative scenario passes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Return to design/build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Authority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Named human approval recorded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System remains unreleased</w:t>
            </w:r>
          </w:p>
        </w:tc>
      </w:tr>
    </w:tbl>
    <w:p>
      <w:pPr>
        <w:spacing w:after="0"/>
      </w:pPr>
    </w:p>
    <w:p>
      <w:pPr>
        <w:pStyle w:val="Heading1"/>
      </w:pPr>
      <w:r>
        <w:t>9. Cursor continuation prompt</w:t>
      </w:r>
    </w:p>
    <w:p>
      <w:r>
        <w:rPr>
          <w:rFonts w:ascii="Arial" w:hAnsi="Arial"/>
          <w:b w:val="0"/>
          <w:i w:val="0"/>
          <w:color w:val="222222"/>
          <w:sz w:val="21"/>
        </w:rPr>
        <w:t>“Review the accepted evidence for [PROMPT ID] against its success criteria. Do not change code. List any failed, partial, unproven or out-of-scope item. If and only if the reviewer records acceptance, prepare—but do not execute—the next prompt preflight.”</w:t>
      </w:r>
    </w:p>
    <w:p>
      <w:pPr>
        <w:pStyle w:val="Heading1"/>
      </w:pPr>
      <w:r>
        <w:t>10. Close-out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Record</w:t>
            </w:r>
          </w:p>
        </w:tc>
        <w:tc>
          <w:tcPr>
            <w:tcW w:type="dxa" w:w="684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Prompt ID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Baseline SHA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Result SHA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Tests/evidence location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Reviewer decision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Accepted / remediation / rejected</w:t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Open risks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Next authorised prompt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Date/authority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6"/>
      </w:rPr>
      <w:t>MD-USH-REPO-001  |  DRAFT FOR CEO RATIFICATION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666666"/>
        <w:sz w:val="16"/>
      </w:rPr>
      <w:t>MAISON DOCLAR  |  BUILD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79F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118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82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NEW Maison Doclar Premium Ushering Repository and Cursor Execution Guide v1.0 DRAFT.docx</dc:title>
  <dc:subject/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