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MAISON DOCLAR</w:t>
      </w:r>
    </w:p>
    <w:p>
      <w:pPr>
        <w:pStyle w:val="Title"/>
      </w:pPr>
      <w:r>
        <w:t>Cursor Output Assessment and Live Validation Pack</w:t>
      </w:r>
    </w:p>
    <w:p>
      <w:pPr>
        <w:pStyle w:val="Subtitle"/>
      </w:pPr>
      <w:r>
        <w:t>Reusable review forms for Event OS, Academy, Marketing OS and Premium Ushering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1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Document ID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MD-BUILD-QA-001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Version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1.0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DRAFT FOR CEO RATIFICATION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Operating rule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One authorised prompt at a time; evidence before continuation</w:t>
            </w:r>
          </w:p>
        </w:tc>
      </w:tr>
      <w:tr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Authority</w:t>
            </w:r>
          </w:p>
        </w:tc>
        <w:tc>
          <w:tcPr>
            <w:tcW w:type="dxa" w:w="71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 or delegated acceptance authority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8C2F39"/>
          <w:sz w:val="20"/>
        </w:rPr>
        <w:t xml:space="preserve">NON-NEGOTIABLE: </w:t>
      </w:r>
      <w:r>
        <w:rPr>
          <w:rFonts w:ascii="Arial" w:hAnsi="Arial"/>
          <w:b w:val="0"/>
          <w:i w:val="0"/>
          <w:color w:val="222222"/>
          <w:sz w:val="20"/>
        </w:rPr>
        <w:t>Cursor may inspect the complete programme for context but may execute only the specifically authorised prompt. It cannot approve its own work or release itself to production.</w:t>
      </w:r>
    </w:p>
    <w:p>
      <w:pPr>
        <w:pStyle w:val="Heading1"/>
      </w:pPr>
      <w:r>
        <w:t>1. How to use this pack</w:t>
      </w:r>
    </w:p>
    <w:p>
      <w:r>
        <w:rPr>
          <w:rFonts w:ascii="Arial" w:hAnsi="Arial"/>
          <w:b w:val="0"/>
          <w:i w:val="0"/>
          <w:color w:val="222222"/>
          <w:sz w:val="21"/>
        </w:rPr>
        <w:t>Complete the desk review immediately after each authorised prompt. Run the browser and live checks only against an identified environment and build. A pass requires observable evidence; “implemented”, “looks good” and a green screenshot without the tested state are not evidence.</w:t>
      </w:r>
    </w:p>
    <w:p>
      <w:pPr>
        <w:pStyle w:val="Heading1"/>
      </w:pPr>
      <w:r>
        <w:t>2. Cursor completion evidence 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Reviewer record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System / prompt ID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Repository / branch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Baseline and result SHA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Changed files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Migration/data effects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Commands and exact results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Screens/screenshots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Contract changes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Security/privacy impact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Known failures/debt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Cursor claim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Reviewer finding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3. Requirements compliance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Requirement ID</w:t>
            </w:r>
          </w:p>
        </w:tc>
        <w:tc>
          <w:tcPr>
            <w:tcW w:type="dxa" w:w="259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behaviour</w:t>
            </w:r>
          </w:p>
        </w:tc>
        <w:tc>
          <w:tcPr>
            <w:tcW w:type="dxa" w:w="216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29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Defect / owner</w:t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58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5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Pass / Partial / Fail / N/A</w:t>
            </w:r>
          </w:p>
        </w:tc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Static and automated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64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Clean install/build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Dependency lock honoured; production build succeeds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Type safety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 new unsafe escapes; typecheck passes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Lint/format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Configured checks pass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Unit tests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Changed business rules and boundaries covered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Integration tests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Database, queues, storage and contracts exercised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E2E tests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Critical journeys and negative paths pass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Security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AuthN, AuthZ, tenancy, rate/abuse, secrets and audit checks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Accessibility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Keyboard, focus, semantics, contrast, labels and errors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Performance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Relevant budgets measured, not asserted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Migrations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Forward/rollback or compensating plan rehearsed</w:t>
            </w:r>
          </w:p>
        </w:tc>
      </w:tr>
    </w:tbl>
    <w:p>
      <w:pPr>
        <w:spacing w:after="0"/>
      </w:pPr>
    </w:p>
    <w:p>
      <w:pPr>
        <w:pStyle w:val="Heading1"/>
      </w:pPr>
      <w:r>
        <w:t>5. Browser live-check script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Record environment, build SHA, user role, tenant/organisation, data fixture and browser/device.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Open from a signed-out state and verify authentication, redirect and expired-session behaviour.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Verify permitted role journey, denied role journey and cross-tenant isolation.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Exercise happy path from creation to persistence, refresh, reopen and downstream visibility.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Exercise empty, loading, slow, validation, conflict, offline/degraded, server error and retry states.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Use keyboard only; verify logical focus, visible focus, dialogs, escape, headings, labels and error association.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Test responsive layouts at phone, tablet and desktop widths; check zoom and long/translated content.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Attempt duplicate submit, stale version, concurrent update, back/forward navigation and interrupted upload/sync.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Inspect audit entry, notification/event delivery, idempotency and reconciliation state.</w:t>
      </w:r>
    </w:p>
    <w:p>
      <w:pPr>
        <w:pStyle w:val="ListNumber"/>
        <w:ind w:left="432" w:hanging="259"/>
      </w:pPr>
      <w:r>
        <w:rPr>
          <w:rFonts w:ascii="Arial" w:hAnsi="Arial"/>
          <w:b w:val="0"/>
          <w:i w:val="0"/>
          <w:color w:val="222222"/>
          <w:sz w:val="21"/>
        </w:rPr>
        <w:t>Capture evidence tied to the exact result SHA and log every defect before acceptance.</w:t>
      </w:r>
    </w:p>
    <w:p>
      <w:pPr>
        <w:pStyle w:val="Heading1"/>
      </w:pPr>
      <w:r>
        <w:t>6. Live-check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Scenario</w:t>
            </w:r>
          </w:p>
        </w:tc>
        <w:tc>
          <w:tcPr>
            <w:tcW w:type="dxa" w:w="144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Role/tenant</w:t>
            </w:r>
          </w:p>
        </w:tc>
        <w:tc>
          <w:tcPr>
            <w:tcW w:type="dxa" w:w="194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</w:t>
            </w:r>
          </w:p>
        </w:tc>
        <w:tc>
          <w:tcPr>
            <w:tcW w:type="dxa" w:w="194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Observed</w:t>
            </w:r>
          </w:p>
        </w:tc>
        <w:tc>
          <w:tcPr>
            <w:tcW w:type="dxa" w:w="129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100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9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7. Cross-app contract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720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Test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Schema compatibility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Producer and consumer validate the same supported version; unknown fields/versions handled deliberately.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Scope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Organisation, event and subject identifiers cannot cross boundaries.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Minimisation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Payload contains only fields required by the receiving purpose.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Authenticity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Signature/service identity, timestamp and replay protection are verified.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Idempotency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Redelivery does not duplicate consequence.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Ordering/conflict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Stale state cannot overwrite newer truth silently.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Failure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Dead-letter/reconciliation path is visible and owned.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Revocation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Withdrawal, suspension or deletion propagates safely.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Audit</w:t>
            </w:r>
          </w:p>
        </w:tc>
        <w:tc>
          <w:tcPr>
            <w:tcW w:type="dxa" w:w="7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Correlation ID links producer, delivery, consumer and decision.</w:t>
            </w:r>
          </w:p>
        </w:tc>
      </w:tr>
    </w:tbl>
    <w:p>
      <w:pPr>
        <w:spacing w:after="0"/>
      </w:pPr>
    </w:p>
    <w:p>
      <w:pPr>
        <w:pStyle w:val="Heading1"/>
      </w:pPr>
      <w:r>
        <w:t>8. Domain live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7344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Mandatory scenarios</w:t>
            </w:r>
          </w:p>
        </w:tc>
      </w:tr>
      <w:tr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Event OS</w:t>
            </w:r>
          </w:p>
        </w:tc>
        <w:tc>
          <w:tcPr>
            <w:tcW w:type="dxa" w:w="73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Event isolation; readiness unknown; permissions; offline/degraded command; incident/escalation; deployment certification gate.</w:t>
            </w:r>
          </w:p>
        </w:tc>
      </w:tr>
      <w:tr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Academy</w:t>
            </w:r>
          </w:p>
        </w:tc>
        <w:tc>
          <w:tcPr>
            <w:tcW w:type="dxa" w:w="73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Enrolment; attempt integrity; practical evidence; certificate issue/expiry/suspension; doctrine-triggered reassessment.</w:t>
            </w:r>
          </w:p>
        </w:tc>
      </w:tr>
      <w:tr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Marketing OS</w:t>
            </w:r>
          </w:p>
        </w:tc>
        <w:tc>
          <w:tcPr>
            <w:tcW w:type="dxa" w:w="73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Consent/purpose; suppression; approval; channel failure; attribution uncertainty; human release; Event OS data minimisation.</w:t>
            </w:r>
          </w:p>
        </w:tc>
      </w:tr>
      <w:tr>
        <w:tc>
          <w:tcPr>
            <w:tcW w:type="dxa" w:w="201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Ushering</w:t>
            </w:r>
          </w:p>
        </w:tc>
        <w:tc>
          <w:tcPr>
            <w:tcW w:type="dxa" w:w="73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No-Wi-Fi operation; paper version control; pager/radio failure; reassignment; guest dignity; incident handoff; post-event reconciliation.</w:t>
            </w:r>
          </w:p>
        </w:tc>
      </w:tr>
    </w:tbl>
    <w:p>
      <w:pPr>
        <w:spacing w:after="0"/>
      </w:pPr>
    </w:p>
    <w:p>
      <w:pPr>
        <w:pStyle w:val="Heading1"/>
      </w:pPr>
      <w:r>
        <w:t>9. Defect and remediation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Defect ID</w:t>
            </w:r>
          </w:p>
        </w:tc>
        <w:tc>
          <w:tcPr>
            <w:tcW w:type="dxa" w:w="115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Steps/evidence</w:t>
            </w:r>
          </w:p>
        </w:tc>
        <w:tc>
          <w:tcPr>
            <w:tcW w:type="dxa" w:w="2232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Expected/actual</w:t>
            </w:r>
          </w:p>
        </w:tc>
        <w:tc>
          <w:tcPr>
            <w:tcW w:type="dxa" w:w="144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008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15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223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4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  <w:tc>
          <w:tcPr>
            <w:tcW w:type="dxa" w:w="100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10. Acceptance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Decision field</w:t>
            </w:r>
          </w:p>
        </w:tc>
        <w:tc>
          <w:tcPr>
            <w:tcW w:type="dxa" w:w="6480"/>
            <w:shd w:fill="1118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Decision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Accept / accept with conditions / remediate / reject</w:t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Evidence completeness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Critical defects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Residual risks and expiry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Rollback/containment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Reviewer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Independent reviewer, if required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CEO/release authority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2F1EE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  <w:tr>
        <w:tc>
          <w:tcPr>
            <w:tcW w:type="dxa" w:w="28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Date and result SHA</w:t>
            </w:r>
          </w:p>
        </w:tc>
        <w:tc>
          <w:tcPr>
            <w:tcW w:type="dxa" w:w="64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222222"/>
          <w:sz w:val="21"/>
        </w:rPr>
        <w:t>Cursor must not complete or sign the reviewer, independent-assessor or CEO fields. Production release remains a human governance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6"/>
      </w:rPr>
      <w:t>MD-BUILD-QA-001  |  DRAFT FOR CEO RATIFICATION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666666"/>
        <w:sz w:val="16"/>
      </w:rPr>
      <w:t>MAISON DOCLAR  |  BUILD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118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 NEW Maison Doclar Cursor Output Assessment and Live Validation Pack v1.0 DRAFT.docx</dc:title>
  <dc:subject/>
  <dc:creator>Maison Doclar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