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B79F85"/>
          <w:sz w:val="18"/>
        </w:rPr>
        <w:t>MAISON DOCLAR</w:t>
      </w:r>
    </w:p>
    <w:p>
      <w:pPr>
        <w:spacing w:after="80"/>
      </w:pPr>
      <w:r>
        <w:rPr>
          <w:rFonts w:ascii="Arial" w:hAnsi="Arial"/>
          <w:b/>
          <w:color w:val="111820"/>
          <w:sz w:val="46"/>
        </w:rPr>
        <w:t>16-Document Quick Index and Usage Guide</w:t>
      </w:r>
    </w:p>
    <w:p>
      <w:pPr>
        <w:spacing w:after="240"/>
      </w:pPr>
      <w:r>
        <w:rPr>
          <w:rFonts w:ascii="Arial" w:hAnsi="Arial"/>
          <w:b w:val="0"/>
          <w:color w:val="666666"/>
          <w:sz w:val="22"/>
        </w:rPr>
        <w:t>A concise guide to what each document contains and how to use it</w:t>
      </w:r>
    </w:p>
    <w:p>
      <w:r>
        <w:rPr>
          <w:rFonts w:ascii="Arial" w:hAnsi="Arial"/>
          <w:b/>
          <w:color w:val="111820"/>
          <w:sz w:val="19"/>
        </w:rPr>
        <w:t xml:space="preserve">Controlling rule: </w:t>
      </w:r>
      <w:r>
        <w:rPr>
          <w:rFonts w:ascii="Arial" w:hAnsi="Arial"/>
          <w:b w:val="0"/>
          <w:color w:val="222222"/>
          <w:sz w:val="19"/>
        </w:rPr>
        <w:t>Cursor may read the full applicable pack for context, but only one numbered prompt may be authorised at a time. Evidence must be reviewed before the next prompt or production release.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648"/>
            <w:shd w:fill="111820"/>
            <w:vAlign w:val="center"/>
          </w:tcPr>
          <w:p>
            <w:pPr>
              <w:spacing w:after="0"/>
            </w:pPr>
            <w:r>
              <w:rPr>
                <w:rFonts w:ascii="Arial" w:hAnsi="Arial"/>
                <w:b/>
                <w:color w:val="FFFFFF"/>
                <w:sz w:val="18"/>
              </w:rPr>
              <w:t>No.</w:t>
            </w:r>
          </w:p>
        </w:tc>
        <w:tc>
          <w:tcPr>
            <w:tcW w:type="dxa" w:w="3384"/>
            <w:shd w:fill="111820"/>
            <w:vAlign w:val="center"/>
          </w:tcPr>
          <w:p>
            <w:pPr>
              <w:spacing w:after="0"/>
            </w:pPr>
            <w:r>
              <w:rPr>
                <w:rFonts w:ascii="Arial" w:hAnsi="Arial"/>
                <w:b/>
                <w:color w:val="FFFFFF"/>
                <w:sz w:val="18"/>
              </w:rPr>
              <w:t>Document</w:t>
            </w:r>
          </w:p>
        </w:tc>
        <w:tc>
          <w:tcPr>
            <w:tcW w:type="dxa" w:w="6048"/>
            <w:shd w:fill="111820"/>
            <w:vAlign w:val="center"/>
          </w:tcPr>
          <w:p>
            <w:pPr>
              <w:spacing w:after="0"/>
            </w:pPr>
            <w:r>
              <w:rPr>
                <w:rFonts w:ascii="Arial" w:hAnsi="Arial"/>
                <w:b/>
                <w:color w:val="FFFFFF"/>
                <w:sz w:val="18"/>
              </w:rPr>
              <w:t>Contents and use</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01</w:t>
            </w:r>
          </w:p>
        </w:tc>
        <w:tc>
          <w:tcPr>
            <w:tcW w:type="dxa" w:w="3384"/>
            <w:vAlign w:val="center"/>
            <w:tcMar>
              <w:top w:w="85" w:type="dxa"/>
              <w:bottom w:w="85" w:type="dxa"/>
              <w:start w:w="100" w:type="dxa"/>
              <w:end w:w="100" w:type="dxa"/>
            </w:tcMar>
          </w:tcPr>
          <w:p>
            <w:pPr>
              <w:spacing w:after="0"/>
            </w:pPr>
            <w:r>
              <w:rPr>
                <w:rFonts w:ascii="Arial" w:hAnsi="Arial"/>
                <w:b/>
                <w:color w:val="111820"/>
                <w:sz w:val="16"/>
              </w:rPr>
              <w:t>Master Repository, Cursor and Acceptance Control Bundle Index</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Lists the complete bundle, authority order, Git placement rules and recommended execution sequence. Read this first and use it to identify the controlling document for each stage.</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02</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Repository Document Control and Cursor Execution Manual</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Defines what belongs in the Event OS and Academy repositories, what stays outside Git, and the governed Cursor workflow. Use it as the general operating manual before beginning or continuing any build slice.</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03</w:t>
            </w:r>
          </w:p>
        </w:tc>
        <w:tc>
          <w:tcPr>
            <w:tcW w:type="dxa" w:w="3384"/>
            <w:vAlign w:val="center"/>
            <w:tcMar>
              <w:top w:w="85" w:type="dxa"/>
              <w:bottom w:w="85" w:type="dxa"/>
              <w:start w:w="100" w:type="dxa"/>
              <w:end w:w="100" w:type="dxa"/>
            </w:tcMar>
          </w:tcPr>
          <w:p>
            <w:pPr>
              <w:spacing w:after="0"/>
            </w:pPr>
            <w:r>
              <w:rPr>
                <w:rFonts w:ascii="Arial" w:hAnsi="Arial"/>
                <w:b/>
                <w:color w:val="111820"/>
                <w:sz w:val="16"/>
              </w:rPr>
              <w:t>OS-Academy Full Knowledge Reconciliation and Release-Control Pack</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Records the knowledge-reconciliation programme, KIR actions, remaining blockers and release gates. Use it to distinguish mapped knowledge from implemented, tested and authorised capability.</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04</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Event OS Reconciliation Cursor Prompt Bundle</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Contains the sequential prompts that reconcile Event OS implementation with the ratified doctrine and knowledge register. Give Cursor the complete document for context but authorise only one numbered OS prompt at a time.</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05</w:t>
            </w:r>
          </w:p>
        </w:tc>
        <w:tc>
          <w:tcPr>
            <w:tcW w:type="dxa" w:w="3384"/>
            <w:vAlign w:val="center"/>
            <w:tcMar>
              <w:top w:w="85" w:type="dxa"/>
              <w:bottom w:w="85" w:type="dxa"/>
              <w:start w:w="100" w:type="dxa"/>
              <w:end w:w="100" w:type="dxa"/>
            </w:tcMar>
          </w:tcPr>
          <w:p>
            <w:pPr>
              <w:spacing w:after="0"/>
            </w:pPr>
            <w:r>
              <w:rPr>
                <w:rFonts w:ascii="Arial" w:hAnsi="Arial"/>
                <w:b/>
                <w:color w:val="111820"/>
                <w:sz w:val="16"/>
              </w:rPr>
              <w:t>OS-Academy Integration Contract</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Defines the authorised machine boundary, payloads, authority separation, privacy minimisation, failure handling and reconciliation between Event OS and Academy. Use it whenever either repository creates or changes certification, readiness or deployment data exchange.</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06</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Academy Repository and Cursor Execution Guide</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Defines Academy-specific Git contents, repository structure, prompt hand-off, assessment controls and acceptance gates. Use it alongside Document 02 for every Academy branch, prompt, review and commit.</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07</w:t>
            </w:r>
          </w:p>
        </w:tc>
        <w:tc>
          <w:tcPr>
            <w:tcW w:type="dxa" w:w="3384"/>
            <w:vAlign w:val="center"/>
            <w:tcMar>
              <w:top w:w="85" w:type="dxa"/>
              <w:bottom w:w="85" w:type="dxa"/>
              <w:start w:w="100" w:type="dxa"/>
              <w:end w:w="100" w:type="dxa"/>
            </w:tcMar>
          </w:tcPr>
          <w:p>
            <w:pPr>
              <w:spacing w:after="0"/>
            </w:pPr>
            <w:r>
              <w:rPr>
                <w:rFonts w:ascii="Arial" w:hAnsi="Arial"/>
                <w:b/>
                <w:color w:val="111820"/>
                <w:sz w:val="16"/>
              </w:rPr>
              <w:t>Academy Reconciliation Cursor Prompt Bundle</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Contains the sequential prompts for doctrine traceability, lessons, assessments, practicals, certification and change propagation. Execute one prompt at a time and verify its evidence before authorising the next.</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08</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Academy Premium Ushering Cursor Reconciliation Prompt</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Specifies the Academy addition for premium ushering lessons, questions, scenarios, practical assessment and deployment authorisation. Run it only after the relevant Academy baseline is stable and the ushering doctrine is accepted for implementation.</w:t>
            </w:r>
          </w:p>
        </w:tc>
      </w:tr>
    </w:tbl>
    <w:p>
      <w:r>
        <w:br w:type="page"/>
      </w:r>
    </w:p>
    <w:p>
      <w:pPr>
        <w:spacing w:after="160"/>
      </w:pPr>
      <w:r>
        <w:rPr>
          <w:rFonts w:ascii="Arial" w:hAnsi="Arial"/>
          <w:b/>
          <w:color w:val="111820"/>
          <w:sz w:val="34"/>
        </w:rPr>
        <w:t>Documents 09-16</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648"/>
            <w:shd w:fill="111820"/>
            <w:vAlign w:val="center"/>
          </w:tcPr>
          <w:p>
            <w:pPr>
              <w:spacing w:after="0"/>
            </w:pPr>
            <w:r>
              <w:rPr>
                <w:rFonts w:ascii="Arial" w:hAnsi="Arial"/>
                <w:b/>
                <w:color w:val="FFFFFF"/>
                <w:sz w:val="18"/>
              </w:rPr>
              <w:t>No.</w:t>
            </w:r>
          </w:p>
        </w:tc>
        <w:tc>
          <w:tcPr>
            <w:tcW w:type="dxa" w:w="3384"/>
            <w:shd w:fill="111820"/>
            <w:vAlign w:val="center"/>
          </w:tcPr>
          <w:p>
            <w:pPr>
              <w:spacing w:after="0"/>
            </w:pPr>
            <w:r>
              <w:rPr>
                <w:rFonts w:ascii="Arial" w:hAnsi="Arial"/>
                <w:b/>
                <w:color w:val="FFFFFF"/>
                <w:sz w:val="18"/>
              </w:rPr>
              <w:t>Document</w:t>
            </w:r>
          </w:p>
        </w:tc>
        <w:tc>
          <w:tcPr>
            <w:tcW w:type="dxa" w:w="6048"/>
            <w:shd w:fill="111820"/>
            <w:vAlign w:val="center"/>
          </w:tcPr>
          <w:p>
            <w:pPr>
              <w:spacing w:after="0"/>
            </w:pPr>
            <w:r>
              <w:rPr>
                <w:rFonts w:ascii="Arial" w:hAnsi="Arial"/>
                <w:b/>
                <w:color w:val="FFFFFF"/>
                <w:sz w:val="18"/>
              </w:rPr>
              <w:t>Contents and use</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09</w:t>
            </w:r>
          </w:p>
        </w:tc>
        <w:tc>
          <w:tcPr>
            <w:tcW w:type="dxa" w:w="3384"/>
            <w:vAlign w:val="center"/>
            <w:tcMar>
              <w:top w:w="85" w:type="dxa"/>
              <w:bottom w:w="85" w:type="dxa"/>
              <w:start w:w="100" w:type="dxa"/>
              <w:end w:w="100" w:type="dxa"/>
            </w:tcMar>
          </w:tcPr>
          <w:p>
            <w:pPr>
              <w:spacing w:after="0"/>
            </w:pPr>
            <w:r>
              <w:rPr>
                <w:rFonts w:ascii="Arial" w:hAnsi="Arial"/>
                <w:b/>
                <w:color w:val="111820"/>
                <w:sz w:val="16"/>
              </w:rPr>
              <w:t>Marketing OS Repository and Cursor Execution Guide</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Defines which Marketing OS documents, contracts, schemas, code, tests and evidence enter Git and which sensitive material remains outside it. Use it as the repository and review procedure for the M0-M11 Marketing programme.</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10</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Marketing OS TypeScript Cursor Prompt Programme M0-M11</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Contains 48 TypeScript-rich sub-prompts covering the complete Marketing OS production build from repository constitution to governed AI and release evidence. Start at M0A and authorise each sub-prompt separately after the previous result passes review.</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11</w:t>
            </w:r>
          </w:p>
        </w:tc>
        <w:tc>
          <w:tcPr>
            <w:tcW w:type="dxa" w:w="3384"/>
            <w:vAlign w:val="center"/>
            <w:tcMar>
              <w:top w:w="85" w:type="dxa"/>
              <w:bottom w:w="85" w:type="dxa"/>
              <w:start w:w="100" w:type="dxa"/>
              <w:end w:w="100" w:type="dxa"/>
            </w:tcMar>
          </w:tcPr>
          <w:p>
            <w:pPr>
              <w:spacing w:after="0"/>
            </w:pPr>
            <w:r>
              <w:rPr>
                <w:rFonts w:ascii="Arial" w:hAnsi="Arial"/>
                <w:b/>
                <w:color w:val="111820"/>
                <w:sz w:val="16"/>
              </w:rPr>
              <w:t>Event OS-Academy-Marketing OS Integration Contract</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Defines ownership, event schemas, consent boundaries, failure semantics and change governance across all three applications. Use it as the sole shared-data authority whenever a prompt adds or alters an inter-app workflow.</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12</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Marketing Knowledge Traceability Register</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Maps marketing doctrine and operating requirements to product capabilities, tests, evidence and Academy treatment. Update it whenever doctrine, implementation, assessment or an inter-app dependency changes.</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13</w:t>
            </w:r>
          </w:p>
        </w:tc>
        <w:tc>
          <w:tcPr>
            <w:tcW w:type="dxa" w:w="3384"/>
            <w:vAlign w:val="center"/>
            <w:tcMar>
              <w:top w:w="85" w:type="dxa"/>
              <w:bottom w:w="85" w:type="dxa"/>
              <w:start w:w="100" w:type="dxa"/>
              <w:end w:w="100" w:type="dxa"/>
            </w:tcMar>
          </w:tcPr>
          <w:p>
            <w:pPr>
              <w:spacing w:after="0"/>
            </w:pPr>
            <w:r>
              <w:rPr>
                <w:rFonts w:ascii="Arial" w:hAnsi="Arial"/>
                <w:b/>
                <w:color w:val="111820"/>
                <w:sz w:val="16"/>
              </w:rPr>
              <w:t>Premium Ushering Repository and Cursor Execution Guide</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Defines the Git, Cursor, offline-operation and evidence rules for the Premium Ushering System. Use it whether ushering is implemented inside Event OS or later receives a separate repository.</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14</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Ushering Event OS Integration and Knowledge Traceability Register</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Defines the source-of-truth allocation, integration events, doctrine mappings and release gates connecting ushering with Event OS and Academy. Consult and update it whenever ushering data, deployment status or training requirements change.</w:t>
            </w:r>
          </w:p>
        </w:tc>
      </w:tr>
      <w:tr>
        <w:tc>
          <w:tcPr>
            <w:tcW w:type="dxa" w:w="648"/>
            <w:vAlign w:val="center"/>
            <w:tcMar>
              <w:top w:w="85" w:type="dxa"/>
              <w:bottom w:w="85" w:type="dxa"/>
              <w:start w:w="100" w:type="dxa"/>
              <w:end w:w="100" w:type="dxa"/>
            </w:tcMar>
          </w:tcPr>
          <w:p>
            <w:pPr>
              <w:spacing w:after="0"/>
            </w:pPr>
            <w:r>
              <w:rPr>
                <w:rFonts w:ascii="Arial" w:hAnsi="Arial"/>
                <w:b w:val="0"/>
                <w:color w:val="222222"/>
                <w:sz w:val="16"/>
              </w:rPr>
              <w:t>15</w:t>
            </w:r>
          </w:p>
        </w:tc>
        <w:tc>
          <w:tcPr>
            <w:tcW w:type="dxa" w:w="3384"/>
            <w:vAlign w:val="center"/>
            <w:tcMar>
              <w:top w:w="85" w:type="dxa"/>
              <w:bottom w:w="85" w:type="dxa"/>
              <w:start w:w="100" w:type="dxa"/>
              <w:end w:w="100" w:type="dxa"/>
            </w:tcMar>
          </w:tcPr>
          <w:p>
            <w:pPr>
              <w:spacing w:after="0"/>
            </w:pPr>
            <w:r>
              <w:rPr>
                <w:rFonts w:ascii="Arial" w:hAnsi="Arial"/>
                <w:b/>
                <w:color w:val="111820"/>
                <w:sz w:val="16"/>
              </w:rPr>
              <w:t>Premium Ushering Assessment and Question-Bank Specification</w:t>
            </w:r>
          </w:p>
        </w:tc>
        <w:tc>
          <w:tcPr>
            <w:tcW w:type="dxa" w:w="6048"/>
            <w:vAlign w:val="center"/>
            <w:tcMar>
              <w:top w:w="85" w:type="dxa"/>
              <w:bottom w:w="85" w:type="dxa"/>
              <w:start w:w="100" w:type="dxa"/>
              <w:end w:w="100" w:type="dxa"/>
            </w:tcMar>
          </w:tcPr>
          <w:p>
            <w:pPr>
              <w:spacing w:after="0"/>
            </w:pPr>
            <w:r>
              <w:rPr>
                <w:rFonts w:ascii="Arial" w:hAnsi="Arial"/>
                <w:b w:val="0"/>
                <w:color w:val="222222"/>
                <w:sz w:val="16"/>
              </w:rPr>
              <w:t>Defines usher knowledge checks, operational scenarios, practical rubrics, critical failures and certification requirements. Use it to produce and moderate Academy assessment content rather than treating generated questions as automatically approved.</w:t>
            </w:r>
          </w:p>
        </w:tc>
      </w:tr>
      <w:tr>
        <w:tc>
          <w:tcPr>
            <w:tcW w:type="dxa" w:w="648"/>
            <w:vAlign w:val="center"/>
            <w:shd w:fill="F3F1EE"/>
            <w:tcMar>
              <w:top w:w="85" w:type="dxa"/>
              <w:bottom w:w="85" w:type="dxa"/>
              <w:start w:w="100" w:type="dxa"/>
              <w:end w:w="100" w:type="dxa"/>
            </w:tcMar>
          </w:tcPr>
          <w:p>
            <w:pPr>
              <w:spacing w:after="0"/>
            </w:pPr>
            <w:r>
              <w:rPr>
                <w:rFonts w:ascii="Arial" w:hAnsi="Arial"/>
                <w:b w:val="0"/>
                <w:color w:val="222222"/>
                <w:sz w:val="16"/>
              </w:rPr>
              <w:t>16</w:t>
            </w:r>
          </w:p>
        </w:tc>
        <w:tc>
          <w:tcPr>
            <w:tcW w:type="dxa" w:w="3384"/>
            <w:vAlign w:val="center"/>
            <w:shd w:fill="F3F1EE"/>
            <w:tcMar>
              <w:top w:w="85" w:type="dxa"/>
              <w:bottom w:w="85" w:type="dxa"/>
              <w:start w:w="100" w:type="dxa"/>
              <w:end w:w="100" w:type="dxa"/>
            </w:tcMar>
          </w:tcPr>
          <w:p>
            <w:pPr>
              <w:spacing w:after="0"/>
            </w:pPr>
            <w:r>
              <w:rPr>
                <w:rFonts w:ascii="Arial" w:hAnsi="Arial"/>
                <w:b/>
                <w:color w:val="111820"/>
                <w:sz w:val="16"/>
              </w:rPr>
              <w:t>Cursor Output Assessment and Live Validation Pack</w:t>
            </w:r>
          </w:p>
        </w:tc>
        <w:tc>
          <w:tcPr>
            <w:tcW w:type="dxa" w:w="6048"/>
            <w:vAlign w:val="center"/>
            <w:shd w:fill="F3F1EE"/>
            <w:tcMar>
              <w:top w:w="85" w:type="dxa"/>
              <w:bottom w:w="85" w:type="dxa"/>
              <w:start w:w="100" w:type="dxa"/>
              <w:end w:w="100" w:type="dxa"/>
            </w:tcMar>
          </w:tcPr>
          <w:p>
            <w:pPr>
              <w:spacing w:after="0"/>
            </w:pPr>
            <w:r>
              <w:rPr>
                <w:rFonts w:ascii="Arial" w:hAnsi="Arial"/>
                <w:b w:val="0"/>
                <w:color w:val="222222"/>
                <w:sz w:val="16"/>
              </w:rPr>
              <w:t>Provides reusable evidence forms, requirement matrices, automated checks, browser scripts, inter-app tests, defect records and acceptance decisions. Complete it after every authorised prompt and before accepting a commit, moving to the next prompt or considering release.</w:t>
            </w:r>
          </w:p>
        </w:tc>
      </w:tr>
    </w:tbl>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16-DOCUMENT QUICK INDEX  |  DRAFT FOR CEO RATIFICATION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6666"/>
        <w:sz w:val="16"/>
      </w:rPr>
      <w:t>MAISON DOCLAR  |  BUILD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16-Document Quick Index and Usage Guide</dc:title>
  <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